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ec573160e92fa6b8ce6bac14bd269bf20145b31"/>
    <w:p>
      <w:pPr>
        <w:pStyle w:val="Heading1"/>
      </w:pPr>
      <w:r>
        <w:t xml:space="preserve">Syn2b: fragmentation-invariant structural comparison of microbial genomes by ordered restriction-enzyme tags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Statistics that count transitions between adjacent states acquire a bias that</w:t>
      </w:r>
      <w:r>
        <w:t xml:space="preserve"> </w:t>
      </w:r>
      <w:r>
        <w:t xml:space="preserve">grows with assembly fragmentation, whereas length-weighted ratios are invariant</w:t>
      </w:r>
      <w:r>
        <w:t xml:space="preserve"> </w:t>
      </w:r>
      <w:r>
        <w:t xml:space="preserve">to splitting; this principle determines which structural-variation metrics are</w:t>
      </w:r>
      <w:r>
        <w:t xml:space="preserve"> </w:t>
      </w:r>
      <w:r>
        <w:t xml:space="preserve">trustworthy for draft genomes. We introduce</w:t>
      </w:r>
      <w:r>
        <w:t xml:space="preserve"> </w:t>
      </w:r>
      <w:r>
        <w:rPr>
          <w:b/>
          <w:bCs/>
        </w:rPr>
        <w:t xml:space="preserve">Syn2b</w:t>
      </w:r>
      <w:r>
        <w:t xml:space="preserve">, an alignment-free method</w:t>
      </w:r>
      <w:r>
        <w:t xml:space="preserve"> </w:t>
      </w:r>
      <w:r>
        <w:t xml:space="preserve">that encodes genome structure through the order and adjacency of short tags</w:t>
      </w:r>
      <w:r>
        <w:t xml:space="preserve"> </w:t>
      </w:r>
      <w:r>
        <w:t xml:space="preserve">generated by Type IIB restriction-enzyme digestion. In the strain-level regime</w:t>
      </w:r>
      <w:r>
        <w:t xml:space="preserve"> </w:t>
      </w:r>
      <w:r>
        <w:t xml:space="preserve">(ANIm ≥ 97%, n = 3,826) Syn2b’s fixed-reference inverted landmark fraction</w:t>
      </w:r>
      <w:r>
        <w:t xml:space="preserve"> </w:t>
      </w:r>
      <w:r>
        <w:t xml:space="preserve">agrees with alignment-based truth at Pearson r = 0.996, slope = 1.006; across</w:t>
      </w:r>
      <w:r>
        <w:t xml:space="preserve"> </w:t>
      </w:r>
      <w:r>
        <w:t xml:space="preserve">43,312 held-out GTDB-R207 pairs, r = 0.94. A four-enzyme panel (BcgI+AlfI+AloI+FalI)</w:t>
      </w:r>
      <w:r>
        <w:t xml:space="preserve"> </w:t>
      </w:r>
      <w:r>
        <w:t xml:space="preserve">yields ~1.34 tags/kb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and detects inversions down to ~4 kb.</w:t>
      </w:r>
      <w:r>
        <w:t xml:space="preserve"> </w:t>
      </w:r>
      <w:r>
        <w:t xml:space="preserve">Applied to a 47,748-pair GTDB-R207 survey, we find that 34% of pairs with</w:t>
      </w:r>
      <w:r>
        <w:t xml:space="preserve"> </w:t>
      </w:r>
      <w:r>
        <w:t xml:space="preserve">ANIm ≥ 97% carry ≥2 alignment-visible inversion events — rearrangements</w:t>
      </w:r>
      <w:r>
        <w:t xml:space="preserve"> </w:t>
      </w:r>
      <w:r>
        <w:t xml:space="preserve">invisible to ANI ranking. Syn2b is available at</w:t>
      </w:r>
      <w:r>
        <w:t xml:space="preserve"> </w:t>
      </w:r>
      <w:r>
        <w:t xml:space="preserve">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BLAST²⁴ and DECIPHER¹⁹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 At the other extreme, fast</w:t>
      </w:r>
      <w:r>
        <w:t xml:space="preserve"> </w:t>
      </w:r>
      <w:r>
        <w:t xml:space="preserve">k-mer-anchor estimators such as skani²¹ compute genome-wide ANI in milliseconds</w:t>
      </w:r>
      <w:r>
        <w:t xml:space="preserve"> </w:t>
      </w:r>
      <w:r>
        <w:t xml:space="preserve">but discard adjacency information entirely and therefore cannot report any</w:t>
      </w:r>
      <w:r>
        <w:t xml:space="preserve"> </w:t>
      </w:r>
      <w:r>
        <w:t xml:space="preserve">structural quantity.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Syn2b</w:t>
      </w:r>
      <w:r>
        <w:t xml:space="preserve">, which occupies the space between these two extremes.</w:t>
      </w:r>
      <w:r>
        <w:t xml:space="preserve"> </w:t>
      </w:r>
      <w:r>
        <w:t xml:space="preserve">Syn2b exploits the predictable fragmentation of Type IIB restriction enzymes to</w:t>
      </w:r>
      <w:r>
        <w:t xml:space="preserve"> </w:t>
      </w:r>
      <w:r>
        <w:t xml:space="preserve">generate short tags (27–32 bp)¹⁷ that are physically sequenceable by 2bRAD-style</w:t>
      </w:r>
      <w:r>
        <w:t xml:space="preserve"> </w:t>
      </w:r>
      <w:r>
        <w:t xml:space="preserve">protocols, linking the in-silico metric directly to an experimental assay. By</w:t>
      </w:r>
      <w:r>
        <w:t xml:space="preserve"> </w:t>
      </w:r>
      <w:r>
        <w:t xml:space="preserve">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production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the inverted landmark fraction agrees</w:t>
      </w:r>
      <w:r>
        <w:t xml:space="preserve"> </w:t>
      </w:r>
      <w:r>
        <w:t xml:space="preserve">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four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regime; and (4) a genome-wide survey of</w:t>
      </w:r>
      <w:r>
        <w:t xml:space="preserve"> </w:t>
      </w:r>
      <w:r>
        <w:t xml:space="preserve">ANI–rearrangement discordance showing that one third of strain-level GTDB pairs</w:t>
      </w:r>
      <w:r>
        <w:t xml:space="preserve"> </w:t>
      </w:r>
      <w:r>
        <w:t xml:space="preserve">carry multiple inversion events that ANI ranking cannot see.</w:t>
      </w:r>
    </w:p>
    <w:p>
      <w:r>
        <w:pict>
          <v:rect style="width:0;height:1.5pt" o:hralign="center" o:hrstd="t" o:hr="t"/>
        </w:pict>
      </w:r>
    </w:p>
    <w:bookmarkEnd w:id="10"/>
    <w:bookmarkStart w:id="19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; per-enzyme tag densities and the</w:t>
      </w:r>
      <w:r>
        <w:t xml:space="preserve"> </w:t>
      </w:r>
      <w:r>
        <w:t xml:space="preserve">rationale for this combination are given in section 4.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total length that carries a</w:t>
      </w:r>
      <w:r>
        <w:t xml:space="preserve"> </w:t>
      </w:r>
      <w:r>
        <w:t xml:space="preserve">property (e.g., inverted orientation),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. Syn2b estimates these ratios over landmarks: the count of</w:t>
      </w:r>
      <w:r>
        <w:t xml:space="preserve"> </w:t>
      </w:r>
      <w:r>
        <w:t xml:space="preserve">shared, orientation-informative landmarks carrying the property divided by</w:t>
      </w:r>
      <w:r>
        <w:t xml:space="preserve"> </w:t>
      </w:r>
      <w:r>
        <w:t xml:space="preserve">the count of such landmarks. Under the near-uniform spacing of Type IIB</w:t>
      </w:r>
      <w:r>
        <w:t xml:space="preserve"> </w:t>
      </w:r>
      <w:r>
        <w:t xml:space="preserve">sites the landmark fraction estimates the length ratio, and count ratios</w:t>
      </w:r>
      <w:r>
        <w:t xml:space="preserve"> </w:t>
      </w:r>
      <w:r>
        <w:t xml:space="preserve">are exactly as splitting-invariant as length ratios.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landmark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</w:t>
      </w:r>
      <w:r>
        <w:t xml:space="preserve"> </w:t>
      </w:r>
      <w:r>
        <w:t xml:space="preserve">42 ms (measured; Figure 6a).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 Syn2b instantiates the</w:t>
      </w:r>
      <w:r>
        <w:t xml:space="preserve"> </w:t>
      </w:r>
      <w:r>
        <w:t xml:space="preserve">ratio over landmark counts rather than base pairs; the same preservation</w:t>
      </w:r>
      <w:r>
        <w:t xml:space="preserve"> </w:t>
      </w:r>
      <w:r>
        <w:t xml:space="preserve">argument applies verbatim — splitting a segment cannot remove a landmark from</w:t>
      </w:r>
      <w:r>
        <w:t xml:space="preserve"> </w:t>
      </w:r>
      <w:r>
        <w:t xml:space="preserve">either the numerator or the denominator — so the count ratio is exactly</w:t>
      </w:r>
      <w:r>
        <w:t xml:space="preserve"> </w:t>
      </w:r>
      <w:r>
        <w:t xml:space="preserve">invariant, and under near-uniform landmark spacing it estimates the length</w:t>
      </w:r>
      <w:r>
        <w:t xml:space="preserve"> </w:t>
      </w:r>
      <w:r>
        <w:t xml:space="preserve">ratio.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These controlled inputs establish that each reported metric</w:t>
      </w:r>
      <w:r>
        <w:t xml:space="preserve"> </w:t>
      </w:r>
      <w:r>
        <w:t xml:space="preserve">responds to its target SV class (Figure 2); quantitative accuracy on real</w:t>
      </w:r>
      <w:r>
        <w:t xml:space="preserve"> </w:t>
      </w:r>
      <w:r>
        <w:t xml:space="preserve">genomes is validated in Figure 3.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outside recognition sites leave tag</w:t>
      </w:r>
      <w:r>
        <w:t xml:space="preserve"> </w:t>
      </w:r>
      <w:r>
        <w:t xml:space="preserve">adjacency unchanged. Measured across a 0.5–5% substitution sweep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(one replicate per rate), the Rust implementation reports zero structural</w:t>
      </w:r>
      <w:r>
        <w:t xml:space="preserve"> </w:t>
      </w:r>
      <w:r>
        <w:t xml:space="preserve">junctions at every rate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results/snp_sweep_metrics.csv</w:t>
      </w:r>
      <w:r>
        <w:t xml:space="preserve">). SNP load instead reduces the number of shared</w:t>
      </w:r>
      <w:r>
        <w:t xml:space="preserve"> </w:t>
      </w:r>
      <w:r>
        <w:t xml:space="preserve">tags (4,935 at 0.5% substitutions; 1,227 at 5%), which the error model accounts</w:t>
      </w:r>
      <w:r>
        <w:t xml:space="preserve"> </w:t>
      </w:r>
      <w:r>
        <w:t xml:space="preserve">for as reduced landmark sampling (Supplementary Note 2).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(100 kb or 500 kb). The inverted landmark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 In a detection-size benchmark with ten random positions per</w:t>
      </w:r>
      <w:r>
        <w:t xml:space="preserve"> </w:t>
      </w:r>
      <w:r>
        <w:t xml:space="preserve">size, the four-enzyme panel recovers both junctions of a 4-kb inversion in</w:t>
      </w:r>
      <w:r>
        <w:t xml:space="preserve"> </w:t>
      </w:r>
      <w:r>
        <w:t xml:space="preserve">10/10 replicates (8/10 at 2 kb), whereas BcgI alone reaches 90% detection only</w:t>
      </w:r>
      <w:r>
        <w:t xml:space="preserve"> </w:t>
      </w:r>
      <w:r>
        <w:t xml:space="preserve">at 8 kb (Supplementary Figure 4).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through tag loss:</w:t>
      </w:r>
      <w:r>
        <w:t xml:space="preserve"> </w:t>
      </w:r>
      <w:r>
        <w:t xml:space="preserve">controlled insertions and deletions of 10–100 kb produce no junctions (no</w:t>
      </w:r>
      <w:r>
        <w:t xml:space="preserve"> </w:t>
      </w:r>
      <w:r>
        <w:t xml:space="preserve">landmark straddles the breakpoint in these replicates) but remove 14–119 shared</w:t>
      </w:r>
      <w:r>
        <w:t xml:space="preserve"> </w:t>
      </w:r>
      <w:r>
        <w:t xml:space="preserve">tags relative to the 5,704-tag SNP-only control, with the loss scaling at the</w:t>
      </w:r>
      <w:r>
        <w:t xml:space="preserve"> </w:t>
      </w:r>
      <w:r>
        <w:t xml:space="preserve">panel density (~1.3 tags per kb of indel; Supplementary Figure 3).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The 1% SNP background alone gives a Mash distance of</w:t>
      </w:r>
      <w:r>
        <w:t xml:space="preserve"> </w:t>
      </w:r>
      <w:r>
        <w:t xml:space="preserve">≈1.0 × 10⁻² (k = 21); adding any structural variant changes the distance by</w:t>
      </w:r>
      <w:r>
        <w:t xml:space="preserve"> </w:t>
      </w:r>
      <w:r>
        <w:t xml:space="preserve">only ~5 × 10⁻⁷ — five orders of magnitude below the SNP signal (Figure 2d) —</w:t>
      </w:r>
      <w:r>
        <w:t xml:space="preserve"> </w:t>
      </w:r>
      <w:r>
        <w:t xml:space="preserve">confirming that k-mer-based methods cannot distinguish structural variation</w:t>
      </w:r>
      <w:r>
        <w:t xml:space="preserve"> </w:t>
      </w:r>
      <w:r>
        <w:t xml:space="preserve">from point mutations¹⁸.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 (Table 1; tag spacing distribution in Supplementary</w:t>
      </w:r>
      <w:r>
        <w:t xml:space="preserve"> </w:t>
      </w:r>
      <w:r>
        <w:t xml:space="preserve">Figure 1).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Two considerations motivate enzyme landmarks over purely</w:t>
      </w:r>
      <w:r>
        <w:t xml:space="preserve"> </w:t>
      </w:r>
      <w:r>
        <w:t xml:space="preserve">computational ones. First, Type IIB tags are physical molecules: each landmark</w:t>
      </w:r>
      <w:r>
        <w:t xml:space="preserve"> </w:t>
      </w:r>
      <w:r>
        <w:t xml:space="preserve">is a 27–32-bp fragment flanking a fixed recognition site, so the exact tag set</w:t>
      </w:r>
      <w:r>
        <w:t xml:space="preserve"> </w:t>
      </w:r>
      <w:r>
        <w:t xml:space="preserve">analysed here can be generated</w:t>
      </w:r>
      <w:r>
        <w:t xml:space="preserve"> </w:t>
      </w:r>
      <w:r>
        <w:rPr>
          <w:i/>
          <w:iCs/>
        </w:rPr>
        <w:t xml:space="preserve">in vitro</w:t>
      </w:r>
      <w:r>
        <w:t xml:space="preserve"> </w:t>
      </w:r>
      <w:r>
        <w:t xml:space="preserve">by 2bRAD-style digestion and</w:t>
      </w:r>
      <w:r>
        <w:t xml:space="preserve"> </w:t>
      </w:r>
      <w:r>
        <w:t xml:space="preserve">sequencing, linking the in-silico metric to a real assay at negligible extra</w:t>
      </w:r>
      <w:r>
        <w:t xml:space="preserve"> </w:t>
      </w:r>
      <w:r>
        <w:t xml:space="preserve">cost. Second, enzyme recognition is deterministic and parameter-free — the same</w:t>
      </w:r>
      <w:r>
        <w:t xml:space="preserve"> </w:t>
      </w:r>
      <w:r>
        <w:t xml:space="preserve">genome always yields the same landmarks across studies and software versions,</w:t>
      </w:r>
      <w:r>
        <w:t xml:space="preserve"> </w:t>
      </w:r>
      <w:r>
        <w:t xml:space="preserve">which matters for database-scale applications where sketches must remain</w:t>
      </w:r>
      <w:r>
        <w:t xml:space="preserve"> </w:t>
      </w:r>
      <w:r>
        <w:t xml:space="preserve">comparable over time.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ratios over many landmarks, the metric is robust</w:t>
      </w:r>
      <w:r>
        <w:t xml:space="preserve"> </w:t>
      </w:r>
      <w:r>
        <w:t xml:space="preserve">to the occasional missing or extra site, which enters the error model as</w:t>
      </w:r>
      <w:r>
        <w:t xml:space="preserve"> </w:t>
      </w:r>
      <w:r>
        <w:t xml:space="preserve">reduced landmark sampling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43,312 held-out pairs with complete metrics</w:t>
      </w:r>
      <w:r>
        <w:t xml:space="preserve"> </w:t>
      </w:r>
      <w:r>
        <w:t xml:space="preserve">(41,485 for the BcgI arm), the four-enzyme panel substantially outperforms BcgI</w:t>
      </w:r>
      <w:r>
        <w:t xml:space="preserve"> </w:t>
      </w:r>
      <w:r>
        <w:t xml:space="preserve">alone (Table 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close to the enzyme panel (0.9355/0.0370); the</w:t>
      </w:r>
      <w:r>
        <w:t xml:space="preserve"> </w:t>
      </w:r>
      <w:r>
        <w:t xml:space="preserve">small difference is within the range expected from landmark sampling and is not</w:t>
      </w:r>
      <w:r>
        <w:t xml:space="preserve"> </w:t>
      </w:r>
      <w:r>
        <w:t xml:space="preserve">biologically meaningful.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 (per-pair metrics in Supplementary Table 1).</w:t>
      </w:r>
    </w:p>
    <w:p>
      <w:pPr>
        <w:pStyle w:val="BodyText"/>
      </w:pPr>
      <w:r>
        <w:rPr>
          <w:b/>
          <w:bCs/>
        </w:rPr>
        <w:t xml:space="preserve">The inverted landmark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</w:t>
      </w:r>
      <w:r>
        <w:t xml:space="preserve"> </w:t>
      </w:r>
      <w:r>
        <w:t xml:space="preserve">(the pooled statistics below refer to that sample; the genome-wide survey in</w:t>
      </w:r>
      <w:r>
        <w:t xml:space="preserve"> </w:t>
      </w:r>
      <w:r>
        <w:t xml:space="preserve">section 6 additionally merges the two held-out pairs). Figure 3b shows the same trend with</w:t>
      </w:r>
      <w:r>
        <w:t xml:space="preserve"> </w:t>
      </w:r>
      <w:r>
        <w:t xml:space="preserve">pairs binned by the four-enzyme model’s predicted ANI rather than ANIm. There,</w:t>
      </w:r>
      <w:r>
        <w:t xml:space="preserve"> </w:t>
      </w:r>
      <w:r>
        <w:t xml:space="preserve">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absorbs spatial clustering of landmarks</w:t>
      </w:r>
      <w:r>
        <w:t xml:space="preserve"> </w:t>
      </w:r>
      <w:r>
        <w:t xml:space="preserve">inside inverted segments — the difference between the landmark-count fraction</w:t>
      </w:r>
      <w:r>
        <w:t xml:space="preserve"> </w:t>
      </w:r>
      <w:r>
        <w:t xml:space="preserve">and a strictly length-weighted one; the 0.0205 floor reflects the different</w:t>
      </w:r>
      <w:r>
        <w:t xml:space="preserve"> </w:t>
      </w:r>
      <w:r>
        <w:t xml:space="preserve">denominators used by dnadiff (aligned bases) and Syn2b (shared landmarks). This</w:t>
      </w:r>
      <w:r>
        <w:t xml:space="preserve"> </w:t>
      </w:r>
      <w:r>
        <w:t xml:space="preserve">model is fitted on the held-out set and predicts the tighter spread observed at</w:t>
      </w:r>
      <w:r>
        <w:t xml:space="preserve"> </w:t>
      </w:r>
      <w:r>
        <w:t xml:space="preserve">high ANIm 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Nearly half of the held-out pairs (21,035 of</w:t>
      </w:r>
      <w:r>
        <w:t xml:space="preserve"> </w:t>
      </w:r>
      <w:r>
        <w:t xml:space="preserve">43,312, 48.6%) have a dnadiff inverted fraction &gt; 0.5; in this saturated subset</w:t>
      </w:r>
      <w:r>
        <w:t xml:space="preserve"> </w:t>
      </w:r>
      <w:r>
        <w:t xml:space="preserve">the fixed-reference version still agrees at r = 0.8724, whereas the</w:t>
      </w:r>
      <w:r>
        <w:t xml:space="preserve"> </w:t>
      </w:r>
      <w:r>
        <w:t xml:space="preserve">majority-frame version anticorrelates at r = −0.8964 because it flips to the</w:t>
      </w:r>
      <w:r>
        <w:t xml:space="preserve"> </w:t>
      </w:r>
      <w:r>
        <w:t xml:space="preserve">opposite frame (Figure 3c). One caveat applies to both dnadiff and Syn2b</w:t>
      </w:r>
      <w:r>
        <w:t xml:space="preserve"> </w:t>
      </w:r>
      <w:r>
        <w:t xml:space="preserve">fixed-reference fractions: because the orientation of individual contigs in a</w:t>
      </w:r>
      <w:r>
        <w:t xml:space="preserve"> </w:t>
      </w:r>
      <w:r>
        <w:t xml:space="preserve">draft assembly is arbitrary, pairs whose assemblies follow different orientation</w:t>
      </w:r>
      <w:r>
        <w:t xml:space="preserve"> </w:t>
      </w:r>
      <w:r>
        <w:t xml:space="preserve">conventions read as ~0.5 inverted regardless of biology. The fraction is</w:t>
      </w:r>
      <w:r>
        <w:t xml:space="preserve"> </w:t>
      </w:r>
      <w:r>
        <w:t xml:space="preserve">therefore a</w:t>
      </w:r>
      <w:r>
        <w:t xml:space="preserve"> </w:t>
      </w:r>
      <w:r>
        <w:rPr>
          <w:i/>
          <w:iCs/>
        </w:rPr>
        <w:t xml:space="preserve">tracking</w:t>
      </w:r>
      <w:r>
        <w:t xml:space="preserve"> </w:t>
      </w:r>
      <w:r>
        <w:t xml:space="preserve">metric — Syn2b reproduces the alignment-based value with</w:t>
      </w:r>
      <w:r>
        <w:t xml:space="preserve"> </w:t>
      </w:r>
      <w:r>
        <w:t xml:space="preserve">calibrated error — while per-pair biological interpretation of the inverted</w:t>
      </w:r>
      <w:r>
        <w:t xml:space="preserve"> </w:t>
      </w:r>
      <w:r>
        <w:t xml:space="preserve">fraction requires orientation-consistent assemblies;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</w:t>
      </w:r>
      <w:r>
        <w:t xml:space="preserve"> </w:t>
      </w:r>
      <w:r>
        <w:t xml:space="preserve">free of this convention (section 6).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with a dnadiff counterpart (median of per-pair median junction distances =</w:t>
      </w:r>
      <w:r>
        <w:t xml:space="preserve"> </w:t>
      </w:r>
      <w:r>
        <w:t xml:space="preserve">21.8 kb), while dnadiff reported a median of 31 additional inversions per pair</w:t>
      </w:r>
      <w:r>
        <w:t xml:space="preserve"> </w:t>
      </w:r>
      <w:r>
        <w:t xml:space="preserve">outside Syn2b’s landmark coverage. Pooling across pairs, 13.6% of dnadiff</w:t>
      </w:r>
      <w:r>
        <w:t xml:space="preserve"> </w:t>
      </w:r>
      <w:r>
        <w:t xml:space="preserve">inversion boundaries had a matched Syn2b junction, and 40.4% of matched</w:t>
      </w:r>
      <w:r>
        <w:t xml:space="preserve"> </w:t>
      </w:r>
      <w:r>
        <w:t xml:space="preserve">junctions lay within 5 kb of each other (p90 distance = 314.8 kb;</w:t>
      </w:r>
      <w:r>
        <w:t xml:space="preserve"> </w:t>
      </w:r>
      <w:r>
        <w:t xml:space="preserve">Supplementary Figure 2). These numbers are consistent with the sampling</w:t>
      </w:r>
      <w:r>
        <w:t xml:space="preserve"> </w:t>
      </w:r>
      <w:r>
        <w:t xml:space="preserve">model — closed genomes remove the fragmentation bias, and the remaining</w:t>
      </w:r>
      <w:r>
        <w:t xml:space="preserve"> </w:t>
      </w:r>
      <w:r>
        <w:t xml:space="preserve">discrepancies reflect landmark density and the ambiguity of one-to-one matching</w:t>
      </w:r>
      <w:r>
        <w:t xml:space="preserve"> </w:t>
      </w:r>
      <w:r>
        <w:t xml:space="preserve">between two sets of predicted events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The</w:t>
      </w:r>
      <w:r>
        <w:t xml:space="preserve"> </w:t>
      </w:r>
      <w:r>
        <w:t xml:space="preserve">contamination is directly visible in the truth data itself: across the held-out</w:t>
      </w:r>
      <w:r>
        <w:t xml:space="preserve"> </w:t>
      </w:r>
      <w:r>
        <w:t xml:space="preserve">set, dnadiff’s own breakpoint count correlates with assembly contig count at</w:t>
      </w:r>
      <w:r>
        <w:t xml:space="preserve"> </w:t>
      </w:r>
      <w:r>
        <w:t xml:space="preserve">Spearman ρ = 0.28 (partial ρ = 0.34 controlling ANIm) — on draft assemblies a</w:t>
      </w:r>
      <w:r>
        <w:t xml:space="preserve"> </w:t>
      </w:r>
      <w:r>
        <w:t xml:space="preserve">substantial share of alignment-reported breakpoints measures assembly</w:t>
      </w:r>
      <w:r>
        <w:t xml:space="preserve"> </w:t>
      </w:r>
      <w:r>
        <w:t xml:space="preserve">fragmentation, not rearrangement. Syn2b’s junction count does not inherit this</w:t>
      </w:r>
      <w:r>
        <w:t xml:space="preserve"> </w:t>
      </w:r>
      <w:r>
        <w:t xml:space="preserve">term: adjacencies are never formed across contig boundaries (Methods), and</w:t>
      </w:r>
      <w:r>
        <w:t xml:space="preserve"> </w:t>
      </w:r>
      <w:r>
        <w:t xml:space="preserve">across the same held-out set the junction count shows no dependence on contig</w:t>
      </w:r>
      <w:r>
        <w:t xml:space="preserve"> </w:t>
      </w:r>
      <w:r>
        <w:t xml:space="preserve">count (Spearman ρ = 0.02; partial ρ = 0.01 controlling ANIm). The junction</w:t>
      </w:r>
      <w:r>
        <w:t xml:space="preserve"> </w:t>
      </w:r>
      <w:r>
        <w:t xml:space="preserve">channel is cross-validated by an independent implementation: the companion</w:t>
      </w:r>
      <w:r>
        <w:t xml:space="preserve"> </w:t>
      </w:r>
      <w:r>
        <w:t xml:space="preserve">tool’s chain-based breakpoint counter (Syn2bANI v0.1.1) agrees exactly on</w:t>
      </w:r>
      <w:r>
        <w:t xml:space="preserve"> </w:t>
      </w:r>
      <w:r>
        <w:t xml:space="preserve">control comparisons — both report 0 junctions for a genome compared with a</w:t>
      </w:r>
      <w:r>
        <w:t xml:space="preserve"> </w:t>
      </w:r>
      <w:r>
        <w:t xml:space="preserve">renamed copy of itself and 2 for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O157:H7 EDL933 vs Sakai. An earlier</w:t>
      </w:r>
      <w:r>
        <w:t xml:space="preserve"> </w:t>
      </w:r>
      <w:r>
        <w:t xml:space="preserve">version of this section reported partial correlations between Syn2bANI’s</w:t>
      </w:r>
      <w:r>
        <w:t xml:space="preserve"> </w:t>
      </w:r>
      <w:r>
        <w:t xml:space="preserve">breakpoint count and dnadiff breakpoints on the 43,334-pair set (r = 0.414);</w:t>
      </w:r>
      <w:r>
        <w:t xml:space="preserve"> </w:t>
      </w:r>
      <w:r>
        <w:t xml:space="preserve">that statistic was computed before two further defects in the chain-based</w:t>
      </w:r>
      <w:r>
        <w:t xml:space="preserve"> </w:t>
      </w:r>
      <w:r>
        <w:t xml:space="preserve">counter were identified and fixed (paralogous chains counted as adjacency</w:t>
      </w:r>
      <w:r>
        <w:t xml:space="preserve"> </w:t>
      </w:r>
      <w:r>
        <w:t xml:space="preserve">evidence, and chain breaks counted as rearrangements, inflating counts by one</w:t>
      </w:r>
      <w:r>
        <w:t xml:space="preserve"> </w:t>
      </w:r>
      <w:r>
        <w:t xml:space="preserve">to two orders of magnitude), and it is withdrawn pending recomputation on the</w:t>
      </w:r>
      <w:r>
        <w:t xml:space="preserve"> </w:t>
      </w:r>
      <w:r>
        <w:t xml:space="preserve">HPC-held genomes. These results support the fragmentation principle and argue</w:t>
      </w:r>
      <w:r>
        <w:t xml:space="preserve"> </w:t>
      </w:r>
      <w:r>
        <w:t xml:space="preserve">for prioritizing ratio-type over transition-count metrics in structural</w:t>
      </w:r>
      <w:r>
        <w:t xml:space="preserve"> </w:t>
      </w:r>
      <w:r>
        <w:t xml:space="preserve">comparison of draft assemblies.</w:t>
      </w:r>
    </w:p>
    <w:bookmarkEnd w:id="15"/>
    <w:bookmarkStart w:id="16" w:name="X63ef91bfde80d80856d8f5fc6d8bcb8e9757653"/>
    <w:p>
      <w:pPr>
        <w:pStyle w:val="Heading3"/>
      </w:pPr>
      <w:r>
        <w:t xml:space="preserve">6. One third of strain-level GTDB pairs carry invisible rearrangements</w:t>
      </w:r>
    </w:p>
    <w:p>
      <w:pPr>
        <w:pStyle w:val="FirstParagraph"/>
      </w:pPr>
      <w:r>
        <w:t xml:space="preserve">The validations above ask how faithfully Syn2b reproduces alignment-based</w:t>
      </w:r>
      <w:r>
        <w:t xml:space="preserve"> </w:t>
      </w:r>
      <w:r>
        <w:t xml:space="preserve">metrics; we now ask what those metrics reveal when applied genome-wide. We</w:t>
      </w:r>
      <w:r>
        <w:t xml:space="preserve"> </w:t>
      </w:r>
      <w:r>
        <w:t xml:space="preserve">merged the held-out set with the ANIm-verified high-ANI sample (47,748 pairs</w:t>
      </w:r>
      <w:r>
        <w:t xml:space="preserve"> </w:t>
      </w:r>
      <w:r>
        <w:t xml:space="preserve">with per-pair ANIm, dnadiff structural events, and Syn2b metrics) and counted</w:t>
      </w:r>
      <w:r>
        <w:t xml:space="preserve"> </w:t>
      </w:r>
      <w:r>
        <w:t xml:space="preserve">dnadiff inversion events per pair. Because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 insensitive to</w:t>
      </w:r>
      <w:r>
        <w:t xml:space="preserve"> </w:t>
      </w:r>
      <w:r>
        <w:t xml:space="preserve">the orientation conventions that affect length-based inverted fractions</w:t>
      </w:r>
      <w:r>
        <w:t xml:space="preserve"> </w:t>
      </w:r>
      <w:r>
        <w:t xml:space="preserve">(section 5), they provide a convention-free rearrangement truth.</w:t>
      </w:r>
    </w:p>
    <w:p>
      <w:pPr>
        <w:pStyle w:val="BodyText"/>
      </w:pPr>
      <w:r>
        <w:rPr>
          <w:b/>
          <w:bCs/>
        </w:rPr>
        <w:t xml:space="preserve">Rearrangement is common at strain-level ANI.</w:t>
      </w:r>
      <w:r>
        <w:t xml:space="preserve"> </w:t>
      </w:r>
      <w:r>
        <w:t xml:space="preserve">Of the 3,828 pairs with</w:t>
      </w:r>
      <w:r>
        <w:t xml:space="preserve"> </w:t>
      </w:r>
      <w:r>
        <w:t xml:space="preserve">ANIm ≥ 97%, 45% carry at least one dnadiff inversion (95% CI 43.5–46.7,</w:t>
      </w:r>
      <w:r>
        <w:t xml:space="preserve"> </w:t>
      </w:r>
      <w:r>
        <w:t xml:space="preserve">pair bootstrap) and 1,295 (34%, CI 32.4–35.3) carry two or more — pairs that</w:t>
      </w:r>
      <w:r>
        <w:t xml:space="preserve"> </w:t>
      </w:r>
      <w:r>
        <w:t xml:space="preserve">any ANI-based ranking would report as near-identical (Figure 5a). The</w:t>
      </w:r>
      <w:r>
        <w:t xml:space="preserve"> </w:t>
      </w:r>
      <w:r>
        <w:t xml:space="preserve">prevalence decays slowly with divergence: at ANIm ≥ 99%, 29% of pairs still</w:t>
      </w:r>
      <w:r>
        <w:t xml:space="preserve"> </w:t>
      </w:r>
      <w:r>
        <w:t xml:space="preserve">carry ≥1 inversion (CI 27.2–31.0; 18% ≥2, CI 16.8–20.1; Figure 5b). Extreme</w:t>
      </w:r>
      <w:r>
        <w:t xml:space="preserve"> </w:t>
      </w:r>
      <w:r>
        <w:t xml:space="preserve">cases include two</w:t>
      </w:r>
      <w:r>
        <w:t xml:space="preserve"> </w:t>
      </w:r>
      <w:r>
        <w:rPr>
          <w:i/>
          <w:iCs/>
        </w:rPr>
        <w:t xml:space="preserve">Streptomyces</w:t>
      </w:r>
      <w:r>
        <w:t xml:space="preserve"> </w:t>
      </w:r>
      <w:r>
        <w:t xml:space="preserve">assemblies of the same species (ANIm 97.1%)</w:t>
      </w:r>
      <w:r>
        <w:t xml:space="preserve"> </w:t>
      </w:r>
      <w:r>
        <w:t xml:space="preserve">with 129 dnadiff inversions between them (top cases in Supplementary Table 6).</w:t>
      </w:r>
      <w:r>
        <w:t xml:space="preserve"> </w:t>
      </w:r>
      <w:r>
        <w:t xml:space="preserve">These calls are not a by-product of assembly fragmentation: discordant pairs</w:t>
      </w:r>
      <w:r>
        <w:t xml:space="preserve"> </w:t>
      </w:r>
      <w:r>
        <w:t xml:space="preserve">carry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contigs than concordant ones (median 122 vs 177 contigs per pair;</w:t>
      </w:r>
      <w:r>
        <w:t xml:space="preserve"> </w:t>
      </w:r>
      <w:r>
        <w:t xml:space="preserve">Mann–Whitney p = 1.7 × 10⁻¹⁷), and because dnadiff can only call inversions</w:t>
      </w:r>
      <w:r>
        <w:t xml:space="preserve"> </w:t>
      </w:r>
      <w:r>
        <w:t xml:space="preserve">inside aligned segments, fragmented assemblies under-count events — the 45%</w:t>
      </w:r>
      <w:r>
        <w:t xml:space="preserve"> </w:t>
      </w:r>
      <w:r>
        <w:t xml:space="preserve">prevalence is therefore conservative.</w:t>
      </w:r>
    </w:p>
    <w:p>
      <w:pPr>
        <w:pStyle w:val="BodyText"/>
      </w:pPr>
      <w:r>
        <w:rPr>
          <w:b/>
          <w:bCs/>
        </w:rPr>
        <w:t xml:space="preserve">Discordant pairs are taxonomically structured.</w:t>
      </w:r>
      <w:r>
        <w:t xml:space="preserve"> </w:t>
      </w:r>
      <w:r>
        <w:t xml:space="preserve">Relative to concordant</w:t>
      </w:r>
      <w:r>
        <w:t xml:space="preserve"> </w:t>
      </w:r>
      <w:r>
        <w:t xml:space="preserve">high-ANI pairs, discordant pairs (ANIm ≥ 97%, ≥2 inversions) are enriched in</w:t>
      </w:r>
      <w:r>
        <w:t xml:space="preserve"> </w:t>
      </w:r>
      <w:r>
        <w:t xml:space="preserve">Proteobacteria (1.3×), Firmicutes (1.4×), Firmicutes_A (1.4×), and</w:t>
      </w:r>
      <w:r>
        <w:t xml:space="preserve"> </w:t>
      </w:r>
      <w:r>
        <w:t xml:space="preserve">Actinobacteriota (1.3×), and depleted in Spirochaetota (0.74×;</w:t>
      </w:r>
      <w:r>
        <w:t xml:space="preserve"> </w:t>
      </w:r>
      <w:r>
        <w:t xml:space="preserve">Figure 5c), consistent with known variation in genome rearrangement rates</w:t>
      </w:r>
      <w:r>
        <w:t xml:space="preserve"> </w:t>
      </w:r>
      <w:r>
        <w:t xml:space="preserve">across phyla.</w:t>
      </w:r>
    </w:p>
    <w:p>
      <w:pPr>
        <w:pStyle w:val="BodyText"/>
      </w:pPr>
      <w:r>
        <w:rPr>
          <w:b/>
          <w:bCs/>
        </w:rPr>
        <w:t xml:space="preserve">Known-biology collections bracket the discordance range.</w:t>
      </w:r>
      <w:r>
        <w:t xml:space="preserve"> </w:t>
      </w:r>
      <w:r>
        <w:t xml:space="preserve">Complete-genome</w:t>
      </w:r>
      <w:r>
        <w:t xml:space="preserve"> </w:t>
      </w:r>
      <w:r>
        <w:t xml:space="preserve">collections with documented rearrangement phenotypes calibrate the junction</w:t>
      </w:r>
      <w:r>
        <w:t xml:space="preserve"> </w:t>
      </w:r>
      <w:r>
        <w:t xml:space="preserve">channel against real biology (Supplementary Figure 5). Among 190 pairs of</w:t>
      </w:r>
      <w:r>
        <w:t xml:space="preserve"> </w:t>
      </w:r>
      <w:r>
        <w:t xml:space="preserve">complete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genomes (median skani ANI 99.92%), the median</w:t>
      </w:r>
      <w:r>
        <w:t xml:space="preserve"> </w:t>
      </w:r>
      <w:r>
        <w:t xml:space="preserve">junction count is 0 — the structurally hyper-conserved negative control.</w:t>
      </w:r>
      <w:r>
        <w:t xml:space="preserve"> </w:t>
      </w:r>
      <w:r>
        <w:t xml:space="preserve">At the other end,</w:t>
      </w:r>
      <w:r>
        <w:t xml:space="preserve"> </w:t>
      </w:r>
      <w:r>
        <w:rPr>
          <w:i/>
          <w:iCs/>
        </w:rPr>
        <w:t xml:space="preserve">Shigella</w:t>
      </w:r>
      <w:r>
        <w:t xml:space="preserve"> </w:t>
      </w:r>
      <w:r>
        <w:t xml:space="preserve">— whose chromosomes rearrange through</w:t>
      </w:r>
      <w:r>
        <w:t xml:space="preserve"> </w:t>
      </w:r>
      <w:r>
        <w:t xml:space="preserve">IS-element-mediated recombination — shows 84–88% of pairs carrying ≥2</w:t>
      </w:r>
      <w:r>
        <w:t xml:space="preserve"> </w:t>
      </w:r>
      <w:r>
        <w:t xml:space="preserve">junctions even at ANI ≥ 99% (median 7–10 junctions;</w:t>
      </w:r>
      <w:r>
        <w:t xml:space="preserve"> </w:t>
      </w:r>
      <w:r>
        <w:rPr>
          <w:i/>
          <w:iCs/>
        </w:rPr>
        <w:t xml:space="preserve">S. flexneri</w:t>
      </w:r>
      <w:r>
        <w:t xml:space="preserve"> </w:t>
      </w:r>
      <w:r>
        <w:t xml:space="preserve">reaches 81),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Salmonella</w:t>
      </w:r>
      <w:r>
        <w:t xml:space="preserve"> </w:t>
      </w:r>
      <w:r>
        <w:t xml:space="preserve">Typhimurium (75% at ≥2, rDNA-mediated inversions) and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(58%) in between. All these pairs would be ranked near-identical by</w:t>
      </w:r>
      <w:r>
        <w:t xml:space="preserve"> </w:t>
      </w:r>
      <w:r>
        <w:t xml:space="preserve">ANI alone; the ordering of the collections matches their known rearrangement</w:t>
      </w:r>
      <w:r>
        <w:t xml:space="preserve"> </w:t>
      </w:r>
      <w:r>
        <w:t xml:space="preserve">biology, on complete genomes where the orientation-convention caveat of</w:t>
      </w:r>
      <w:r>
        <w:t xml:space="preserve"> </w:t>
      </w:r>
      <w:r>
        <w:t xml:space="preserve">section 5 does not apply.</w:t>
      </w:r>
    </w:p>
    <w:p>
      <w:pPr>
        <w:pStyle w:val="BodyText"/>
      </w:pPr>
      <w:r>
        <w:rPr>
          <w:b/>
          <w:bCs/>
        </w:rPr>
        <w:t xml:space="preserve">Syn2b flags discordant pairs at screening cost.</w:t>
      </w:r>
      <w:r>
        <w:t xml:space="preserve"> </w:t>
      </w:r>
      <w:r>
        <w:t xml:space="preserve">Syn2b’s junction count</w:t>
      </w:r>
      <w:r>
        <w:t xml:space="preserve"> </w:t>
      </w:r>
      <w:r>
        <w:t xml:space="preserve">ranks ≥97%-ANIm pairs by rearrangement burden with AUC 0.80 against dnadiff</w:t>
      </w:r>
      <w:r>
        <w:t xml:space="preserve"> </w:t>
      </w:r>
      <w:r>
        <w:t xml:space="preserve">inversion counts and shows no dependence on assembly contig number</w:t>
      </w:r>
      <w:r>
        <w:t xml:space="preserve"> </w:t>
      </w:r>
      <w:r>
        <w:t xml:space="preserve">(section 5); normalizing the count by shared landmarks does not improve the</w:t>
      </w:r>
      <w:r>
        <w:t xml:space="preserve"> </w:t>
      </w:r>
      <w:r>
        <w:t xml:space="preserve">ranking (AUC 0.79), consistent with shared-tag counts being nearly constant</w:t>
      </w:r>
      <w:r>
        <w:t xml:space="preserve"> </w:t>
      </w:r>
      <w:r>
        <w:t xml:space="preserve">in this regime. At a screening threshold of ≥12 junctions it flags 30% of</w:t>
      </w:r>
      <w:r>
        <w:t xml:space="preserve"> </w:t>
      </w:r>
      <w:r>
        <w:t xml:space="preserve">discordant pairs at a 4.6% false-positive rate on concordant pairs (13.1% of</w:t>
      </w:r>
      <w:r>
        <w:t xml:space="preserve"> </w:t>
      </w:r>
      <w:r>
        <w:t xml:space="preserve">all ≥97%-ANIm pairs); flagged pairs can then be committed to alignment-based</w:t>
      </w:r>
      <w:r>
        <w:t xml:space="preserve"> </w:t>
      </w:r>
      <w:r>
        <w:t xml:space="preserve">validation. The economics of this two-stage workflow follow directly: at</w:t>
      </w:r>
      <w:r>
        <w:t xml:space="preserve"> </w:t>
      </w:r>
      <w:r>
        <w:t xml:space="preserve">~19 ms to screen a pair and ~8 s to align it, screening everything and</w:t>
      </w:r>
      <w:r>
        <w:t xml:space="preserve"> </w:t>
      </w:r>
      <w:r>
        <w:t xml:space="preserve">aligning only the flagged pairs costs ~1.1 s per pair on average — ~7.5× less</w:t>
      </w:r>
      <w:r>
        <w:t xml:space="preserve"> </w:t>
      </w:r>
      <w:r>
        <w:t xml:space="preserve">than aligning every pair — and at the scale of all 711M within-species GTDB</w:t>
      </w:r>
      <w:r>
        <w:t xml:space="preserve"> </w:t>
      </w:r>
      <w:r>
        <w:t xml:space="preserve">pairs the difference is 0.21M versus 1.58M core-hours. The remaining</w:t>
      </w:r>
      <w:r>
        <w:t xml:space="preserve"> </w:t>
      </w:r>
      <w:r>
        <w:t xml:space="preserve">discrepancy is expected from the sampling model: junction counts</w:t>
      </w:r>
      <w:r>
        <w:t xml:space="preserve"> </w:t>
      </w:r>
      <w:r>
        <w:t xml:space="preserve">underestimate rearrangements that fall between landmarks, and the ratio metric</w:t>
      </w:r>
      <w:r>
        <w:t xml:space="preserve"> </w:t>
      </w:r>
      <w:r>
        <w:t xml:space="preserve">is blind to event multiplicity. For database-scale applications the practical</w:t>
      </w:r>
      <w:r>
        <w:t xml:space="preserve"> </w:t>
      </w:r>
      <w:r>
        <w:t xml:space="preserve">consequence is direct: a genome search that reports only ANI will rank 1,295</w:t>
      </w:r>
      <w:r>
        <w:t xml:space="preserve"> </w:t>
      </w:r>
      <w:r>
        <w:t xml:space="preserve">structurally divergent surveyed pairs as top hits, and Syn2b recovers this</w:t>
      </w:r>
      <w:r>
        <w:t xml:space="preserve"> </w:t>
      </w:r>
      <w:r>
        <w:t xml:space="preserve">signal in ~19 ms per pair without any alignment.</w:t>
      </w:r>
    </w:p>
    <w:bookmarkEnd w:id="16"/>
    <w:bookmarkStart w:id="17" w:name="Xf6b0eddf9c0c3e42eb314c229d743bb331206ea"/>
    <w:p>
      <w:pPr>
        <w:pStyle w:val="Heading3"/>
      </w:pPr>
      <w:r>
        <w:t xml:space="preserve">7.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(&gt;99.9%) yet span the widest breakpoint range (median</w:t>
      </w:r>
      <w:r>
        <w:t xml:space="preserve"> </w:t>
      </w:r>
      <w:r>
        <w:t xml:space="preserve">junction count 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are near-clonal</w:t>
      </w:r>
      <w:r>
        <w:t xml:space="preserve"> </w:t>
      </w:r>
      <w:r>
        <w:t xml:space="preserve">(ANI 99.93–100.00%, median 99.99) and carry essentially no structural signal</w:t>
      </w:r>
      <w:r>
        <w:t xml:space="preserve"> </w:t>
      </w:r>
      <w:r>
        <w:t xml:space="preserve">(median junction count = 0, maximum 3), consistent with a population driven</w:t>
      </w:r>
      <w:r>
        <w:t xml:space="preserve"> </w:t>
      </w:r>
      <w:r>
        <w:t xml:space="preserve">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spans the broadest ANI range</w:t>
      </w:r>
      <w:r>
        <w:t xml:space="preserve"> </w:t>
      </w:r>
      <w:r>
        <w:t xml:space="preserve">(94.6–100%) 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sits at 99.6–100%; in both, ANI and</w:t>
      </w:r>
      <w:r>
        <w:t xml:space="preserve"> </w:t>
      </w:r>
      <w:r>
        <w:t xml:space="preserve">breakpoints vary together but 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Within-participant pairs showed very</w:t>
      </w:r>
      <w:r>
        <w:t xml:space="preserve"> </w:t>
      </w:r>
      <w:r>
        <w:t xml:space="preserve">low structural disruption (median junction count = 0,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cross-participant pairs showed</w:t>
      </w:r>
      <w:r>
        <w:t xml:space="preserve"> </w:t>
      </w:r>
      <w:r>
        <w:t xml:space="preserve">substantially more signal (median junction count = 8,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A label-permutation test (10,000 permutations)</w:t>
      </w:r>
      <w:r>
        <w:t xml:space="preserve"> </w:t>
      </w:r>
      <w:r>
        <w:t xml:space="preserve">confirms the difference (median difference −8 breakpoints, p &lt; 1e-4, Cliff’s</w:t>
      </w:r>
      <w:r>
        <w:t xml:space="preserve"> </w:t>
      </w:r>
      <w:r>
        <w:t xml:space="preserve">delta = −0.92; Mann–Whitney p = 4e-226; Supplementary Table 5). Same-host pairs</w:t>
      </w:r>
      <w:r>
        <w:t xml:space="preserve"> </w:t>
      </w:r>
      <w:r>
        <w:t xml:space="preserve">tend to have both high ANI and low breakpoint counts, whereas between-host pairs</w:t>
      </w:r>
      <w:r>
        <w:t xml:space="preserve"> </w:t>
      </w:r>
      <w:r>
        <w:t xml:space="preserve">show greater structural divergence even when ANI is similar (Figure 4d). This</w:t>
      </w:r>
      <w:r>
        <w:t xml:space="preserve"> </w:t>
      </w:r>
      <w:r>
        <w:t xml:space="preserve">pattern mirrors the participant-level signal reported by SynTracker and</w:t>
      </w:r>
      <w:r>
        <w:t xml:space="preserve"> </w:t>
      </w:r>
      <w:r>
        <w:t xml:space="preserve">demonstrates that Syn2b captures epidemiologically relevant structure using</w:t>
      </w:r>
      <w:r>
        <w:t xml:space="preserve"> </w:t>
      </w:r>
      <w:r>
        <w:t xml:space="preserve">only restriction-enzyme tags.</w:t>
      </w:r>
    </w:p>
    <w:bookmarkEnd w:id="17"/>
    <w:bookmarkStart w:id="18" w:name="runtime-benchmarking"/>
    <w:p>
      <w:pPr>
        <w:pStyle w:val="Heading3"/>
      </w:pPr>
      <w:r>
        <w:t xml:space="preserve">8. Runtime benchmarking</w:t>
      </w:r>
    </w:p>
    <w:p>
      <w:pPr>
        <w:pStyle w:val="FirstParagraph"/>
      </w:pPr>
      <w:r>
        <w:t xml:space="preserve">Digestion of a 4.6-Mbp genome with the full four-enzyme panel takes</w:t>
      </w:r>
      <w:r>
        <w:t xml:space="preserve"> </w:t>
      </w:r>
      <w:r>
        <w:t xml:space="preserve">approximately 42 ms on a single core (measured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K-12, including</w:t>
      </w:r>
      <w:r>
        <w:t xml:space="preserve"> </w:t>
      </w:r>
      <w:r>
        <w:t xml:space="preserve">process startup; timings archived in the repository), with individual</w:t>
      </w:r>
      <w:r>
        <w:t xml:space="preserve"> </w:t>
      </w:r>
      <w:r>
        <w:t xml:space="preserve">production-panel enzymes ranging from approximately 30 ms (FalI) to 46 ms</w:t>
      </w:r>
      <w:r>
        <w:t xml:space="preserve"> </w:t>
      </w:r>
      <w:r>
        <w:t xml:space="preserve">(BcgI) (Figure 6a).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(Figure 6b; Table 3).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 and remained</w:t>
      </w:r>
      <w:r>
        <w:t xml:space="preserve"> </w:t>
      </w:r>
      <w:r>
        <w:t xml:space="preserve">well within standard laptop limits for all panel sizes tested. On the</w:t>
      </w:r>
      <w:r>
        <w:t xml:space="preserve"> </w:t>
      </w:r>
      <w:r>
        <w:t xml:space="preserve">same 22-genome panel (484 ordered pairs), Syn2b completed structural comparison</w:t>
      </w:r>
      <w:r>
        <w:t xml:space="preserve"> </w:t>
      </w:r>
      <w:r>
        <w:t xml:space="preserve">in 4.4 s, versus 1,844 s for the skani+dnadiff workflow — a ~420-fold speedup</w:t>
      </w:r>
      <w:r>
        <w:t xml:space="preserve"> </w:t>
      </w:r>
      <w:r>
        <w:t xml:space="preserve">(Supplementary Table 4). Supplementary Table 2 gives the scaling across panel</w:t>
      </w:r>
      <w:r>
        <w:t xml:space="preserve"> </w:t>
      </w:r>
      <w:r>
        <w:t xml:space="preserve">sizes. SynTracker, the microsynteny alternative, required 65,162 s (18.1 h) on</w:t>
      </w:r>
      <w:r>
        <w:t xml:space="preserve"> </w:t>
      </w:r>
      <w:r>
        <w:t xml:space="preserve">the same 22-genome panel even with 16 cores — ~15,000-fold slower than Syn2b —</w:t>
      </w:r>
      <w:r>
        <w:t xml:space="preserve"> </w:t>
      </w:r>
      <w:r>
        <w:t xml:space="preserve">consistent with its BLAST database construction and all-versus-all DECIPHER</w:t>
      </w:r>
      <w:r>
        <w:t xml:space="preserve"> </w:t>
      </w:r>
      <w:r>
        <w:t xml:space="preserve">alignment being at least as expensive as the nucmer-based dnadiff stage.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Syn2b,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existing structural workflows.</w:t>
      </w:r>
      <w:r>
        <w:t xml:space="preserve"> </w:t>
      </w:r>
      <w:r>
        <w:t xml:space="preserve">SynTracker pioneered</w:t>
      </w:r>
      <w:r>
        <w:t xml:space="preserve"> </w:t>
      </w:r>
      <w:r>
        <w:t xml:space="preserve">microsynteny for strain comparison but requires BLAST databases and</w:t>
      </w:r>
      <w:r>
        <w:t xml:space="preserve"> </w:t>
      </w:r>
      <w:r>
        <w:t xml:space="preserve">all-versus-all DECIPHER alignments; on our 22-genome benchmark panel it needed</w:t>
      </w:r>
      <w:r>
        <w:t xml:space="preserve"> </w:t>
      </w:r>
      <w:r>
        <w:t xml:space="preserve">18.1 h on 16 cores (282 s per unique pair; Supplementary Table 4), about</w:t>
      </w:r>
      <w:r>
        <w:t xml:space="preserve"> </w:t>
      </w:r>
      <w:r>
        <w:t xml:space="preserve">15,000 times slower than Syn2b for a comparable structural read-out.</w:t>
      </w:r>
      <w:r>
        <w:t xml:space="preserve"> </w:t>
      </w:r>
      <w:r>
        <w:t xml:space="preserve">Alignment-based callers such as dnadiff provide ground truth but require a</w:t>
      </w:r>
      <w:r>
        <w:t xml:space="preserve"> </w:t>
      </w:r>
      <w:r>
        <w:t xml:space="preserve">pairwise nucmer alignment per genome pair (~8.0 s per unique pair on our</w:t>
      </w:r>
      <w:r>
        <w:t xml:space="preserve"> </w:t>
      </w:r>
      <w:r>
        <w:t xml:space="preserve">benchmark; Supplementary Table 4); the cheapest alignment alternative,</w:t>
      </w:r>
      <w:r>
        <w:t xml:space="preserve"> </w:t>
      </w:r>
      <w:r>
        <w:t xml:space="preserve">minimap2²² (</w:t>
      </w:r>
      <w:r>
        <w:rPr>
          <w:rStyle w:val="VerbatimChar"/>
        </w:rPr>
        <w:t xml:space="preserve">-cx asm5</w:t>
      </w:r>
      <w:r>
        <w:t xml:space="preserve">, one thread), still needs ~1.9 s per complete-genome</w:t>
      </w:r>
      <w:r>
        <w:t xml:space="preserve"> </w:t>
      </w:r>
      <w:r>
        <w:t xml:space="preserve">pair on the same machine as our local Syn2b timings — roughly 100× Syn2b’s</w:t>
      </w:r>
      <w:r>
        <w:t xml:space="preserve"> </w:t>
      </w:r>
      <w:r>
        <w:t xml:space="preserve">per-pair cost. Syn2b achieves the same structural signal</w:t>
      </w:r>
      <w:r>
        <w:t xml:space="preserve"> </w:t>
      </w:r>
      <w:r>
        <w:t xml:space="preserve">through Type IIB tag adjacency, without pairwise alignment or a pre-built</w:t>
      </w:r>
      <w:r>
        <w:t xml:space="preserve"> </w:t>
      </w:r>
      <w:r>
        <w:t xml:space="preserve">database, at ~19 ms per unique pair. Other alignment-free approaches — MinHash</w:t>
      </w:r>
      <w:r>
        <w:t xml:space="preserve"> </w:t>
      </w:r>
      <w:r>
        <w:t xml:space="preserve">distances (Mash¹⁸) and sparse chaining (skani²¹) — summarize genomes as k-mer</w:t>
      </w:r>
      <w:r>
        <w:t xml:space="preserve"> </w:t>
      </w:r>
      <w:r>
        <w:t xml:space="preserve">sets and are by construction blind to adjacency, as our controlled benchmarks</w:t>
      </w:r>
      <w:r>
        <w:t xml:space="preserve"> </w:t>
      </w:r>
      <w:r>
        <w:t xml:space="preserve">confirm (Figure 2d); Syn2b retains ordered landmarks at comparable cost and is,</w:t>
      </w:r>
      <w:r>
        <w:t xml:space="preserve"> </w:t>
      </w:r>
      <w:r>
        <w:t xml:space="preserve">to our knowledge, the fastest method that reports any length-resolved</w:t>
      </w:r>
      <w:r>
        <w:t xml:space="preserve"> </w:t>
      </w:r>
      <w:r>
        <w:t xml:space="preserve">structural quantity. The GTDB validation shows that the orientation ratio alone</w:t>
      </w:r>
      <w:r>
        <w:t xml:space="preserve"> </w:t>
      </w:r>
      <w:r>
        <w:t xml:space="preserve">matches dnadiff at r = 0.94 overall and r = 0.996 at ANIm ≥ 97%.</w:t>
      </w:r>
    </w:p>
    <w:p>
      <w:pPr>
        <w:pStyle w:val="BodyText"/>
      </w:pPr>
      <w:r>
        <w:rPr>
          <w:b/>
          <w:bCs/>
        </w:rPr>
        <w:t xml:space="preserve">What genome-wide screening reveals.</w:t>
      </w:r>
      <w:r>
        <w:t xml:space="preserve"> </w:t>
      </w:r>
      <w:r>
        <w:t xml:space="preserve">The discordance survey in section 6</w:t>
      </w:r>
      <w:r>
        <w:t xml:space="preserve"> </w:t>
      </w:r>
      <w:r>
        <w:t xml:space="preserve">gives a concrete use case. In the 47,748 surveyed pairs alone there are 1,295</w:t>
      </w:r>
      <w:r>
        <w:t xml:space="preserve"> </w:t>
      </w:r>
      <w:r>
        <w:t xml:space="preserve">genome pairs that any ANI-only search would rank as near-identical</w:t>
      </w:r>
      <w:r>
        <w:t xml:space="preserve"> </w:t>
      </w:r>
      <w:r>
        <w:t xml:space="preserve">(ANIm ≥ 97%) yet that carry ≥2 alignment-visible inversions; extrapolated to</w:t>
      </w:r>
      <w:r>
        <w:t xml:space="preserve"> </w:t>
      </w:r>
      <w:r>
        <w:t xml:space="preserve">the full GTDB representative set, the absolute number is far larger. Fast</w:t>
      </w:r>
      <w:r>
        <w:t xml:space="preserve"> </w:t>
      </w:r>
      <w:r>
        <w:t xml:space="preserve">adjacency-based metrics make such pairs</w:t>
      </w:r>
      <w:r>
        <w:t xml:space="preserve"> </w:t>
      </w:r>
      <w:r>
        <w:t xml:space="preserve">discoverable at database scale and in real time during genome search, at which</w:t>
      </w:r>
      <w:r>
        <w:t xml:space="preserve"> </w:t>
      </w:r>
      <w:r>
        <w:t xml:space="preserve">point selected pairs can be committed to alignment-based validation. We expect</w:t>
      </w:r>
      <w:r>
        <w:t xml:space="preserve"> </w:t>
      </w:r>
      <w:r>
        <w:t xml:space="preserve">this screening role — rather than replacement of alignment-based callers — to</w:t>
      </w:r>
      <w:r>
        <w:t xml:space="preserve"> </w:t>
      </w:r>
      <w:r>
        <w:t xml:space="preserve">be the primary mode of use.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In a controlled detection-size benchmark, the BcgI+AlfI+AloI+FalI panel</w:t>
      </w:r>
      <w:r>
        <w:t xml:space="preserve"> </w:t>
      </w:r>
      <w:r>
        <w:t xml:space="preserve">recovered both junctions of 4-kb inversions in 10/10 replicates, whereas BcgI</w:t>
      </w:r>
      <w:r>
        <w:t xml:space="preserve"> </w:t>
      </w:r>
      <w:r>
        <w:t xml:space="preserve">alone required 8 kb for comparable detection (Supplementary Figure 4).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per-pair biological interpretation of the inverted fraction requires</w:t>
      </w:r>
      <w:r>
        <w:t xml:space="preserve"> </w:t>
      </w:r>
      <w:r>
        <w:t xml:space="preserve">orientation-consistent assemblies, because arbitrary contig orientation in draft</w:t>
      </w:r>
      <w:r>
        <w:t xml:space="preserve"> </w:t>
      </w:r>
      <w:r>
        <w:t xml:space="preserve">assemblies drives fixed-reference fractions toward 0.5 even between identical</w:t>
      </w:r>
      <w:r>
        <w:t xml:space="preserve"> </w:t>
      </w:r>
      <w:r>
        <w:t xml:space="preserve">genomes; inversion counts are free of this convention but carry the</w:t>
      </w:r>
      <w:r>
        <w:t xml:space="preserve"> </w:t>
      </w:r>
      <w:r>
        <w:t xml:space="preserve">fragmentation dependence of all transition counts, and are best used on</w:t>
      </w:r>
      <w:r>
        <w:t xml:space="preserve"> </w:t>
      </w:r>
      <w:r>
        <w:t xml:space="preserve">low-contig or contig-corrected assemblies.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20"/>
    <w:bookmarkStart w:id="30" w:name="methods"/>
    <w:p>
      <w:pPr>
        <w:pStyle w:val="Heading2"/>
      </w:pPr>
      <w:r>
        <w:t xml:space="preserve">Methods</w:t>
      </w:r>
    </w:p>
    <w:bookmarkStart w:id="21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4,641,652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custom Python scripts (</w:t>
      </w:r>
      <w:r>
        <w:rPr>
          <w:rStyle w:val="VerbatimChar"/>
        </w:rPr>
        <w:t xml:space="preserve">scripts/generate_figure2_rust.py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scripts/generate_supplementary_figure3.py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scripts/measure_detection_size.py</w:t>
      </w:r>
      <w:r>
        <w:t xml:space="preserve">; seed = 42). All metrics reported for</w:t>
      </w:r>
      <w:r>
        <w:t xml:space="preserve"> </w:t>
      </w:r>
      <w:r>
        <w:t xml:space="preserve">simulated genomes are measured by running the Rust Syn2b binary; no value is</w:t>
      </w:r>
      <w:r>
        <w:t xml:space="preserve"> </w:t>
      </w:r>
      <w:r>
        <w:t xml:space="preserve">hardcoded.</w:t>
      </w:r>
    </w:p>
    <w:bookmarkEnd w:id="21"/>
    <w:bookmarkStart w:id="22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2"/>
    <w:bookmarkStart w:id="23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enumerated at every position,</w:t>
      </w:r>
      <w:r>
        <w:t xml:space="preserve"> </w:t>
      </w:r>
      <w:r>
        <w:t xml:space="preserve">converted to Mash distance¹⁸.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/ junction count.</w:t>
      </w:r>
      <w:r>
        <w:t xml:space="preserve"> </w:t>
      </w:r>
      <w:r>
        <w:t xml:space="preserve">Adjacent tag pairs present in one genome but</w:t>
      </w:r>
      <w:r>
        <w:t xml:space="preserve"> </w:t>
      </w:r>
      <w:r>
        <w:t xml:space="preserve">not the other. This is a transition count and inherits a fragmentation-dependent</w:t>
      </w:r>
      <w:r>
        <w:t xml:space="preserve"> </w:t>
      </w:r>
      <w:r>
        <w:t xml:space="preserve">term (Supplementary Note 1); Syn2b avoids the dominant term by never forming</w:t>
      </w:r>
      <w:r>
        <w:t xml:space="preserve"> </w:t>
      </w:r>
      <w:r>
        <w:t xml:space="preserve">adjacencies across contig boundaries, so contig starts cannot register as</w:t>
      </w:r>
      <w:r>
        <w:t xml:space="preserve"> </w:t>
      </w:r>
      <w:r>
        <w:t xml:space="preserve">junctions.</w:t>
      </w:r>
    </w:p>
    <w:p>
      <w:pPr>
        <w:pStyle w:val="BodyText"/>
      </w:pPr>
      <w:r>
        <w:rPr>
          <w:b/>
          <w:bCs/>
        </w:rPr>
        <w:t xml:space="preserve">SCJ distance.</w:t>
      </w:r>
      <w:r>
        <w:t xml:space="preserve"> </w:t>
      </w:r>
      <w:r>
        <w:t xml:space="preserve">Single-cut-or-join distance between the two genomes’ tag</w:t>
      </w:r>
      <w:r>
        <w:t xml:space="preserve"> </w:t>
      </w:r>
      <w:r>
        <w:t xml:space="preserve">adjacency orders: the minimum number of adjacency cuts and joins that</w:t>
      </w:r>
      <w:r>
        <w:t xml:space="preserve"> </w:t>
      </w:r>
      <w:r>
        <w:t xml:space="preserve">transforms one tag order into the other.</w:t>
      </w:r>
    </w:p>
    <w:p>
      <w:pPr>
        <w:pStyle w:val="BodyText"/>
      </w:pPr>
      <w:r>
        <w:rPr>
          <w:b/>
          <w:bCs/>
        </w:rPr>
        <w:t xml:space="preserve">Inverted landmark fraction (length-weighted inverted fraction).</w:t>
      </w:r>
      <w:r>
        <w:t xml:space="preserve"> </w:t>
      </w:r>
      <w:r>
        <w:t xml:space="preserve">For</w:t>
      </w:r>
      <w:r>
        <w:t xml:space="preserve"> </w:t>
      </w:r>
      <w:r>
        <w:t xml:space="preserve">shared, orientation-informative tags, the fraction whose stored strand differs</w:t>
      </w:r>
      <w:r>
        <w:t xml:space="preserve"> </w:t>
      </w:r>
      <w:r>
        <w:t xml:space="preserve">from the reference — a landmark-count fraction, not a base-pair-weighted one.</w:t>
      </w:r>
      <w:r>
        <w:t xml:space="preserve"> </w:t>
      </w:r>
      <w:r>
        <w:t xml:space="preserve">Because Type IIB sites are approximately uniformly distributed, the landmark</w:t>
      </w:r>
      <w:r>
        <w:t xml:space="preserve"> </w:t>
      </w:r>
      <w:r>
        <w:t xml:space="preserve">fraction estimates the length-weighted inverted fraction; the residual</w:t>
      </w:r>
      <w:r>
        <w:t xml:space="preserve"> </w:t>
      </w:r>
      <w:r>
        <w:t xml:space="preserve">difference between the two is absorbed by the overdispersion coefficient of</w:t>
      </w:r>
      <w:r>
        <w:t xml:space="preserve"> </w:t>
      </w:r>
      <w:r>
        <w:t xml:space="preserve">the error model (Supplementary Note 2). Reported as majority-frame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inverted_fraction</w:t>
      </w:r>
      <w:r>
        <w:t xml:space="preserve">) and fixed-reference (</w:t>
      </w:r>
      <w:r>
        <w:rPr>
          <w:rStyle w:val="VerbatimChar"/>
        </w:rPr>
        <w:t xml:space="preserve">raw_inverted_fraction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Observable fraction.</w:t>
      </w:r>
      <w:r>
        <w:t xml:space="preserve"> </w:t>
      </w:r>
      <w:r>
        <w:t xml:space="preserve">The fraction of reference landmark adjacencies</w:t>
      </w:r>
      <w:r>
        <w:t xml:space="preserve"> </w:t>
      </w:r>
      <w:r>
        <w:t xml:space="preserve">observable in both genomes; adjacencies falling on fragment (contig)</w:t>
      </w:r>
      <w:r>
        <w:t xml:space="preserve"> </w:t>
      </w:r>
      <w:r>
        <w:t xml:space="preserve">boundaries are unobservable rather than absent (Supplementary Note 1).</w:t>
      </w:r>
    </w:p>
    <w:p>
      <w:pPr>
        <w:pStyle w:val="BodyText"/>
      </w:pPr>
      <w:r>
        <w:rPr>
          <w:b/>
          <w:bCs/>
        </w:rPr>
        <w:t xml:space="preserve">Synteny blocks; Kendall tau.</w:t>
      </w:r>
      <w:r>
        <w:t xml:space="preserve"> </w:t>
      </w:r>
      <w:r>
        <w:t xml:space="preserve">Contiguous runs of conserved tag adjacency,</w:t>
      </w:r>
      <w:r>
        <w:t xml:space="preserve"> </w:t>
      </w:r>
      <w:r>
        <w:t xml:space="preserve">and the rank correlation of shared-tag positions, respectively. Because any</w:t>
      </w:r>
      <w:r>
        <w:t xml:space="preserve"> </w:t>
      </w:r>
      <w:r>
        <w:t xml:space="preserve">chaining scheme starts a new block at every contig boundary, block counts are</w:t>
      </w:r>
      <w:r>
        <w:t xml:space="preserve"> </w:t>
      </w:r>
      <w:r>
        <w:t xml:space="preserve">dominated by assembly structure and are reported as assembly-quality rather</w:t>
      </w:r>
      <w:r>
        <w:t xml:space="preserve"> </w:t>
      </w:r>
      <w:r>
        <w:t xml:space="preserve">than rearrangement statistics.</w:t>
      </w:r>
    </w:p>
    <w:bookmarkEnd w:id="23"/>
    <w:bookmarkStart w:id="24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 (per-pair metrics in Supplementary Table 1). To cover the</w:t>
      </w:r>
      <w:r>
        <w:t xml:space="preserve"> </w:t>
      </w:r>
      <w:r>
        <w:t xml:space="preserve">strain-level regime, additional candidate pairs were sampled from GTDB-R207</w:t>
      </w:r>
      <w:r>
        <w:t xml:space="preserve"> </w:t>
      </w:r>
      <w:r>
        <w:t xml:space="preserve">genomes enriched for close relatives (candidate strata of the companion</w:t>
      </w:r>
      <w:r>
        <w:t xml:space="preserve"> </w:t>
      </w:r>
      <w:r>
        <w:t xml:space="preserve">Syn2bANI benchmark, initially ranked by predicted ANI) and retained only if</w:t>
      </w:r>
      <w:r>
        <w:t xml:space="preserve"> </w:t>
      </w:r>
      <w:r>
        <w:t xml:space="preserve">their alignment-based ANIm was ≥ 95%. This ANIm-verified sample contributed</w:t>
      </w:r>
      <w:r>
        <w:t xml:space="preserve"> </w:t>
      </w:r>
      <w:r>
        <w:t xml:space="preserve">4,436 pairs with complete metrics (3,826 at ≥ 97% ANIm); candidates that failed</w:t>
      </w:r>
      <w:r>
        <w:t xml:space="preserve"> </w:t>
      </w:r>
      <w:r>
        <w:t xml:space="preserve">ANIm verification are excluded from all headline results. For each pair, ANIm</w:t>
      </w:r>
      <w:r>
        <w:t xml:space="preserve"> </w:t>
      </w:r>
      <w:r>
        <w:t xml:space="preserve">was computed with minimap2²² (</w:t>
      </w:r>
      <w:r>
        <w:rPr>
          <w:rStyle w:val="VerbatimChar"/>
        </w:rPr>
        <w:t xml:space="preserve">-cx asm20</w:t>
      </w:r>
      <w:r>
        <w:t xml:space="preserve">) and dnadiff (MUMmer 4.0²³) was run</w:t>
      </w:r>
      <w:r>
        <w:t xml:space="preserve"> </w:t>
      </w:r>
      <w:r>
        <w:t xml:space="preserve">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4"/>
    <w:bookmarkStart w:id="25" w:name="skani-ani-for-cohort-analysis"/>
    <w:p>
      <w:pPr>
        <w:pStyle w:val="Heading3"/>
      </w:pPr>
      <w:r>
        <w:t xml:space="preserve">skani ANI for cohort analysis</w:t>
      </w:r>
    </w:p>
    <w:p>
      <w:pPr>
        <w:pStyle w:val="FirstParagraph"/>
      </w:pPr>
      <w:r>
        <w:t xml:space="preserve">skani²¹ v0.1.0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was run with default parameters on the four SynTracker</w:t>
      </w:r>
      <w:r>
        <w:t xml:space="preserve"> </w:t>
      </w:r>
      <w:r>
        <w:t xml:space="preserve">cohort assembly sets to obtain the ANI values used in Figure 4. The values sit</w:t>
      </w:r>
      <w:r>
        <w:t xml:space="preserve"> </w:t>
      </w:r>
      <w:r>
        <w:t xml:space="preserve">at ≥94.6% ANI, where skani’s estimate is stable across versions; re-running</w:t>
      </w:r>
      <w:r>
        <w:t xml:space="preserve"> </w:t>
      </w:r>
      <w:r>
        <w:t xml:space="preserve">with the current skani release is queued alongside the HPC recomputation.</w:t>
      </w:r>
    </w:p>
    <w:bookmarkEnd w:id="25"/>
    <w:bookmarkStart w:id="26" w:name="X6a6b7d43cb1ec6d1ead97acaebef98c7d7d0912"/>
    <w:p>
      <w:pPr>
        <w:pStyle w:val="Heading3"/>
      </w:pPr>
      <w:r>
        <w:t xml:space="preserve">Known-biology complete-genome collections</w:t>
      </w:r>
    </w:p>
    <w:p>
      <w:pPr>
        <w:pStyle w:val="FirstParagraph"/>
      </w:pPr>
      <w:r>
        <w:t xml:space="preserve">Complete-genome (assembly-level) sets for</w:t>
      </w:r>
      <w:r>
        <w:t xml:space="preserve"> </w:t>
      </w:r>
      <w:r>
        <w:rPr>
          <w:i/>
          <w:iCs/>
        </w:rPr>
        <w:t xml:space="preserve">S. flexneri</w:t>
      </w:r>
      <w:r>
        <w:t xml:space="preserve"> </w:t>
      </w:r>
      <w:r>
        <w:t xml:space="preserve">(n = 25),</w:t>
      </w:r>
      <w:r>
        <w:t xml:space="preserve"> </w:t>
      </w:r>
      <w:r>
        <w:rPr>
          <w:i/>
          <w:iCs/>
        </w:rPr>
        <w:t xml:space="preserve">S. sonnei</w:t>
      </w:r>
      <w:r>
        <w:t xml:space="preserve"> </w:t>
      </w:r>
      <w:r>
        <w:t xml:space="preserve">(n = 15),</w:t>
      </w:r>
      <w:r>
        <w:t xml:space="preserve"> </w:t>
      </w:r>
      <w:r>
        <w:rPr>
          <w:i/>
          <w:iCs/>
        </w:rPr>
        <w:t xml:space="preserve">S.</w:t>
      </w:r>
      <w:r>
        <w:t xml:space="preserve"> </w:t>
      </w:r>
      <w:r>
        <w:t xml:space="preserve">Typhimurium (n = 20),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(n = 20) and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(n = 20) were retrieved from NCBI Assembly with a complete-genome 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scripts/fetch_vignette_genomes.py</w:t>
      </w:r>
      <w:r>
        <w:t xml:space="preserve">, September 2026). Assemblies sharing an</w:t>
      </w:r>
      <w:r>
        <w:t xml:space="preserve"> </w:t>
      </w:r>
      <w:r>
        <w:t xml:space="preserve">identical chromosome sequence identifier with another member of the set are</w:t>
      </w:r>
      <w:r>
        <w:t xml:space="preserve"> </w:t>
      </w:r>
      <w:r>
        <w:t xml:space="preserve">retained once. All within-collection pairs were compared with Syn2b</w:t>
      </w:r>
      <w:r>
        <w:t xml:space="preserve"> </w:t>
      </w:r>
      <w:r>
        <w:t xml:space="preserve">(BcgI+AlfI+AloI+FalI) and skani v0.1.0</w:t>
      </w:r>
      <w:r>
        <w:t xml:space="preserve"> </w:t>
      </w:r>
      <w:r>
        <w:rPr>
          <w:rStyle w:val="VerbatimChar"/>
        </w:rPr>
        <w:t xml:space="preserve">triangle</w:t>
      </w:r>
      <w:r>
        <w:t xml:space="preserve"> </w:t>
      </w:r>
      <w:r>
        <w:t xml:space="preserve">for ANI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scripts/analyze_known_biology.py</w:t>
      </w:r>
      <w:r>
        <w:t xml:space="preserve">; per-pair data in</w:t>
      </w:r>
      <w:r>
        <w:t xml:space="preserve"> </w:t>
      </w:r>
      <w:r>
        <w:rPr>
          <w:rStyle w:val="VerbatimChar"/>
        </w:rPr>
        <w:t xml:space="preserve">results/known_biology/vignette_pairs.tsv</w:t>
      </w:r>
      <w:r>
        <w:t xml:space="preserve">). The minimap2 reference timing</w:t>
      </w:r>
      <w:r>
        <w:t xml:space="preserve"> </w:t>
      </w:r>
      <w:r>
        <w:t xml:space="preserve">(</w:t>
      </w:r>
      <w:r>
        <w:rPr>
          <w:rStyle w:val="VerbatimChar"/>
        </w:rPr>
        <w:t xml:space="preserve">-cx asm5</w:t>
      </w:r>
      <w:r>
        <w:t xml:space="preserve">, one thread, MG1655 vs Sakai O157:H7) is archived in</w:t>
      </w:r>
      <w:r>
        <w:t xml:space="preserve"> </w:t>
      </w:r>
      <w:r>
        <w:rPr>
          <w:rStyle w:val="VerbatimChar"/>
        </w:rPr>
        <w:t xml:space="preserve">results/efficiency_v8/minimap2_timing.tsv</w:t>
      </w:r>
      <w:r>
        <w:t xml:space="preserve">.</w:t>
      </w:r>
    </w:p>
    <w:bookmarkEnd w:id="26"/>
    <w:bookmarkStart w:id="27" w:name="X8a39519311735125bd69615251976c20069db80"/>
    <w:p>
      <w:pPr>
        <w:pStyle w:val="Heading3"/>
      </w:pPr>
      <w:r>
        <w:t xml:space="preserve">Genome-wide ANI–rearrangement discordance analysis</w:t>
      </w:r>
    </w:p>
    <w:p>
      <w:pPr>
        <w:pStyle w:val="FirstParagraph"/>
      </w:pPr>
      <w:r>
        <w:t xml:space="preserve">The held-out set and the ANIm-verified high-ANI sample were merged on</w:t>
      </w:r>
      <w:r>
        <w:t xml:space="preserve"> </w:t>
      </w:r>
      <w:r>
        <w:rPr>
          <w:rStyle w:val="VerbatimChar"/>
        </w:rPr>
        <w:t xml:space="preserve">pairid</w:t>
      </w:r>
      <w:r>
        <w:t xml:space="preserve"> </w:t>
      </w:r>
      <w:r>
        <w:t xml:space="preserve">(no overlap between the two sets). Per-pair ANIm, dnadiff inversion</w:t>
      </w:r>
      <w:r>
        <w:t xml:space="preserve"> </w:t>
      </w:r>
      <w:r>
        <w:t xml:space="preserve">counts (</w:t>
      </w:r>
      <w:r>
        <w:rPr>
          <w:rStyle w:val="VerbatimChar"/>
        </w:rPr>
        <w:t xml:space="preserve">max</w:t>
      </w:r>
      <w:r>
        <w:t xml:space="preserve"> </w:t>
      </w:r>
      <w:r>
        <w:t xml:space="preserve">of the reference-side and query-side</w:t>
      </w:r>
      <w:r>
        <w:t xml:space="preserve"> </w:t>
      </w:r>
      <w:r>
        <w:rPr>
          <w:rStyle w:val="VerbatimChar"/>
        </w:rPr>
        <w:t xml:space="preserve">dd_inversions</w:t>
      </w:r>
      <w:r>
        <w:t xml:space="preserve"> </w:t>
      </w:r>
      <w:r>
        <w:t xml:space="preserve">columns of</w:t>
      </w:r>
      <w:r>
        <w:t xml:space="preserve"> </w:t>
      </w:r>
      <w:r>
        <w:t xml:space="preserve">the dnadiff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output), dnadiff breakpoint counts, Syn2b junction</w:t>
      </w:r>
      <w:r>
        <w:t xml:space="preserve"> </w:t>
      </w:r>
      <w:r>
        <w:t xml:space="preserve">counts, and per-genome contig numbers (from GTDB-R207 metadata) were combined</w:t>
      </w:r>
      <w:r>
        <w:t xml:space="preserve"> </w:t>
      </w:r>
      <w:r>
        <w:t xml:space="preserve">with the analysis script</w:t>
      </w:r>
      <w:r>
        <w:t xml:space="preserve"> </w:t>
      </w:r>
      <w:r>
        <w:rPr>
          <w:rStyle w:val="VerbatimChar"/>
        </w:rPr>
        <w:t xml:space="preserve">scripts/analyze_ani_synteny_discordance.py</w:t>
      </w:r>
      <w:r>
        <w:t xml:space="preserve">, which</w:t>
      </w:r>
      <w:r>
        <w:t xml:space="preserve"> </w:t>
      </w:r>
      <w:r>
        <w:t xml:space="preserve">also produces Figure 5 and all discordance summary statistics. A pair was</w:t>
      </w:r>
      <w:r>
        <w:t xml:space="preserve"> </w:t>
      </w:r>
      <w:r>
        <w:t xml:space="preserve">called discordant if ANIm ≥ 97% and it carried ≥2 dnadiff inversion events.</w:t>
      </w:r>
      <w:r>
        <w:t xml:space="preserve"> </w:t>
      </w:r>
      <w:r>
        <w:t xml:space="preserve">Phylum-level enrichment was computed against the concordant (ANIm ≥ 97%,</w:t>
      </w:r>
      <w:r>
        <w:t xml:space="preserve"> </w:t>
      </w:r>
      <w:r>
        <w:t xml:space="preserve">&lt;2 inversions) background. Syn2b flagging performance was quantified as the</w:t>
      </w:r>
      <w:r>
        <w:t xml:space="preserve"> </w:t>
      </w:r>
      <w:r>
        <w:t xml:space="preserve">ROC AUC of the Syn2b junction count for discriminating discordant from</w:t>
      </w:r>
      <w:r>
        <w:t xml:space="preserve"> </w:t>
      </w:r>
      <w:r>
        <w:t xml:space="preserve">concordant pairs; junction density (count divided by shared landmarks) was</w:t>
      </w:r>
      <w:r>
        <w:t xml:space="preserve"> </w:t>
      </w:r>
      <w:r>
        <w:t xml:space="preserve">evaluated as an alternative feature. Prevalence percentages are reported with</w:t>
      </w:r>
      <w:r>
        <w:t xml:space="preserve"> </w:t>
      </w:r>
      <w:r>
        <w:t xml:space="preserve">95% bootstrap confidence intervals (10,000 resamples over pairs).</w:t>
      </w:r>
      <w:r>
        <w:t xml:space="preserve"> </w:t>
      </w:r>
      <w:r>
        <w:t xml:space="preserve">Fragmentation dependence of breakpoint-style counts was</w:t>
      </w:r>
      <w:r>
        <w:t xml:space="preserve"> </w:t>
      </w:r>
      <w:r>
        <w:t xml:space="preserve">assessed by Spearman correlation with the per-pair maximum contig count and by</w:t>
      </w:r>
      <w:r>
        <w:t xml:space="preserve"> </w:t>
      </w:r>
      <w:r>
        <w:t xml:space="preserve">partial correlation controlling for ANIm; the contig-count distributions of</w:t>
      </w:r>
      <w:r>
        <w:t xml:space="preserve"> </w:t>
      </w:r>
      <w:r>
        <w:t xml:space="preserve">discordant versus concordant pairs were compared with a Mann–Whitney U test.</w:t>
      </w:r>
    </w:p>
    <w:bookmarkEnd w:id="27"/>
    <w:bookmarkStart w:id="28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8"/>
    <w:bookmarkStart w:id="29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The four SynTracker cohort isolate</w:t>
      </w:r>
      <w:r>
        <w:t xml:space="preserve"> </w:t>
      </w:r>
      <w:r>
        <w:t xml:space="preserve">sets and their participant metadata are included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data/syntracker_validation/</w:t>
      </w:r>
      <w:r>
        <w:t xml:space="preserve">).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pPr>
        <w:pStyle w:val="Compact"/>
        <w:numPr>
          <w:ilvl w:val="0"/>
          <w:numId w:val="1003"/>
        </w:numPr>
      </w:pPr>
      <w:r>
        <w:t xml:space="preserve">Shaw, J. &amp; Yu, Y. W. Fast and robust metagenomic sequence comparison</w:t>
      </w:r>
      <w:r>
        <w:t xml:space="preserve"> </w:t>
      </w:r>
      <w:r>
        <w:t xml:space="preserve">through sparse chaining with skani.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20</w:t>
      </w:r>
      <w:r>
        <w:t xml:space="preserve">, 1661–1665 (2023).</w:t>
      </w:r>
    </w:p>
    <w:p>
      <w:pPr>
        <w:pStyle w:val="Compact"/>
        <w:numPr>
          <w:ilvl w:val="0"/>
          <w:numId w:val="1003"/>
        </w:numPr>
      </w:pPr>
      <w:r>
        <w:t xml:space="preserve">Li, H. Minimap2: pairwise alignment for nucleotide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rPr>
          <w:b/>
          <w:bCs/>
        </w:rPr>
        <w:t xml:space="preserve">34</w:t>
      </w:r>
      <w:r>
        <w:t xml:space="preserve">, 3094–3100 (2018).</w:t>
      </w:r>
    </w:p>
    <w:p>
      <w:pPr>
        <w:pStyle w:val="Compact"/>
        <w:numPr>
          <w:ilvl w:val="0"/>
          <w:numId w:val="1003"/>
        </w:numPr>
      </w:pPr>
      <w:r>
        <w:t xml:space="preserve">Marçais, G., et al. MUMmer4: a fast and versatile genome alignment system.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14</w:t>
      </w:r>
      <w:r>
        <w:t xml:space="preserve">, e1005944 (2018).</w:t>
      </w:r>
    </w:p>
    <w:p>
      <w:pPr>
        <w:pStyle w:val="Compact"/>
        <w:numPr>
          <w:ilvl w:val="0"/>
          <w:numId w:val="1003"/>
        </w:numPr>
      </w:pPr>
      <w:r>
        <w:t xml:space="preserve">Altschul, S. F., et al. Gapped BLAST and PSI-BLAST: a new generation of</w:t>
      </w:r>
      <w:r>
        <w:t xml:space="preserve"> </w:t>
      </w:r>
      <w:r>
        <w:t xml:space="preserve">protein database search programs.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25</w:t>
      </w:r>
      <w:r>
        <w:t xml:space="preserve">, 3389–3402</w:t>
      </w:r>
      <w:r>
        <w:t xml:space="preserve"> </w:t>
      </w:r>
      <w:r>
        <w:t xml:space="preserve">(1997).</w:t>
      </w:r>
    </w:p>
    <w:p>
      <w:r>
        <w:pict>
          <v:rect style="width:0;height:1.5pt" o:hralign="center" o:hrstd="t" o:hr="t"/>
        </w:pict>
      </w:r>
    </w:p>
    <w:bookmarkEnd w:id="31"/>
    <w:bookmarkStart w:id="32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IIB/IIG enzyme recognition produces 27–32</w:t>
      </w:r>
      <w:r>
        <w:t xml:space="preserve"> </w:t>
      </w:r>
      <w:r>
        <w:t xml:space="preserve">bp tags flanking the motif. (b) An inversion reverses the order of tags inside</w:t>
      </w:r>
      <w:r>
        <w:t xml:space="preserve"> </w:t>
      </w:r>
      <w:r>
        <w:t xml:space="preserve">the affected segment (tag orientation is flipped accordingly; strand marks</w:t>
      </w:r>
      <w:r>
        <w:t xml:space="preserve"> </w:t>
      </w:r>
      <w:r>
        <w:t xml:space="preserve">omitted for clarity).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analysed with the Rust Syn2b implementation</w:t>
      </w:r>
      <w:r>
        <w:t xml:space="preserve"> </w:t>
      </w:r>
      <w:r>
        <w:t xml:space="preserve">and the production four-enzyme panel (BcgI, AlfI, AloI, FalI); every value is</w:t>
      </w:r>
      <w:r>
        <w:t xml:space="preserve"> </w:t>
      </w:r>
      <w:r>
        <w:t xml:space="preserve">measured by running the tool, none is hardcoded. The SNP-only control (1%</w:t>
      </w:r>
      <w:r>
        <w:t xml:space="preserve"> </w:t>
      </w:r>
      <w:r>
        <w:t xml:space="preserve">random substitutions outside recognition sites) is compared against the</w:t>
      </w:r>
      <w:r>
        <w:t xml:space="preserve"> </w:t>
      </w:r>
      <w:r>
        <w:t xml:space="preserve">unmutated reference and produces zero junctions; a single 100-kb or 500-kb</w:t>
      </w:r>
      <w:r>
        <w:t xml:space="preserve"> </w:t>
      </w:r>
      <w:r>
        <w:t xml:space="preserve">inversion produces two junctions; a single 500-kb translocation produces three.</w:t>
      </w:r>
      <w:r>
        <w:t xml:space="preserve"> </w:t>
      </w:r>
      <w:r>
        <w:t xml:space="preserve">The raw inverted landmark fraction scales with inverted segment size.</w:t>
      </w:r>
      <w:r>
        <w:t xml:space="preserve"> </w:t>
      </w:r>
      <w:r>
        <w:t xml:space="preserve">Small insertions and deletions are not shown here because junction counts</w:t>
      </w:r>
      <w:r>
        <w:t xml:space="preserve"> </w:t>
      </w:r>
      <w:r>
        <w:t xml:space="preserve">depend on whether tags straddle the breakpoint (Supplementary Figure 3). Mash</w:t>
      </w:r>
      <w:r>
        <w:t xml:space="preserve"> </w:t>
      </w:r>
      <w:r>
        <w:t xml:space="preserve">distance (k=21) reports the 1% SNP background at ≈1e-2, whereas every</w:t>
      </w:r>
      <w:r>
        <w:t xml:space="preserve"> </w:t>
      </w:r>
      <w:r>
        <w:t xml:space="preserve">structural variant adds only ~1e-7, confirming that k-mer methods cannot</w:t>
      </w:r>
      <w:r>
        <w:t xml:space="preserve"> </w:t>
      </w:r>
      <w:r>
        <w:t xml:space="preserve">distinguish SV from point mutation. Single-enzyme versus panel metrics are</w:t>
      </w:r>
      <w:r>
        <w:t xml:space="preserve"> </w:t>
      </w:r>
      <w:r>
        <w:t xml:space="preserve">compared in Table 2.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predicted-ANI band (four-enzyme model), improving monotonically as divergence</w:t>
      </w:r>
      <w:r>
        <w:t xml:space="preserve"> </w:t>
      </w:r>
      <w:r>
        <w:t xml:space="preserve">decreases; the y-axis is truncated at 0.85 for readability.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0.5; the 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shown in panel a is not subject to this saturation.</w:t>
      </w:r>
      <w:r>
        <w:t xml:space="preserve"> </w:t>
      </w:r>
      <w:r>
        <w:t xml:space="preserve">(d) Residuals 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</w:t>
      </w:r>
      <w:r>
        <w:t xml:space="preserve"> </w:t>
      </w:r>
      <w:r>
        <w:t xml:space="preserve">systematic dependence on assembly fragmentation (max contigs per pair),</w:t>
      </w:r>
      <w:r>
        <w:t xml:space="preserve"> </w:t>
      </w:r>
      <w:r>
        <w:t xml:space="preserve">illustrating the 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count; the inset</w:t>
      </w:r>
      <w:r>
        <w:t xml:space="preserve"> </w:t>
      </w:r>
      <w:r>
        <w:t xml:space="preserve">zooms into the near-clonal, near-zero-breakpoint clusters.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Within-participant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(n = 476) are</w:t>
      </w:r>
      <w:r>
        <w:t xml:space="preserve"> </w:t>
      </w:r>
      <w:r>
        <w:t xml:space="preserve">structurally more similar than between-participant pairs (n = 2,450;</w:t>
      </w:r>
      <w:r>
        <w:t xml:space="preserve"> </w:t>
      </w:r>
      <w:r>
        <w:t xml:space="preserve">permutation p &lt; 1e-4, Cliff’s delta = −0.92),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Genome-wide ANI–rearrangement discordance in GTDB-R207.</w:t>
      </w:r>
      <w:r>
        <w:t xml:space="preserve"> </w:t>
      </w:r>
      <w:r>
        <w:t xml:space="preserve">(a) Pair-density map of ANIm versus dnadiff inversion-event count across</w:t>
      </w:r>
      <w:r>
        <w:t xml:space="preserve"> </w:t>
      </w:r>
      <w:r>
        <w:t xml:space="preserve">47,748 pairs (held-out set plus ANIm-verified high-ANI sample); the red line</w:t>
      </w:r>
      <w:r>
        <w:t xml:space="preserve"> </w:t>
      </w:r>
      <w:r>
        <w:t xml:space="preserve">marks the species-level ANI threshold and the annotation gives the number of</w:t>
      </w:r>
      <w:r>
        <w:t xml:space="preserve"> </w:t>
      </w:r>
      <w:r>
        <w:t xml:space="preserve">discordant pairs (ANIm ≥ 97%, ≥2 inversions). (b) Percentage of pairs carrying</w:t>
      </w:r>
      <w:r>
        <w:t xml:space="preserve"> </w:t>
      </w:r>
      <w:r>
        <w:t xml:space="preserve">at least 1, 2, or 5 dnadiff inversions per 1% ANIm bin — rearrangement</w:t>
      </w:r>
      <w:r>
        <w:t xml:space="preserve"> </w:t>
      </w:r>
      <w:r>
        <w:t xml:space="preserve">prevalence decays slowly as ANI approaches 100%. (c) Phylum composition of</w:t>
      </w:r>
      <w:r>
        <w:t xml:space="preserve"> </w:t>
      </w:r>
      <w:r>
        <w:t xml:space="preserve">discordant pairs (dark blue) versus concordant ANIm ≥ 97% pairs (light blue);</w:t>
      </w:r>
      <w:r>
        <w:t xml:space="preserve"> </w:t>
      </w:r>
      <w:r>
        <w:t xml:space="preserve">numbers give the enrichment fold. (</w:t>
      </w:r>
      <w:r>
        <w:rPr>
          <w:rStyle w:val="VerbatimChar"/>
        </w:rPr>
        <w:t xml:space="preserve">figures/main/fig5_discordance_overview.png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Figure 6.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of the production panel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</w:t>
      </w:r>
      <w:r>
        <w:t xml:space="preserve"> </w:t>
      </w:r>
      <w:r>
        <w:t xml:space="preserve">Syn2b binary (timings archived in the repository).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on a 1% SNP background (seed 42), measured</w:t>
      </w:r>
      <w:r>
        <w:t xml:space="preserve"> </w:t>
      </w:r>
      <w:r>
        <w:t xml:space="preserve">with the Rust implementation. Source:</w:t>
      </w:r>
      <w:r>
        <w:t xml:space="preserve"> </w:t>
      </w:r>
      <w:r>
        <w:rPr>
          <w:rStyle w:val="VerbatimChar"/>
        </w:rPr>
        <w:t xml:space="preserve">results/table2_sv_metrics.csv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 condition</w:t>
            </w:r>
          </w:p>
        </w:tc>
        <w:tc>
          <w:tcPr/>
          <w:p>
            <w:pPr>
              <w:pStyle w:val="Compact"/>
            </w:pPr>
            <w:r>
              <w:t xml:space="preserve">enzyme arm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SCJ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inverted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</w:tbl>
    <w:p>
      <w:pPr>
        <w:pStyle w:val="BodyText"/>
      </w:pPr>
      <w:r>
        <w:t xml:space="preserve">Junction and SCJ counts are identical across arms; the panel’s 2.1-fold higher</w:t>
      </w:r>
      <w:r>
        <w:t xml:space="preserve"> </w:t>
      </w:r>
      <w:r>
        <w:t xml:space="preserve">tag density roughly doubles the shared-tag count, which improves stability at</w:t>
      </w:r>
      <w:r>
        <w:t xml:space="preserve"> </w:t>
      </w:r>
      <w:r>
        <w:t xml:space="preserve">higher divergence (error model in Supplementary Note 2).</w:t>
      </w:r>
    </w:p>
    <w:p>
      <w:pPr>
        <w:pStyle w:val="BodyText"/>
      </w:pPr>
      <w:r>
        <w:rPr>
          <w:b/>
          <w:bCs/>
        </w:rPr>
        <w:t xml:space="preserve">Table 3.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 Per-pair times are</w:t>
      </w:r>
      <w:r>
        <w:t xml:space="preserve"> </w:t>
      </w:r>
      <w:r>
        <w:t xml:space="preserve">reported per unique pair throughout the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6b.</w:t>
      </w:r>
    </w:p>
    <w:p>
      <w:r>
        <w:pict>
          <v:rect style="width:0;height:1.5pt" o:hralign="center" o:hrstd="t" o:hr="t"/>
        </w:pict>
      </w:r>
    </w:p>
    <w:bookmarkEnd w:id="32"/>
    <w:bookmarkStart w:id="36" w:name="supplementary-information"/>
    <w:p>
      <w:pPr>
        <w:pStyle w:val="Heading2"/>
      </w:pPr>
      <w:r>
        <w:t xml:space="preserve">Supplementary Information</w:t>
      </w:r>
    </w:p>
    <w:bookmarkStart w:id="33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33"/>
    <w:bookmarkStart w:id="34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scaling of Syn2b structural comparison,</w:t>
      </w:r>
      <w:r>
        <w:t xml:space="preserve"> </w:t>
      </w:r>
      <w:r>
        <w:t xml:space="preserve">skani, dnadiff, skani+dnadiff, and SynTracker across panel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supplementary/Supplementary_Table_2.tsv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4: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pairs) (</w:t>
      </w:r>
      <w:r>
        <w:rPr>
          <w:rStyle w:val="VerbatimChar"/>
        </w:rPr>
        <w:t xml:space="preserve">supplementary/Supplementary_Table_4.tsv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5:</w:t>
      </w:r>
      <w:r>
        <w:t xml:space="preserve"> </w:t>
      </w:r>
      <w:r>
        <w:t xml:space="preserve">Within-host versus between-host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structural divergence: permutation test statistics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supplementary/Supplementary_Table_5.tsv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6:</w:t>
      </w:r>
      <w:r>
        <w:t xml:space="preserve"> </w:t>
      </w:r>
      <w:r>
        <w:t xml:space="preserve">ANI–rearrangement discordance across GTDB-R207:</w:t>
      </w:r>
      <w:r>
        <w:t xml:space="preserve"> </w:t>
      </w:r>
      <w:r>
        <w:t xml:space="preserve">inversion-event rates per ANIm band, top discordant pairs with taxonomy,</w:t>
      </w:r>
      <w:r>
        <w:t xml:space="preserve"> </w:t>
      </w:r>
      <w:r>
        <w:t xml:space="preserve">Syn2b flagging performance, flagging-feature comparison, and prevalence</w:t>
      </w:r>
      <w:r>
        <w:t xml:space="preserve"> </w:t>
      </w:r>
      <w:r>
        <w:t xml:space="preserve">bootstrap CIs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results/discordance/discordance_by_band.tsv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results/discordance/discordant_pairs_top.tsv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results/discordance/syn2b_flagging.tsv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results/discordance/flagging_features.tsv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results/discordance/prevalence_ci.tsv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Supplementary Table 2.</w:t>
      </w:r>
      <w:r>
        <w:t xml:space="preserve"> </w:t>
      </w:r>
      <w:r>
        <w:t xml:space="preserve">Runtime scaling across panel sizes. Wall times are</w:t>
      </w:r>
      <w:r>
        <w:t xml:space="preserve"> </w:t>
      </w:r>
      <w:r>
        <w:t xml:space="preserve">means of three replicates on the HPC (16 cores for skani/dnadiff/SynTracker).</w:t>
      </w:r>
      <w:r>
        <w:t xml:space="preserve"> </w:t>
      </w:r>
      <w:r>
        <w:t xml:space="preserve">Per-pair times are per unique unordered pair C(n,2); the benchmark recorded</w:t>
      </w:r>
      <w:r>
        <w:t xml:space="preserve"> </w:t>
      </w:r>
      <w:r>
        <w:t xml:space="preserve">n² ordered (self-plus-reciprocal) 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skani+dnadiff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SynTracker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skani+dnadiff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SynTracker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4,467.0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8,663x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46,971x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14,947x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4.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pairs; mean of three replicates, SynTracker single run). Syn2b</w:t>
      </w:r>
      <w:r>
        <w:t xml:space="preserve"> </w:t>
      </w:r>
      <w:r>
        <w:t xml:space="preserve">reports structural metrics only; the companion tool Syn2bANI reuses the same</w:t>
      </w:r>
      <w:r>
        <w:t xml:space="preserve"> </w:t>
      </w:r>
      <w:r>
        <w:t xml:space="preserve">tag framework to report ANI together with structural metrics. SynTracker was</w:t>
      </w:r>
      <w:r>
        <w:t xml:space="preserve"> </w:t>
      </w:r>
      <w:r>
        <w:t xml:space="preserve">run with its default pipeline on 16 cores; its output (average pairwise</w:t>
      </w:r>
      <w:r>
        <w:t xml:space="preserve"> </w:t>
      </w:r>
      <w:r>
        <w:t xml:space="preserve">synteny score over gene blocks) differs in content from Syn2b’s junction and</w:t>
      </w:r>
      <w:r>
        <w:t xml:space="preserve"> </w:t>
      </w:r>
      <w:r>
        <w:t xml:space="preserve">ratio metrics, so the comparison is of workflows rather than identical</w:t>
      </w:r>
      <w:r>
        <w:t xml:space="preserve"> </w:t>
      </w:r>
      <w:r>
        <w:t xml:space="preserve">quantities.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unique pair (s)</w:t>
            </w:r>
          </w:p>
        </w:tc>
        <w:tc>
          <w:tcPr/>
          <w:p>
            <w:pPr>
              <w:pStyle w:val="Compact"/>
            </w:pPr>
            <w:r>
              <w:t xml:space="preserve">reports ANI</w:t>
            </w:r>
          </w:p>
        </w:tc>
        <w:tc>
          <w:tcPr/>
          <w:p>
            <w:pPr>
              <w:pStyle w:val="Compact"/>
            </w:pPr>
            <w:r>
              <w:t xml:space="preserve">reports 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(inverted fraction, junctions)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dnadiff (MUMmer)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(alignment-based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SynTracker (16 cores)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65,162.0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282.087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(gene synteny)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 + 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4"/>
    <w:bookmarkStart w:id="35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Inter-tag distance distribution for the</w:t>
      </w:r>
      <w:r>
        <w:t xml:space="preserve"> </w:t>
      </w:r>
      <w:r>
        <w:t xml:space="preserve">production 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Distances were extracted</w:t>
      </w:r>
      <w:r>
        <w:t xml:space="preserve"> </w:t>
      </w:r>
      <w:r>
        <w:t xml:space="preserve">from 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as recorded between consecutive tags</w:t>
      </w:r>
      <w:r>
        <w:t xml:space="preserve"> </w:t>
      </w:r>
      <w:r>
        <w:t xml:space="preserve">in the TGT path (n = 6,215 recorded intervals; median 1,533 bp, mean 2,980</w:t>
      </w:r>
      <w:r>
        <w:t xml:space="preserve"> </w:t>
      </w:r>
      <w:r>
        <w:t xml:space="preserve">bp). Because the TGT path links the two tags flanking each cut site, the</w:t>
      </w:r>
      <w:r>
        <w:t xml:space="preserve"> </w:t>
      </w:r>
      <w:r>
        <w:t xml:space="preserve">recorded intervals are not a partition of the genome and overestimate the</w:t>
      </w:r>
      <w:r>
        <w:t xml:space="preserve"> </w:t>
      </w:r>
      <w:r>
        <w:t xml:space="preserve">average landmark spacing (genome length / 6,216 tags ≈ 747 bp)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4:</w:t>
      </w:r>
      <w:r>
        <w:t xml:space="preserve"> </w:t>
      </w:r>
      <w:r>
        <w:t xml:space="preserve">Inversion detection-size resolution. Fraction of</w:t>
      </w:r>
      <w:r>
        <w:t xml:space="preserve"> </w:t>
      </w:r>
      <w:r>
        <w:t xml:space="preserve">replicates (10 random positions per size) in which both junctions of an</w:t>
      </w:r>
      <w:r>
        <w:t xml:space="preserve"> </w:t>
      </w:r>
      <w:r>
        <w:t xml:space="preserve">inverted segment are recovered, for the production four-enzyme panel and for</w:t>
      </w:r>
      <w:r>
        <w:t xml:space="preserve"> </w:t>
      </w:r>
      <w:r>
        <w:t xml:space="preserve">BcgI alone,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 1% SNP background. The panel recovers</w:t>
      </w:r>
      <w:r>
        <w:t xml:space="preserve"> </w:t>
      </w:r>
      <w:r>
        <w:t xml:space="preserve">4-kb inversions in 10/10 replicates; BcgI alone requires ~8 kb for comparable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figures/supplementary/fig4_detection_size.png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5:</w:t>
      </w:r>
      <w:r>
        <w:t xml:space="preserve"> </w:t>
      </w:r>
      <w:r>
        <w:t xml:space="preserve">Known-biology calibration of the junction</w:t>
      </w:r>
      <w:r>
        <w:t xml:space="preserve"> </w:t>
      </w:r>
      <w:r>
        <w:t xml:space="preserve">channel on complete genomes. (a) skani ANI versus Syn2b junction count for</w:t>
      </w:r>
      <w:r>
        <w:t xml:space="preserve"> </w:t>
      </w:r>
      <w:r>
        <w:t xml:space="preserve">within-collection pairs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,</w:t>
      </w:r>
      <w:r>
        <w:t xml:space="preserve"> </w:t>
      </w:r>
      <w:r>
        <w:rPr>
          <w:i/>
          <w:iCs/>
        </w:rPr>
        <w:t xml:space="preserve">E. coli</w:t>
      </w:r>
      <w:r>
        <w:t xml:space="preserve">,</w:t>
      </w:r>
      <w:r>
        <w:t xml:space="preserve"> </w:t>
      </w:r>
      <w:r>
        <w:rPr>
          <w:i/>
          <w:iCs/>
        </w:rPr>
        <w:t xml:space="preserve">S.</w:t>
      </w:r>
      <w:r>
        <w:t xml:space="preserve"> </w:t>
      </w:r>
      <w:r>
        <w:t xml:space="preserve">Typhimurium,</w:t>
      </w:r>
      <w:r>
        <w:t xml:space="preserve"> </w:t>
      </w:r>
      <w:r>
        <w:rPr>
          <w:i/>
          <w:iCs/>
        </w:rPr>
        <w:t xml:space="preserve">S. sonnei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S. flexneri</w:t>
      </w:r>
      <w:r>
        <w:t xml:space="preserve"> </w:t>
      </w:r>
      <w:r>
        <w:t xml:space="preserve">complete assemblies (n = 975 pairs). (b)</w:t>
      </w:r>
      <w:r>
        <w:t xml:space="preserve"> </w:t>
      </w:r>
      <w:r>
        <w:t xml:space="preserve">Junction-count distributions by collection: the conserved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control sits at a median of 0 junctions at 99.92% median ANI, while 84–88%</w:t>
      </w:r>
      <w:r>
        <w:t xml:space="preserve"> </w:t>
      </w:r>
      <w:r>
        <w:t xml:space="preserve">of ≥99%-ANI</w:t>
      </w:r>
      <w:r>
        <w:t xml:space="preserve"> </w:t>
      </w:r>
      <w:r>
        <w:rPr>
          <w:i/>
          <w:iCs/>
        </w:rPr>
        <w:t xml:space="preserve">Shigella</w:t>
      </w:r>
      <w:r>
        <w:t xml:space="preserve"> </w:t>
      </w:r>
      <w:r>
        <w:t xml:space="preserve">pairs carry ≥2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figures/supplementary/fig5_known_biology.png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7"/>
    <w:bookmarkStart w:id="38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8"/>
    <w:bookmarkStart w:id="39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2026-09-16T23:59:39Z</dcterms:created>
  <dcterms:modified xsi:type="dcterms:W3CDTF">2026-09-16T23:59:39Z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