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(Table 4).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Because</w:t>
      </w:r>
      <w:r>
        <w:t xml:space="preserve"> </w:t>
      </w:r>
      <w:r>
        <w:t xml:space="preserve">Syn2b avoids pairwise alignment and BLAST database construction, it is expected</w:t>
      </w:r>
      <w:r>
        <w:t xml:space="preserve"> </w:t>
      </w:r>
      <w:r>
        <w:t xml:space="preserve">to be orders of magnitude faster than alignment-based methods such as</w:t>
      </w:r>
      <w:r>
        <w:t xml:space="preserve"> </w:t>
      </w:r>
      <w:r>
        <w:t xml:space="preserve">SynTracker; a direct head-to-head comparison is provided in Supplementary Table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SynTracker.</w:t>
      </w:r>
      <w:r>
        <w:t xml:space="preserve"> </w:t>
      </w:r>
      <w:r>
        <w:t xml:space="preserve">SynTracker pioneered microsynteny for strain</w:t>
      </w:r>
      <w:r>
        <w:t xml:space="preserve"> </w:t>
      </w:r>
      <w:r>
        <w:t xml:space="preserve">comparison but requires BLAST databases and all-versus-all DECIPHER alignments.</w:t>
      </w:r>
      <w:r>
        <w:t xml:space="preserve"> </w:t>
      </w:r>
      <w:r>
        <w:t xml:space="preserve">Syn2b achieves the same biological goal through Type IIB tag adjacency, without</w:t>
      </w:r>
      <w:r>
        <w:t xml:space="preserve"> </w:t>
      </w:r>
      <w:r>
        <w:t xml:space="preserve">pairwise alignment or a pre-built database, and is therefore expected to be</w:t>
      </w:r>
      <w:r>
        <w:t xml:space="preserve"> </w:t>
      </w:r>
      <w:r>
        <w:t xml:space="preserve">orders of magnitude faster for large panels (Supplementary Table 4). The GTDB</w:t>
      </w:r>
      <w:r>
        <w:t xml:space="preserve"> </w:t>
      </w:r>
      <w:r>
        <w:t xml:space="preserve">validation shows that the orientation ratio alone matches dnadiff at r = 0.94</w:t>
      </w:r>
      <w:r>
        <w:t xml:space="preserve"> </w:t>
      </w:r>
      <w:r>
        <w:t xml:space="preserve">overall and r = 0.996 at 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29" w:name="supplementary-information"/>
    <w:p>
      <w:pPr>
        <w:pStyle w:val="Heading2"/>
      </w:pPr>
      <w:r>
        <w:t xml:space="preserve">Supplementary Information</w:t>
      </w:r>
    </w:p>
    <w:p>
      <w:pPr>
        <w:pStyle w:val="FirstParagraph"/>
      </w:pPr>
      <w:r>
        <w:t xml:space="preserve">Supplementary Note 1: Mathematical derivation of the fragmentation principle.</w:t>
      </w:r>
      <w:r>
        <w:t xml:space="preserve"> </w:t>
      </w:r>
      <w:r>
        <w:t xml:space="preserve">Supplementary Note 2: 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.</w:t>
      </w:r>
      <w:r>
        <w:t xml:space="preserve"> </w:t>
      </w:r>
      <w:r>
        <w:t xml:space="preserve">Supplementary Table 1: 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  <w:r>
        <w:t xml:space="preserve"> </w:t>
      </w:r>
      <w:r>
        <w:t xml:space="preserve">Supplementary Table 2: Runtime comparison with alignment-based methods.</w:t>
      </w:r>
      <w:r>
        <w:t xml:space="preserve"> </w:t>
      </w:r>
      <w:r>
        <w:t xml:space="preserve">Supplementary Figure 1: Tag spacing distribution for the production 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Inter-tag distances were extracted from 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(n = 6,215 intervals). Median spacing is 1,533 bp and mean spacing is 2,980 bp.</w:t>
      </w:r>
      <w:r>
        <w:t xml:space="preserve"> </w:t>
      </w:r>
      <w:r>
        <w:t xml:space="preserve">Supplementary Figure 2: Closed-genome inversion validation on 100 complete-genome pairs selected for high expected structural divergence. (a) Number of junctions reported by Syn2b versus dnadiff. (b) Fraction of dnadiff junctions that match a Syn2b junction. (c) Median distance between matched Syn2b and dnadiff junction positions. The low recovery and coarse position resolution reflect that many dnadiff inversions fall in regions without a nearby restriction-enzyme landmark.</w:t>
      </w:r>
      <w:r>
        <w:t xml:space="preserve"> </w:t>
      </w:r>
      <w:r>
        <w:t xml:space="preserve">Supplementary Figure 3: Sensitivity of Syn2b junction counts and raw 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 single inversion, insertion, deletion, or translocation on a 1% SNP background were analysed with the four-enzyme panel. Inversions yield two junctions irrespective of size, while the inverted fraction increases with inverted segment length. Insertions and deletions produce zero junctions unless a landmark straddles the breakpoint; translocation of a 500-kb segment yields three junctions.</w:t>
      </w:r>
    </w:p>
    <w:p>
      <w:r>
        <w:pict>
          <v:rect style="width:0;height:1.5pt" o:hralign="center" o:hrstd="t" o:hr="t"/>
        </w:pict>
      </w:r>
    </w:p>
    <w:bookmarkEnd w:id="29"/>
    <w:bookmarkStart w:id="3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0"/>
    <w:bookmarkStart w:id="3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1"/>
    <w:bookmarkStart w:id="3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2026-09-07T00:39:45Z</dcterms:created>
  <dcterms:modified xsi:type="dcterms:W3CDTF">2026-09-07T00:39:45Z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