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In the strain-level regime (ANIm ≥</w:t>
      </w:r>
      <w:r>
        <w:t xml:space="preserve"> </w:t>
      </w:r>
      <w:r>
        <w:t xml:space="preserve">97%, n = 3,826) Syn2b’s fixed-reference inverted aligned fraction agrees with</w:t>
      </w:r>
      <w:r>
        <w:t xml:space="preserve"> </w:t>
      </w:r>
      <w:r>
        <w:t xml:space="preserve">the alignment-based truth at Pearson r = 0.996, slope = 1.006 and SD(error) =</w:t>
      </w:r>
      <w:r>
        <w:t xml:space="preserve"> </w:t>
      </w:r>
      <w:r>
        <w:t xml:space="preserve">0.0135; across all 43,312 held-out pairs from GTDB-R207 the correlation is r =</w:t>
      </w:r>
      <w:r>
        <w:t xml:space="preserve"> </w:t>
      </w:r>
      <w:r>
        <w:t xml:space="preserve">0.94. A multi-enzyme panel (BcgI+AlfI+AloI+FalI) yields ~1.34 tags/kb in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K-12 and supports ~4-kb event-size resolution; combined with the</w:t>
      </w:r>
      <w:r>
        <w:t xml:space="preserve"> </w:t>
      </w:r>
      <w:r>
        <w:t xml:space="preserve">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 and DECIPHER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optimal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 BcgI yields 2,935</w:t>
      </w:r>
      <w:r>
        <w:t xml:space="preserve"> </w:t>
      </w:r>
      <w:r>
        <w:t xml:space="preserve">tags (0.63/kb), AlfI 2,023 (0.44/kb), AloI 523 (0.11/kb), and FalI 735</w:t>
      </w:r>
      <w:r>
        <w:t xml:space="preserve"> </w:t>
      </w:r>
      <w:r>
        <w:t xml:space="preserve">(0.16/kb). Combining all four yields 6,216 tags (1.34/kb), a 2.1× increase over</w:t>
      </w:r>
      <w:r>
        <w:t xml:space="preserve"> </w:t>
      </w:r>
      <w:r>
        <w:t xml:space="preserve">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 45 ms.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 quantitative validation on real genomes is given in</w:t>
      </w:r>
      <w:r>
        <w:t xml:space="preserve"> </w:t>
      </w:r>
      <w:r>
        <w:t xml:space="preserve">Figure 3; the tests here establish that the reported metrics behave as expected</w:t>
      </w:r>
      <w:r>
        <w:t xml:space="preserve"> </w:t>
      </w:r>
      <w:r>
        <w:t xml:space="preserve">on controlled inputs.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from 0.5% to 5% outside recognition sites</w:t>
      </w:r>
      <w:r>
        <w:t xml:space="preserve"> </w:t>
      </w:r>
      <w:r>
        <w:t xml:space="preserve">leave tag patterns unchanged and produce</w:t>
      </w:r>
      <w:r>
        <w:t xml:space="preserve"> </w:t>
      </w:r>
      <w:r>
        <w:rPr>
          <w:b/>
          <w:bCs/>
        </w:rPr>
        <w:t xml:space="preserve">zero structural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). This confirms that</w:t>
      </w:r>
      <w:r>
        <w:t xml:space="preserve"> </w:t>
      </w:r>
      <w:r>
        <w:t xml:space="preserve">SNPs do not create spurious structural signal.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(400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once the landmark</w:t>
      </w:r>
      <w:r>
        <w:t xml:space="preserve"> </w:t>
      </w:r>
      <w:r>
        <w:t xml:space="preserve">density is high enough to place landmarks inside and outside the event. The</w:t>
      </w:r>
      <w:r>
        <w:t xml:space="preserve"> </w:t>
      </w:r>
      <w:r>
        <w:t xml:space="preserve">four-enzyme panel’s ~4-kb effective resolution limit (Supplementary Note 2)</w:t>
      </w:r>
      <w:r>
        <w:t xml:space="preserve"> </w:t>
      </w:r>
      <w:r>
        <w:t xml:space="preserve">makes 10-kb indels reliably recoverable, whereas BcgI alone (~8-kb limit) is</w:t>
      </w:r>
      <w:r>
        <w:t xml:space="preserve"> </w:t>
      </w:r>
      <w:r>
        <w:t xml:space="preserve">less consistent.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In all structural-variant conditions, Mash distance</w:t>
      </w:r>
      <w:r>
        <w:t xml:space="preserve"> </w:t>
      </w:r>
      <w:r>
        <w:t xml:space="preserve">remains at the SNP-only value, confirming that k-mer-based methods cannot</w:t>
      </w:r>
      <w:r>
        <w:t xml:space="preserve"> </w:t>
      </w:r>
      <w:r>
        <w:t xml:space="preserve">distinguish structural variation from point mutations.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 The total is below the naive sum because</w:t>
      </w:r>
      <w:r>
        <w:t xml:space="preserve"> </w:t>
      </w:r>
      <w:r>
        <w:t xml:space="preserve">recognition motifs occupy overlapping sequence space.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The panel was chosen to maximize shared landmark counts across</w:t>
      </w:r>
      <w:r>
        <w:t xml:space="preserve"> </w:t>
      </w:r>
      <w:r>
        <w:t xml:space="preserve">diverse prokaryotic genomes while using enzymes with experimentally validated</w:t>
      </w:r>
      <w:r>
        <w:t xml:space="preserve"> </w:t>
      </w:r>
      <w:r>
        <w:t xml:space="preserve">recognition specificities.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43,334 held-out pairs, the four-enzyme panel</w:t>
      </w:r>
      <w:r>
        <w:t xml:space="preserve"> </w:t>
      </w:r>
      <w:r>
        <w:t xml:space="preserve">substantially outperforms BcgI alone: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statistically indistinguishable from the enzyme</w:t>
      </w:r>
      <w:r>
        <w:t xml:space="preserve"> </w:t>
      </w:r>
      <w:r>
        <w:t xml:space="preserve">panel.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purpose.</w:t>
      </w:r>
      <w:r>
        <w:t xml:space="preserve"> </w:t>
      </w:r>
      <w:r>
        <w:t xml:space="preserve">There, 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Among the 3,099 held-out pairs where dnadiff</w:t>
      </w:r>
      <w:r>
        <w:t xml:space="preserve"> </w:t>
      </w:r>
      <w:r>
        <w:t xml:space="preserve">reports an inverted fraction &gt; 0.5, the fixed-reference version still agrees at</w:t>
      </w:r>
      <w:r>
        <w:t xml:space="preserve"> </w:t>
      </w:r>
      <w:r>
        <w:t xml:space="preserve">r = 0.6826, whereas the majority-frame version anticorrelates at r = −0.7438</w:t>
      </w:r>
      <w:r>
        <w:t xml:space="preserve"> </w:t>
      </w:r>
      <w:r>
        <w:t xml:space="preserve">because it flips to the 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that were also found by dnadiff (median distance between predicted and true</w:t>
      </w:r>
      <w:r>
        <w:t xml:space="preserve"> </w:t>
      </w:r>
      <w:r>
        <w:t xml:space="preserve">junctions = 21.8 kb), while dnadiff reported 31 additional inversions that fell</w:t>
      </w:r>
      <w:r>
        <w:t xml:space="preserve"> </w:t>
      </w:r>
      <w:r>
        <w:t xml:space="preserve">outside Syn2b’s landmark coverage. These numbers are consistent with the</w:t>
      </w:r>
      <w:r>
        <w:t xml:space="preserve"> </w:t>
      </w:r>
      <w:r>
        <w:t xml:space="preserve">sampling model: closed genomes remove the fragmentation bias, and the remaining</w:t>
      </w:r>
      <w:r>
        <w:t xml:space="preserve"> </w:t>
      </w:r>
      <w:r>
        <w:t xml:space="preserve">discrepancies reflect landmark density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(&gt;99.5%)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sit at lower ANI</w:t>
      </w:r>
      <w:r>
        <w:t xml:space="preserve"> </w:t>
      </w:r>
      <w:r>
        <w:t xml:space="preserve">(94.5–96.5%) with low breakpoint counts (median = 0), consistent with a</w:t>
      </w:r>
      <w:r>
        <w:t xml:space="preserve"> </w:t>
      </w:r>
      <w:r>
        <w:t xml:space="preserve">population driven 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occupy an intermediate regime in which ANI and breakpoints vary together but</w:t>
      </w:r>
      <w:r>
        <w:t xml:space="preserve"> </w:t>
      </w:r>
      <w:r>
        <w:t xml:space="preserve">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Within-patient pairs showed very low</w:t>
      </w:r>
      <w:r>
        <w:t xml:space="preserve"> </w:t>
      </w:r>
      <w:r>
        <w:t xml:space="preserve">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 SCJ distance =</w:t>
      </w:r>
      <w:r>
        <w:t xml:space="preserve"> </w:t>
      </w:r>
      <w:r>
        <w:t xml:space="preserve">11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cross-patient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 SCJ distance =</w:t>
      </w:r>
      <w:r>
        <w:t xml:space="preserve"> </w:t>
      </w:r>
      <w:r>
        <w:t xml:space="preserve">37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Same-host pairs tend to have both</w:t>
      </w:r>
      <w:r>
        <w:t xml:space="preserve"> </w:t>
      </w:r>
      <w:r>
        <w:t xml:space="preserve">high ANI and low breakpoint counts, whereas between-host pairs show greater</w:t>
      </w:r>
      <w:r>
        <w:t xml:space="preserve"> </w:t>
      </w:r>
      <w:r>
        <w:t xml:space="preserve">structural divergence even when ANI is similar (Figure 4d). This pattern mirrors</w:t>
      </w:r>
      <w:r>
        <w:t xml:space="preserve"> </w:t>
      </w:r>
      <w:r>
        <w:t xml:space="preserve">the participant-level signal reported by SynTracker and demonstrates that Syn2b</w:t>
      </w:r>
      <w:r>
        <w:t xml:space="preserve"> </w:t>
      </w:r>
      <w:r>
        <w:t xml:space="preserve">captures epidemiologically relevant structure using only restriction-enzyme</w:t>
      </w:r>
      <w:r>
        <w:t xml:space="preserve"> </w:t>
      </w:r>
      <w:r>
        <w:t xml:space="preserve">tags.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 approximately</w:t>
      </w:r>
      <w:r>
        <w:t xml:space="preserve"> </w:t>
      </w:r>
      <w:r>
        <w:t xml:space="preserve">45 ms on a single core; individual enzymes range from approximately 30 ms (AlfI)</w:t>
      </w:r>
      <w:r>
        <w:t xml:space="preserve"> </w:t>
      </w:r>
      <w:r>
        <w:t xml:space="preserve">to 47 ms (All 4)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(Table 4).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index; the 22-genome</w:t>
      </w:r>
      <w:r>
        <w:t xml:space="preserve"> </w:t>
      </w:r>
      <w:r>
        <w:t xml:space="preserve">benchmark peaked at ~2.3 GB RSS, well within standard laptop limits. Because</w:t>
      </w:r>
      <w:r>
        <w:t xml:space="preserve"> </w:t>
      </w:r>
      <w:r>
        <w:t xml:space="preserve">Syn2b avoids pairwise alignment and BLAST database construction, it is expected</w:t>
      </w:r>
      <w:r>
        <w:t xml:space="preserve"> </w:t>
      </w:r>
      <w:r>
        <w:t xml:space="preserve">to be orders of magnitude faster than alignment-based methods such as</w:t>
      </w:r>
      <w:r>
        <w:t xml:space="preserve"> </w:t>
      </w:r>
      <w:r>
        <w:t xml:space="preserve">SynTracker; a direct head-to-head comparison is provided in Supplementary Table</w:t>
      </w:r>
      <w:r>
        <w:t xml:space="preserve"> </w:t>
      </w:r>
      <w:r>
        <w:t xml:space="preserve">4.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SynTracker.</w:t>
      </w:r>
      <w:r>
        <w:t xml:space="preserve"> </w:t>
      </w:r>
      <w:r>
        <w:t xml:space="preserve">SynTracker pioneered microsynteny for strain</w:t>
      </w:r>
      <w:r>
        <w:t xml:space="preserve"> </w:t>
      </w:r>
      <w:r>
        <w:t xml:space="preserve">comparison but requires BLAST databases and all-versus-all DECIPHER alignments.</w:t>
      </w:r>
      <w:r>
        <w:t xml:space="preserve"> </w:t>
      </w:r>
      <w:r>
        <w:t xml:space="preserve">Syn2b achieves the same biological goal through Type IIB tag adjacency, without</w:t>
      </w:r>
      <w:r>
        <w:t xml:space="preserve"> </w:t>
      </w:r>
      <w:r>
        <w:t xml:space="preserve">pairwise alignment or a pre-built database, and is therefore expected to be</w:t>
      </w:r>
      <w:r>
        <w:t xml:space="preserve"> </w:t>
      </w:r>
      <w:r>
        <w:t xml:space="preserve">orders of magnitude faster for large panels (Supplementary Table 4). The GTDB</w:t>
      </w:r>
      <w:r>
        <w:t xml:space="preserve"> </w:t>
      </w:r>
      <w:r>
        <w:t xml:space="preserve">validation shows that the orientation ratio alone matches dnadiff at r = 0.94</w:t>
      </w:r>
      <w:r>
        <w:t xml:space="preserve"> </w:t>
      </w:r>
      <w:r>
        <w:t xml:space="preserve">overall and r = 0.996 at 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library-scale surveys practical. 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The BcgI+AlfI+AloI+FalI panel raises landmark density enough to detect ~4-kb</w:t>
      </w:r>
      <w:r>
        <w:t xml:space="preserve"> </w:t>
      </w:r>
      <w:r>
        <w:t xml:space="preserve">events, while BcgI alone is limited to ~8-kb events.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6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4,543,028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a custom Python script (seed=42).</w:t>
      </w:r>
    </w:p>
    <w:bookmarkEnd w:id="20"/>
    <w:bookmarkStart w:id="21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with stride=10, converted to</w:t>
      </w:r>
      <w:r>
        <w:t xml:space="preserve"> </w:t>
      </w:r>
      <w:r>
        <w:t xml:space="preserve">Mash distance.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count.</w:t>
      </w:r>
      <w:r>
        <w:t xml:space="preserve"> </w:t>
      </w:r>
      <w:r>
        <w:t xml:space="preserve">Adjacent pairs present in one genome but not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analyses. A separate high-ANI sample was selected to cover the</w:t>
      </w:r>
      <w:r>
        <w:t xml:space="preserve"> </w:t>
      </w:r>
      <w:r>
        <w:t xml:space="preserve">strain-level regime (ANIm ≥ 95%). For each pair, ANIm was computed with</w:t>
      </w:r>
      <w:r>
        <w:t xml:space="preserve"> </w:t>
      </w:r>
      <w:r>
        <w:t xml:space="preserve">minimap2 (</w:t>
      </w:r>
      <w:r>
        <w:rPr>
          <w:rStyle w:val="VerbatimChar"/>
        </w:rPr>
        <w:t xml:space="preserve">-cx asm20</w:t>
      </w:r>
      <w:r>
        <w:t xml:space="preserve">) and dnadiff (MUMmer 4.0) was run 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4"/>
    <w:bookmarkStart w:id="25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r>
        <w:pict>
          <v:rect style="width:0;height:1.5pt" o:hralign="center" o:hrstd="t" o:hr="t"/>
        </w:pict>
      </w:r>
    </w:p>
    <w:bookmarkEnd w:id="27"/>
    <w:bookmarkStart w:id="28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 enzyme recognition produces 27–32</w:t>
      </w:r>
      <w:r>
        <w:t xml:space="preserve"> </w:t>
      </w:r>
      <w:r>
        <w:t xml:space="preserve">bp tags flanking the motif. (b) An inversion reverses the order and orientation</w:t>
      </w:r>
      <w:r>
        <w:t xml:space="preserve"> </w:t>
      </w:r>
      <w:r>
        <w:t xml:space="preserve">of tags inside the affected segment.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generated with the Rust Syn2b implementation</w:t>
      </w:r>
      <w:r>
        <w:t xml:space="preserve"> </w:t>
      </w:r>
      <w:r>
        <w:t xml:space="preserve">and the production four-enzyme panel (BcgI, AlfI, AloI, FalI). The SNP-only</w:t>
      </w:r>
      <w:r>
        <w:t xml:space="preserve"> </w:t>
      </w:r>
      <w:r>
        <w:t xml:space="preserve">control carries 1% random substitutions outside recognition sites and produces</w:t>
      </w:r>
      <w:r>
        <w:t xml:space="preserve"> </w:t>
      </w:r>
      <w:r>
        <w:t xml:space="preserve">zero junctions; a single 100-kb or 500-kb inversion produces two junctions; a</w:t>
      </w:r>
      <w:r>
        <w:t xml:space="preserve"> </w:t>
      </w:r>
      <w:r>
        <w:t xml:space="preserve">single 500-kb translocation produces three junctions. The length-weighted raw</w:t>
      </w:r>
      <w:r>
        <w:t xml:space="preserve"> </w:t>
      </w:r>
      <w:r>
        <w:t xml:space="preserve">inverted fraction scales with inverted segment size. Small insertions and</w:t>
      </w:r>
      <w:r>
        <w:t xml:space="preserve"> </w:t>
      </w:r>
      <w:r>
        <w:t xml:space="preserve">deletions are not shown here because breakpoint counts depend on whether tags</w:t>
      </w:r>
      <w:r>
        <w:t xml:space="preserve"> </w:t>
      </w:r>
      <w:r>
        <w:t xml:space="preserve">straddle the breakpoint (Supplementary Figure 3). Mash distance (k=21) reports</w:t>
      </w:r>
      <w:r>
        <w:t xml:space="preserve"> </w:t>
      </w:r>
      <w:r>
        <w:t xml:space="preserve">no additional signal under any structural variant, confirming that k-mer methods</w:t>
      </w:r>
      <w:r>
        <w:t xml:space="preserve"> </w:t>
      </w:r>
      <w:r>
        <w:t xml:space="preserve">cannot distinguish SV from point mutation. Quantitative validation on real</w:t>
      </w:r>
      <w:r>
        <w:t xml:space="preserve"> </w:t>
      </w:r>
      <w:r>
        <w:t xml:space="preserve">isolates is shown in Figure 3.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identity band, improving monotonically as divergence decreases.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0.5, whereas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saturation. (d) Residuals</w:t>
      </w:r>
      <w:r>
        <w:t xml:space="preserve"> </w:t>
      </w:r>
      <w:r>
        <w:t xml:space="preserve">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 systematic dependence</w:t>
      </w:r>
      <w:r>
        <w:t xml:space="preserve"> </w:t>
      </w:r>
      <w:r>
        <w:t xml:space="preserve">on assembly fragmentation (max contigs per pair), illustrating the</w:t>
      </w:r>
      <w:r>
        <w:t xml:space="preserve"> </w:t>
      </w:r>
      <w:r>
        <w:t xml:space="preserve">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(same participant) are</w:t>
      </w:r>
      <w:r>
        <w:t xml:space="preserve"> </w:t>
      </w:r>
      <w:r>
        <w:t xml:space="preserve">structurally more similar than between-host pairs,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 Syn2b binary.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rPr>
          <w:b/>
          <w:bCs/>
        </w:rPr>
        <w:t xml:space="preserve">Table 3. GTDB-R207 validation: correlation of Syn2b metrics with dnadiff by</w:t>
      </w:r>
      <w:r>
        <w:rPr>
          <w:b/>
          <w:bCs/>
        </w:rPr>
        <w:t xml:space="preserve"> </w:t>
      </w:r>
      <w:r>
        <w:rPr>
          <w:b/>
          <w:bCs/>
        </w:rPr>
        <w:t xml:space="preserve">ANI band.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8"/>
    <w:bookmarkStart w:id="29" w:name="supplementary-information"/>
    <w:p>
      <w:pPr>
        <w:pStyle w:val="Heading2"/>
      </w:pPr>
      <w:r>
        <w:t xml:space="preserve">Supplementary Information</w:t>
      </w:r>
    </w:p>
    <w:p>
      <w:pPr>
        <w:pStyle w:val="FirstParagraph"/>
      </w:pPr>
      <w:r>
        <w:t xml:space="preserve">Supplementary Note 1: Mathematical derivation of the fragmentation principle.</w:t>
      </w:r>
      <w:r>
        <w:t xml:space="preserve"> </w:t>
      </w:r>
      <w:r>
        <w:t xml:space="preserve">Supplementary Note 2: 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.</w:t>
      </w:r>
      <w:r>
        <w:t xml:space="preserve"> </w:t>
      </w:r>
      <w:r>
        <w:t xml:space="preserve">Supplementary Table 1: 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  <w:r>
        <w:t xml:space="preserve"> </w:t>
      </w:r>
      <w:r>
        <w:t xml:space="preserve">Supplementary Table 2: Runtime comparison with alignment-based methods.</w:t>
      </w:r>
      <w:r>
        <w:t xml:space="preserve"> </w:t>
      </w:r>
      <w:r>
        <w:t xml:space="preserve">Supplementary Figure 1: Tag spacing distributions for the production panel.</w:t>
      </w:r>
      <w:r>
        <w:t xml:space="preserve"> </w:t>
      </w:r>
      <w:r>
        <w:t xml:space="preserve">Supplementary Figure 2: Closed-genome inversion validation.</w:t>
      </w:r>
      <w:r>
        <w:t xml:space="preserve"> </w:t>
      </w:r>
      <w:r>
        <w:t xml:space="preserve">Supplementary Figure 3: Sensitivity of Syn2b junction counts and raw 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 single inversion, insertion, deletion, or translocation on a 1% SNP background were analysed with the four-enzyme panel. Inversions yield two junctions irrespective of size, while the inverted fraction increases with inverted segment length. Insertions and deletions produce zero junctions unless a landmark straddles the breakpoint; translocation of a 500-kb segment yields three junctions.</w:t>
      </w:r>
    </w:p>
    <w:p>
      <w:r>
        <w:pict>
          <v:rect style="width:0;height:1.5pt" o:hralign="center" o:hrstd="t" o:hr="t"/>
        </w:pict>
      </w:r>
    </w:p>
    <w:bookmarkEnd w:id="29"/>
    <w:bookmarkStart w:id="3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0"/>
    <w:bookmarkStart w:id="3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1"/>
    <w:bookmarkStart w:id="3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2026-09-07T00:37:48Z</dcterms:created>
  <dcterms:modified xsi:type="dcterms:W3CDTF">2026-09-07T00:37:48Z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