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c573160e92fa6b8ce6bac14bd269bf20145b31"/>
    <w:p>
      <w:pPr>
        <w:pStyle w:val="Heading1"/>
      </w:pPr>
      <w:r>
        <w:t xml:space="preserve">Syn2b: fragmentation-invariant structural comparison of microbial genomes by ordered restriction-enzyme tags</w:t>
      </w:r>
    </w:p>
    <w:p>
      <w:pPr>
        <w:pStyle w:val="FirstParagraph"/>
      </w:pPr>
      <w:r>
        <w:rPr>
          <w:b/>
          <w:bCs/>
        </w:rPr>
        <w:t xml:space="preserve">Shi Huang¹*, Yufeng Zhang¹</w:t>
      </w:r>
    </w:p>
    <w:p>
      <w:pPr>
        <w:pStyle w:val="BodyText"/>
      </w:pPr>
      <w:r>
        <w:t xml:space="preserve">¹Faculty of Dentistry, The University of Hong Kong, Hong Kong SAR, China</w:t>
      </w:r>
    </w:p>
    <w:p>
      <w:pPr>
        <w:pStyle w:val="BodyText"/>
      </w:pPr>
      <w:r>
        <w:t xml:space="preserve">*Corresponding author: shihuang@hku.hk</w:t>
      </w:r>
    </w:p>
    <w:p>
      <w:r>
        <w:pict>
          <v:rect style="width:0;height:1.5pt" o:hralign="center" o:hrstd="t" o:hr="t"/>
        </w:pict>
      </w:r>
    </w:p>
    <w:bookmarkStart w:id="9" w:name="abstract"/>
    <w:p>
      <w:pPr>
        <w:pStyle w:val="Heading2"/>
      </w:pPr>
      <w:r>
        <w:t xml:space="preserve">Abstract</w:t>
      </w:r>
    </w:p>
    <w:p>
      <w:pPr>
        <w:pStyle w:val="FirstParagraph"/>
      </w:pPr>
      <w:r>
        <w:t xml:space="preserve">Statistics that count transitions between adjacent states acquire fragmentation-dependent bias, whereas length-weighted ratios are invariant to splitting. Syn2b applies this principle to microbial genomes by comparing the order and adjacency of Type IIB restriction tags. Across 43,312 held-out GTDB-R207 genome pairs, its fixed-reference inverted landmark fraction tracked dnadiff at Pearson r = 0.94; at ANIm ≥ 97% (n = 3,826), r = 0.996 and slope = 1.006. A four-enzyme panel yielded 1.34 tags/kb, detected 4-kb inversions, and compared genomes in approximately 19 ms per pair. In a 47,748-pair GTDB-R207 survey, 34% of pairs with ANIm ≥ 97% carried ≥2 alignment-defined inversions that ANI ranking alone did not report. Database-scale analyses found ≥2 landmark-defined breakpoints in 77.83% of 646,012,820 reported species pairs and 27.89% of 62,872,901 HROM conspecific pairs, with taxon-specific variation. Syn2b is available at https://github.com/HuangShiLab/Syn2b.</w:t>
      </w:r>
    </w:p>
    <w:p>
      <w:r>
        <w:pict>
          <v:rect style="width:0;height:1.5pt" o:hralign="center" o:hrstd="t" o:hr="t"/>
        </w:pict>
      </w:r>
    </w:p>
    <w:p>
      <w:pPr>
        <w:pStyle w:val="FirstParagraph"/>
      </w:pPr>
      <w:r>
        <w:t xml:space="preserve">Strain-level microbial evolution combines point mutation with insertions, deletions, inversions, translocations and homologous recombination. These processes alter phenotype, virulence and antibiotic resistance¹⁻³. SNP-based strain-tracking tools such as inStrain⁴, MIDAS⁵ and StrainPhlAn⁶ map reads or marker genes to a reference and therefore do not directly measure rearrangements⁷. This limitation matters because recombination contributes to antibiotic resistance in</w:t>
      </w:r>
      <w:r>
        <w:t xml:space="preserve"> </w:t>
      </w:r>
      <w:r>
        <w:rPr>
          <w:i/>
          <w:iCs/>
        </w:rPr>
        <w:t xml:space="preserve">Streptococcus pneumoniae</w:t>
      </w:r>
      <w:r>
        <w:t xml:space="preserve">⁸, virulence in</w:t>
      </w:r>
      <w:r>
        <w:t xml:space="preserve"> </w:t>
      </w:r>
      <w:r>
        <w:rPr>
          <w:i/>
          <w:iCs/>
        </w:rPr>
        <w:t xml:space="preserve">Neisseria meningitidis</w:t>
      </w:r>
      <w:r>
        <w:t xml:space="preserve">⁹ and phase-variable immune evasion¹⁰⁻¹². Within one host, hypermutator and hyper-recombinator modes can leave distinct genomic traces¹³⁻¹⁵.</w:t>
      </w:r>
    </w:p>
    <w:p>
      <w:pPr>
        <w:pStyle w:val="BodyText"/>
      </w:pPr>
      <w:r>
        <w:t xml:space="preserve">Existing comparison methods occupy two extremes. SynTracker¹⁶ identifies microsynteny through BLAST¹⁷ and DECIPHER¹⁸ alignments, preserving structural information but requiring BLAST databases and computationally expensive all-versus-all analysis. Fast k-mer estimators such as skani¹⁹ report ANI in milliseconds but discard landmark adjacency. Neither provides a rapid length-resolved structural comparison for draft genomes.</w:t>
      </w:r>
    </w:p>
    <w:p>
      <w:pPr>
        <w:pStyle w:val="BodyText"/>
      </w:pPr>
      <w:r>
        <w:t xml:space="preserve">Syn2b resolves this trade-off by comparing ordered Type IIB restriction tags, 27–32-bp landmarks²⁰ that can also be generated by 2bRAD-style sequencing. Each landmark is anchored to a recognition site, so the same genome yields the same ordered tags across studies and software versions. Because counting adjacency breaks accumulates a fragmentation-dependent term, Syn2b prioritizes length-weighted landmark ratios, whose numerator and denominator are preserved when an assembly or alignment segment is split. This formulation connects a statistical principle to a practical assay and removes the need for pairwise alignment, BLAST databases or prebuilt indexes. We validate Syn2b on controlled structural variants, enzyme optimization and 43,334 GTDB-R207²¹ pairs against dnadiff, then show that it detects strain-level rearrangements and scales to 646 million GTDB pairs and 62.9 million Human Reference Oral Microbiome (HROM) pairs.</w:t>
      </w:r>
    </w:p>
    <w:p>
      <w:r>
        <w:pict>
          <v:rect style="width:0;height:1.5pt" o:hralign="center" o:hrstd="t" o:hr="t"/>
        </w:pict>
      </w:r>
    </w:p>
    <w:bookmarkEnd w:id="9"/>
    <w:bookmarkStart w:id="20" w:name="results"/>
    <w:p>
      <w:pPr>
        <w:pStyle w:val="Heading2"/>
      </w:pPr>
      <w:r>
        <w:t xml:space="preserve">Results</w:t>
      </w:r>
    </w:p>
    <w:bookmarkStart w:id="10" w:name="syn2b-compares-ordered-restriction-tags"/>
    <w:p>
      <w:pPr>
        <w:pStyle w:val="Heading3"/>
      </w:pPr>
      <w:r>
        <w:t xml:space="preserve">Syn2b compares ordered restriction tags</w:t>
      </w:r>
    </w:p>
    <w:p>
      <w:pPr>
        <w:pStyle w:val="FirstParagraph"/>
      </w:pPr>
      <w:r>
        <w:t xml:space="preserve">Syn2b simulates digestion by Type IIB/IIG enzymes and represents each genome as an ordered set of 27–32-bp tags. The production panel combines BcgI, AlfI, AloI and FalI (Fig. 1a). It reports three complementary quantities: adjacency conservation, the count of breakpoint or junction adjacencies present in one genome but not the other, and length-weighted orientation ratios. Adjacency conservation is sensitive to local synteny disruption; breakpoint counts detect the presence of new boundaries; ratios estimate the fraction of shared landmarks whose stored orientation differs between genomes. A whole-genome inversion reverses every tag orientation, so Syn2b reports both a majority-frame fraction and a fixed-reference fraction. The majority frame uses the dominant orientation and saturates at 0.5 after large inversions. The fixed-reference</w:t>
      </w:r>
      <w:r>
        <w:t xml:space="preserve"> </w:t>
      </w:r>
      <w:r>
        <w:rPr>
          <w:rStyle w:val="VerbatimChar"/>
        </w:rPr>
        <w:t xml:space="preserve">raw_inverted_fraction</w:t>
      </w:r>
      <w:r>
        <w:t xml:space="preserve"> </w:t>
      </w:r>
      <w:r>
        <w:t xml:space="preserve">scores orientation relative to one genome and is the metric validated below (Fig. 1b). Digestion uses anchor-based search rather than a sliding window and runs in O(N) time per genome; pairwise scoring is O(M log M) in shared tags M. Syn2b is implemented in Rust and has no database lookup step.</w:t>
      </w:r>
    </w:p>
    <w:bookmarkEnd w:id="10"/>
    <w:bookmarkStart w:id="11" w:name="Xe232554cec7665fa33718bf0fa97896a0c77be6"/>
    <w:p>
      <w:pPr>
        <w:pStyle w:val="Heading3"/>
      </w:pPr>
      <w:r>
        <w:t xml:space="preserve">Length-weighted ratios remove fragmentation bias</w:t>
      </w:r>
    </w:p>
    <w:p>
      <w:pPr>
        <w:pStyle w:val="FirstParagraph"/>
      </w:pPr>
      <w:r>
        <w:t xml:space="preserve">If an observation process divides a genome into K segments, transition counts acquire an expected term proportional to K − 1 (Supplementary Note 1). The coefficient depends on how missing adjacencies at segment ends are treated. In contrast, splitting a segment preserves both numerator and denominator of a length-weighted ratio. Syn2b estimates such ratios over shared landmarks, so the same invariance applies to landmark fractions under near-uniform Type IIB spacing. This predicts contig dependence for transition counts, contig invariance for ratios, and loss of the contig term on closed genomes. The mathematical derivation and the treatment of unobservable boundary adjacencies are given in Supplementary Note 1.</w:t>
      </w:r>
    </w:p>
    <w:bookmarkEnd w:id="11"/>
    <w:bookmarkStart w:id="12" w:name="Xa4f2158ce5f61d39360f8de3246698532ca5904"/>
    <w:p>
      <w:pPr>
        <w:pStyle w:val="Heading3"/>
      </w:pPr>
      <w:r>
        <w:t xml:space="preserve">Controlled variants separate structural signal from SNP load</w:t>
      </w:r>
    </w:p>
    <w:p>
      <w:pPr>
        <w:pStyle w:val="FirstParagraph"/>
      </w:pPr>
      <w:r>
        <w:t xml:space="preserve">We first tested the Rust implementation on controlled</w:t>
      </w:r>
      <w:r>
        <w:t xml:space="preserve"> </w:t>
      </w:r>
      <w:r>
        <w:rPr>
          <w:i/>
          <w:iCs/>
        </w:rPr>
        <w:t xml:space="preserve">E. coli</w:t>
      </w:r>
      <w:r>
        <w:t xml:space="preserve"> </w:t>
      </w:r>
      <w:r>
        <w:t xml:space="preserve">K-12 genomes carrying point mutations, single inversions, translocations or indels (Fig. 2). Each input tests a separate response: substitutions probe landmark retention, inversions and translocations probe breakpoint detection, and indels probe tag loss. In a 0.5–5% substitution sweep with one replicate per rate, Syn2b reported zero junctions at every rate, while shared tags decreased from 4,935 at 0.5% substitutions to 1,227 at 5% as landmarks were lost (</w:t>
      </w:r>
      <w:r>
        <w:rPr>
          <w:rStyle w:val="VerbatimChar"/>
        </w:rPr>
        <w:t xml:space="preserve">results/snp_sweep_metrics.csv</w:t>
      </w:r>
      <w:r>
        <w:t xml:space="preserve">). Single 100-kb and 500-kb inversions produced exactly two junctions; a 500-kb translocation produced three; and Kendall tau of matching tag positions decreased with global order disruption. Ten-kilobase to 100-kb indels removed 14–119 shared tags relative to the 5,704-tag SNP-only control without creating junctions unless a landmark crossed a breakpoint. Mash changed by only ~5 × 10⁻⁷ when a structural variant was added to a 1% SNP background, five orders of magnitude below its SNP response²². In a detection-size benchmark with ten random positions per size, the four-enzyme panel recovered both junctions of 4-kb inversions in 10/10 replicates and 2-kb inversions in 8/10, whereas BcgI alone required ~8 kb for 90% detection (Supplementary Fig. 4).</w:t>
      </w:r>
    </w:p>
    <w:bookmarkEnd w:id="12"/>
    <w:bookmarkStart w:id="13" w:name="X45d48bf4c4cd43d828b8da961f42cb550ec23fc"/>
    <w:p>
      <w:pPr>
        <w:pStyle w:val="Heading3"/>
      </w:pPr>
      <w:r>
        <w:t xml:space="preserve">A dense four-enzyme panel maximizes landmark resolution</w:t>
      </w:r>
    </w:p>
    <w:p>
      <w:pPr>
        <w:pStyle w:val="FirstParagraph"/>
      </w:pPr>
      <w:r>
        <w:t xml:space="preserve">The production panel was selected from 16 implemented Type IIB/IIG enzymes by maximizing landmark density while limiting motif overlap. BcgI and AlfI contribute well-characterized 32-bp tags, whereas AloI and FalI add 27-bp arms with complementary motifs. In</w:t>
      </w:r>
      <w:r>
        <w:t xml:space="preserve"> </w:t>
      </w:r>
      <w:r>
        <w:rPr>
          <w:i/>
          <w:iCs/>
        </w:rPr>
        <w:t xml:space="preserve">E. coli</w:t>
      </w:r>
      <w:r>
        <w:t xml:space="preserve"> </w:t>
      </w:r>
      <w:r>
        <w:t xml:space="preserve">K-12, they contributed 2,935, 2,023, 523 and 735 tags, respectively; together they contain 6,216 tags (1.34/kb), 2.1× the BcgI-only density (Supplementary Table 7; Supplementary Fig. 1). Across 43,312 GTDB-R207 held-out pairs, the panel increased Pearson correlation with dnadiff from r = 0.830 for BcgI alone to r = 0.936 and reduced mean absolute error from 0.0576 to 0.0370 (Supplementary Table 8). To determine whether enzyme identity or landmark density explained the improvement, we replaced enzyme sites with FracMinHash sketches at scales 250–6,000. At similar density, FracMinHash gave similar accuracy (r = 0.931), and denser sketches improved to r = 0.951. We retained enzymes because they are deterministic, interpretable and physically sequenceable by 2bRAD protocols; the exact tag set analysed in silico can be generated as molecules without changing the metric. Enzyme landmarks also avoid the memory cost of the densest sketches while generalizing to any set of ordered landmarks. Occasional methylation or motif polymorphism is handled as reduced landmark sampling (Supplementary Note 2).</w:t>
      </w:r>
    </w:p>
    <w:bookmarkEnd w:id="13"/>
    <w:bookmarkStart w:id="14" w:name="X4008620fffc07147b4def3d88872a079ce7297e"/>
    <w:p>
      <w:pPr>
        <w:pStyle w:val="Heading3"/>
      </w:pPr>
      <w:r>
        <w:t xml:space="preserve">Syn2b reproduces alignment-based structural fractions</w:t>
      </w:r>
    </w:p>
    <w:p>
      <w:pPr>
        <w:pStyle w:val="FirstParagraph"/>
      </w:pPr>
      <w:r>
        <w:t xml:space="preserve">We applied Syn2b to 43,334 GTDB-R207 held-out pairs used independently of companion-tool training and compared the results with dnadiff and minimap2. Across 43,312 pairs with complete metrics,</w:t>
      </w:r>
      <w:r>
        <w:t xml:space="preserve"> </w:t>
      </w:r>
      <w:r>
        <w:rPr>
          <w:rStyle w:val="VerbatimChar"/>
        </w:rPr>
        <w:t xml:space="preserve">raw_inverted_fraction</w:t>
      </w:r>
      <w:r>
        <w:t xml:space="preserve"> </w:t>
      </w:r>
      <w:r>
        <w:t xml:space="preserve">correlated with dnadiff at Pearson r = 0.936 (95% CI 0.934–0.937; Fig. 3a and Supplementary Table 10). Agreement increased monotonically as divergence decreased: correlation rose from 0.882 at 80–85% ANIm to 0.986 at 95–97% ANIm. Binning by the four-enzyme model’s predicted ANI produced the same near-one-to-one trend (Supplementary Table 11). Because only two held-out pairs reached ANIm ≥ 97%, we evaluated the strain-level regime in an independent ANIm-verified sample. At ANIm ≥ 97%, n = 3,826 unique pairs gave r = 0.996, slope = 1.006 and error SD = 0.0135; the Bland–Altman mean difference was &lt;0.001 (Supplementary Table 11). A sampling model with landmark clustering and a method floor, Var(err) = 1.504·p(1−p)/m + 0.0205², predicted the tighter spread at high ANIm without refitting. Here p is the inverted fraction and m is the shared-landmark count; the clustering term reflects spatially correlated inverted landmarks and the floor reflects the different denominators used by dnadiff and Syn2b.</w:t>
      </w:r>
    </w:p>
    <w:p>
      <w:pPr>
        <w:pStyle w:val="BodyText"/>
      </w:pPr>
      <w:r>
        <w:t xml:space="preserve">The majority-frame metric anticorrelated with dnadiff in the saturated subset (r = −0.896), confirming the need for the fixed-reference form. Nearly half of the held-out pairs had dnadiff inverted fraction &gt;0.5; in that subset, the fixed-reference metric retained r = 0.872. Fixed-reference fractions require orientation-consistent assemblies: arbitrary contig orientation drives paired drafts toward approximately 0.5. In 100 closed-genome pairs selected for high expected divergence, Syn2b detected a median of four inversions per pair with a dnadiff counterpart, and unmatched dnadiff events were consistent with sparse landmark coverage rather than algorithmic error (Supplementary Fig. 2). The sampling model also explains the remaining discrepancy between event and ratio channels.</w:t>
      </w:r>
    </w:p>
    <w:p>
      <w:pPr>
        <w:pStyle w:val="BodyText"/>
      </w:pPr>
      <w:r>
        <w:t xml:space="preserve">Transition counts confirmed the fragmentation principle. dnadiff breakpoint counts correlated with maximum contig count (Spearman ρ = 0.28; partial ρ = 0.34 controlling ANIm), whereas Syn2b junction counts did not (ρ = 0.02; partial ρ = 0.01). Thus, ratio metrics are preferable for draft-genome orientation and junction metrics for screening event presence.</w:t>
      </w:r>
    </w:p>
    <w:bookmarkEnd w:id="14"/>
    <w:bookmarkStart w:id="15" w:name="X16dbca36a8bb1cb9c6a134b19ffbe21bde7513b"/>
    <w:p>
      <w:pPr>
        <w:pStyle w:val="Heading3"/>
      </w:pPr>
      <w:r>
        <w:t xml:space="preserve">Syn2b adds structure to ANI in cohort analysis</w:t>
      </w:r>
    </w:p>
    <w:p>
      <w:pPr>
        <w:pStyle w:val="FirstParagraph"/>
      </w:pPr>
      <w:r>
        <w:t xml:space="preserve">Across four published SynTracker cohorts (3,435 pairs;</w:t>
      </w:r>
      <w:r>
        <w:t xml:space="preserve"> </w:t>
      </w:r>
      <w:r>
        <w:rPr>
          <w:i/>
          <w:iCs/>
        </w:rPr>
        <w:t xml:space="preserve">E. coli</w:t>
      </w:r>
      <w:r>
        <w:t xml:space="preserve"> </w:t>
      </w:r>
      <w:r>
        <w:t xml:space="preserve">hypermutator, 253;</w:t>
      </w:r>
      <w:r>
        <w:t xml:space="preserve"> </w:t>
      </w:r>
      <w:r>
        <w:rPr>
          <w:i/>
          <w:iCs/>
        </w:rPr>
        <w:t xml:space="preserve">H. pylori</w:t>
      </w:r>
      <w:r>
        <w:t xml:space="preserve">, 2,926;</w:t>
      </w:r>
      <w:r>
        <w:t xml:space="preserve"> </w:t>
      </w:r>
      <w:r>
        <w:rPr>
          <w:i/>
          <w:iCs/>
        </w:rPr>
        <w:t xml:space="preserve">N. gonorrhoeae</w:t>
      </w:r>
      <w:r>
        <w:t xml:space="preserve">, 66;</w:t>
      </w:r>
      <w:r>
        <w:t xml:space="preserve"> </w:t>
      </w:r>
      <w:r>
        <w:rPr>
          <w:i/>
          <w:iCs/>
        </w:rPr>
        <w:t xml:space="preserve">S. rimosus</w:t>
      </w:r>
      <w:r>
        <w:t xml:space="preserve">, 190), ANI and Syn2b breakpoints occupied distinct regimes (Fig. 4a–c).</w:t>
      </w:r>
      <w:r>
        <w:t xml:space="preserve"> </w:t>
      </w:r>
      <w:r>
        <w:rPr>
          <w:i/>
          <w:iCs/>
        </w:rPr>
        <w:t xml:space="preserve">Streptomyces rimosus</w:t>
      </w:r>
      <w:r>
        <w:t xml:space="preserve"> </w:t>
      </w:r>
      <w:r>
        <w:t xml:space="preserve">pairs exceeded 99.9% ANI but had a median of 10 junctions.</w:t>
      </w:r>
      <w:r>
        <w:t xml:space="preserve"> </w:t>
      </w:r>
      <w:r>
        <w:rPr>
          <w:i/>
          <w:iCs/>
        </w:rPr>
        <w:t xml:space="preserve">Escherichia coli</w:t>
      </w:r>
      <w:r>
        <w:t xml:space="preserve"> </w:t>
      </w:r>
      <w:r>
        <w:t xml:space="preserve">hypermutator pairs were near-clonal (median ANI 99.99%) and had a median of zero junctions, consistent with a population dominated by point mutation.</w:t>
      </w:r>
      <w:r>
        <w:t xml:space="preserve"> </w:t>
      </w:r>
      <w:r>
        <w:rPr>
          <w:i/>
          <w:iCs/>
        </w:rPr>
        <w:t xml:space="preserve">Helicobacter pylori</w:t>
      </w:r>
      <w:r>
        <w:t xml:space="preserve"> </w:t>
      </w:r>
      <w:r>
        <w:t xml:space="preserve">spanned 94.6–100% ANI, and</w:t>
      </w:r>
      <w:r>
        <w:t xml:space="preserve"> </w:t>
      </w:r>
      <w:r>
        <w:rPr>
          <w:i/>
          <w:iCs/>
        </w:rPr>
        <w:t xml:space="preserve">Neisseria gonorrhoeae</w:t>
      </w:r>
      <w:r>
        <w:t xml:space="preserve"> </w:t>
      </w:r>
      <w:r>
        <w:t xml:space="preserve">occupied 99.6–100%, with substantial scatter between ANI and breakpoints. Among 2,926</w:t>
      </w:r>
      <w:r>
        <w:t xml:space="preserve"> </w:t>
      </w:r>
      <w:r>
        <w:rPr>
          <w:i/>
          <w:iCs/>
        </w:rPr>
        <w:t xml:space="preserve">H. pylori</w:t>
      </w:r>
      <w:r>
        <w:t xml:space="preserve"> </w:t>
      </w:r>
      <w:r>
        <w:t xml:space="preserve">pairs, the 476 within-host pairs had a median of zero junctions and observable fraction 0.995, whereas the 2,450 between-host pairs had a median of eight junctions and observable fraction 0.978 (10,000-permutation p &lt; 1 × 10⁻⁴; Cliff’s delta = −0.92; Fig. 4d and Supplementary Table 5). Syn2b therefore recovered epidemiologically relevant structure from restriction tags.</w:t>
      </w:r>
    </w:p>
    <w:bookmarkEnd w:id="15"/>
    <w:bookmarkStart w:id="16" w:name="X15815b26f843244b38a57dca888b6ed6d3ff7d8"/>
    <w:p>
      <w:pPr>
        <w:pStyle w:val="Heading3"/>
      </w:pPr>
      <w:r>
        <w:t xml:space="preserve">Strain-level pairs hide common rearrangements</w:t>
      </w:r>
    </w:p>
    <w:p>
      <w:pPr>
        <w:pStyle w:val="FirstParagraph"/>
      </w:pPr>
      <w:r>
        <w:t xml:space="preserve">The cohort result motivates a broader estimate of how often high-ANI pairs carry rearrangements. Merging the held-out and ANIm-verified samples yielded 47,748 pairs with ANIm, dnadiff inversions and Syn2b metrics. Because dnadiff inversion counts are insensitive to the orientation convention that affects length fractions, they provide event-level truth for this survey. Of 3,828 pairs with ANIm ≥ 97%, 45% carried at least one inversion and 1,295 (34%; 95% CI 32.4–35.3%) carried at least two (Fig. 5a,b). Prevalence remained high as divergence decreased: 29% of pairs with ANIm ≥ 99% carried at least one inversion and 18% carried at least two. Discordant pairs had fewer contigs than concordant pairs (median 122 versus 177; Mann–Whitney p = 1.7 × 10⁻¹⁷), and dnadiff can call inversions only within aligned segments, so this prevalence is conservative. The most extreme pair, two</w:t>
      </w:r>
      <w:r>
        <w:t xml:space="preserve"> </w:t>
      </w:r>
      <w:r>
        <w:rPr>
          <w:i/>
          <w:iCs/>
        </w:rPr>
        <w:t xml:space="preserve">Streptomyces</w:t>
      </w:r>
      <w:r>
        <w:t xml:space="preserve"> </w:t>
      </w:r>
      <w:r>
        <w:t xml:space="preserve">assemblies of the same species, carried 129 dnadiff inversions at 97.1% ANIm (Supplementary Table 6).</w:t>
      </w:r>
    </w:p>
    <w:p>
      <w:pPr>
        <w:pStyle w:val="BodyText"/>
      </w:pPr>
      <w:r>
        <w:t xml:space="preserve">Discordant pairs were enriched in Proteobacteria (1.3×), Firmicutes (1.4×) and Actinobacteriota (1.3×) and depleted in Spirochaetota (0.74×; Fig. 5c). Complete-genome collections matched known biology:</w:t>
      </w:r>
      <w:r>
        <w:t xml:space="preserve"> </w:t>
      </w:r>
      <w:r>
        <w:rPr>
          <w:i/>
          <w:iCs/>
        </w:rPr>
        <w:t xml:space="preserve">M. tuberculosis</w:t>
      </w:r>
      <w:r>
        <w:t xml:space="preserve"> </w:t>
      </w:r>
      <w:r>
        <w:t xml:space="preserve">had a median of zero junctions, whereas 84–88% of ≥99%-ANI</w:t>
      </w:r>
      <w:r>
        <w:t xml:space="preserve"> </w:t>
      </w:r>
      <w:r>
        <w:rPr>
          <w:i/>
          <w:iCs/>
        </w:rPr>
        <w:t xml:space="preserve">Shigella</w:t>
      </w:r>
      <w:r>
        <w:t xml:space="preserve"> </w:t>
      </w:r>
      <w:r>
        <w:t xml:space="preserve">pairs carried ≥2 junctions;</w:t>
      </w:r>
      <w:r>
        <w:t xml:space="preserve"> </w:t>
      </w:r>
      <w:r>
        <w:rPr>
          <w:i/>
          <w:iCs/>
        </w:rPr>
        <w:t xml:space="preserve">Salmonella</w:t>
      </w:r>
      <w:r>
        <w:t xml:space="preserve"> </w:t>
      </w:r>
      <w:r>
        <w:t xml:space="preserve">Typhimurium (75%) and</w:t>
      </w:r>
      <w:r>
        <w:t xml:space="preserve"> </w:t>
      </w:r>
      <w:r>
        <w:rPr>
          <w:i/>
          <w:iCs/>
        </w:rPr>
        <w:t xml:space="preserve">E. coli</w:t>
      </w:r>
      <w:r>
        <w:t xml:space="preserve"> </w:t>
      </w:r>
      <w:r>
        <w:t xml:space="preserve">(58%) fell between these extremes (Supplementary Fig. 5). At a junction threshold of 12, Syn2b flagged 30% of discordant pairs with a 4.6% false-positive rate on concordant pairs (AUC 0.80); normalizing by shared landmarks did not improve the ranking. A two-stage screen at approximately 1.1 s per pair would cost 7.5× less than aligning every pair. Across 711 million planned within-species GTDB pairs, this corresponds to approximately 0.21 million rather than 1.58 million core-hours. The 1,295 structurally divergent surveyed pairs would be indistinguishable by ANI alone.</w:t>
      </w:r>
    </w:p>
    <w:bookmarkEnd w:id="16"/>
    <w:bookmarkStart w:id="17" w:name="X07d53a45d1d81dbd3844c7300ec2c9a9ab3af5d"/>
    <w:p>
      <w:pPr>
        <w:pStyle w:val="Heading3"/>
      </w:pPr>
      <w:r>
        <w:t xml:space="preserve">Structural prevalence at GTDB database scale</w:t>
      </w:r>
    </w:p>
    <w:p>
      <w:pPr>
        <w:pStyle w:val="FirstParagraph"/>
      </w:pPr>
      <w:r>
        <w:t xml:space="preserve">Applying the production panel to all multi-genome GTDB-R207 species clusters produced 646,012,820 reported pairs after canonicalization and deduplication, from 261,737 genomes in 21,973 clusters. The planned catalogue contained 711,020,841 unique pairs; the effective set excluded 12,637 genomes without usable digests. Of the reported pairs, 502,819,691 (77.83%) had ≥2 landmark-defined breakpoints. Species-level prevalence spanned nearly the full range even among 383 clusters with ≥1,000 effective pairs: high-rate examples included</w:t>
      </w:r>
      <w:r>
        <w:t xml:space="preserve"> </w:t>
      </w:r>
      <w:r>
        <w:rPr>
          <w:i/>
          <w:iCs/>
        </w:rPr>
        <w:t xml:space="preserve">Pseudomonas_E viridiflava</w:t>
      </w:r>
      <w:r>
        <w:t xml:space="preserve"> </w:t>
      </w:r>
      <w:r>
        <w:t xml:space="preserve">(97.88%) and</w:t>
      </w:r>
      <w:r>
        <w:t xml:space="preserve"> </w:t>
      </w:r>
      <w:r>
        <w:rPr>
          <w:i/>
          <w:iCs/>
        </w:rPr>
        <w:t xml:space="preserve">Streptococcus pneumoniae</w:t>
      </w:r>
      <w:r>
        <w:t xml:space="preserve"> </w:t>
      </w:r>
      <w:r>
        <w:t xml:space="preserve">(97.81% of 29.42 million pairs), whereas</w:t>
      </w:r>
      <w:r>
        <w:t xml:space="preserve"> </w:t>
      </w:r>
      <w:r>
        <w:rPr>
          <w:i/>
          <w:iCs/>
        </w:rPr>
        <w:t xml:space="preserve">Treponema pallidum</w:t>
      </w:r>
      <w:r>
        <w:t xml:space="preserve"> </w:t>
      </w:r>
      <w:r>
        <w:t xml:space="preserve">(2.33%) and</w:t>
      </w:r>
      <w:r>
        <w:t xml:space="preserve"> </w:t>
      </w:r>
      <w:r>
        <w:rPr>
          <w:i/>
          <w:iCs/>
        </w:rPr>
        <w:t xml:space="preserve">Chlamydia trachomatis</w:t>
      </w:r>
      <w:r>
        <w:t xml:space="preserve"> </w:t>
      </w:r>
      <w:r>
        <w:t xml:space="preserve">(2.95%) were low (Supplementary Fig. 6a). These values establish that the strain-level signal extends across a large genome catalogue rather than being confined to selected representatives.</w:t>
      </w:r>
    </w:p>
    <w:bookmarkEnd w:id="17"/>
    <w:bookmarkStart w:id="18" w:name="Xba6847abaf97aaab5cdc96403f5fae39624f816"/>
    <w:p>
      <w:pPr>
        <w:pStyle w:val="Heading3"/>
      </w:pPr>
      <w:r>
        <w:t xml:space="preserve">HROM replicates taxon-specific structural variation</w:t>
      </w:r>
    </w:p>
    <w:p>
      <w:pPr>
        <w:pStyle w:val="FirstParagraph"/>
      </w:pPr>
      <w:r>
        <w:t xml:space="preserve">The independent HROM census analysed 142,277 genomes in 2,241 multi-genome clusters and all 62,872,901 unordered conspecific pairs. TGT records were keyed by filename accession because HROM FASTA headers contain contig identifiers; cluster-level row counts matched sum C(n,2) exactly. Of these pairs, 17,535,013 (27.89%; Wilson 95% CI 27.88–27.90%) carried ≥2 breakpoints, and every pair had matched skani ANI. Among 367 clusters with ≥1,000 pairs, prevalence ranged from 0.66% to 83.29% (median 17.92%; Supplementary Fig. 6b,c). Thus, structural variation and taxon-specific heterogeneity extend beyond GTDB.</w:t>
      </w:r>
    </w:p>
    <w:bookmarkEnd w:id="18"/>
    <w:bookmarkStart w:id="19" w:name="X14290f89d4225b4b59e3d695e10837b7a1902c6"/>
    <w:p>
      <w:pPr>
        <w:pStyle w:val="Heading3"/>
      </w:pPr>
      <w:r>
        <w:t xml:space="preserve">Rapid comparison supports database-scale screening</w:t>
      </w:r>
    </w:p>
    <w:p>
      <w:pPr>
        <w:pStyle w:val="FirstParagraph"/>
      </w:pPr>
      <w:r>
        <w:t xml:space="preserve">Digestion of a 4.6-Mbp genome with the four enzymes took approximately 42 ms on one core, with individual enzymes requiring 30–46 ms including process startup. Pairwise comparison amortized to 39.8 ms per pair for five genomes, 18.9 ms per pair for 22 genomes and 4.4 s total for 231 unique pairs (Fig. 6; Supplementary Table 9). Startup dominated the two-genome point, so it was excluded from the amortized scaling curve. Memory remained within laptop-scale limits for all tested panels. The skani plus dnadiff workflow required 1,844 s, approximately 420× longer, and SynTracker required 65,162 s on 16 cores, approximately 15,000× longer (Supplementary Tables 2 and 4). This speed makes paired structural annotation feasible during genome search rather than only in retrospective analyses.</w:t>
      </w:r>
    </w:p>
    <w:p>
      <w:r>
        <w:pict>
          <v:rect style="width:0;height:1.5pt" o:hralign="center" o:hrstd="t" o:hr="t"/>
        </w:pict>
      </w:r>
    </w:p>
    <w:bookmarkEnd w:id="19"/>
    <w:bookmarkEnd w:id="20"/>
    <w:bookmarkStart w:id="21" w:name="discussion"/>
    <w:p>
      <w:pPr>
        <w:pStyle w:val="Heading2"/>
      </w:pPr>
      <w:r>
        <w:t xml:space="preserve">Discussion</w:t>
      </w:r>
    </w:p>
    <w:p>
      <w:pPr>
        <w:pStyle w:val="FirstParagraph"/>
      </w:pPr>
      <w:r>
        <w:t xml:space="preserve">Syn2b provides a rapid structural comparison for microbial draft genomes by combining Type IIB landmark order with fragmentation-invariant ratios. The central design choice is to use length-weighted ratios for orientation and reserve transition counts for event detection, where their known dependence on assembly continuity is acceptable or can be bounded.</w:t>
      </w:r>
    </w:p>
    <w:p>
      <w:pPr>
        <w:pStyle w:val="BodyText"/>
      </w:pPr>
      <w:r>
        <w:t xml:space="preserve">This design gives Syn2b a distinct position among genome-comparison tools. SynTracker preserves synteny but requires BLAST and DECIPHER alignments; dnadiff provides alignment-based structural estimates but is costly at scale; Mash and skani are fast but discard adjacency. On the 22-genome benchmark, Syn2b was approximately 420× faster than skani plus dnadiff and approximately 15,000× faster than SynTracker while reporting length-resolved structural quantities. Across 43,312 GTDB pairs, its fixed-reference fraction matched dnadiff at r = 0.94, rising to 0.996 in the strain-level regime.</w:t>
      </w:r>
    </w:p>
    <w:p>
      <w:pPr>
        <w:pStyle w:val="BodyText"/>
      </w:pPr>
      <w:r>
        <w:t xml:space="preserve">The practical consequence is a two-stage workflow. ANI-only screening ranks 34% of surveyed strain-level pairs as near-identical despite two or more inversions. Syn2b identifies such pairs in approximately 19 ms, after which selected candidates can be validated by alignment. The GTDB and HROM censuses extend the observation to 77.83% of 646 million GTDB species pairs and 27.89% of 62.9 million HROM conspecific pairs carried at least two landmark-defined breakpoints, with prevalence varying widely among taxa. Database-scale pairing of fast structural screening with targeted alignment can therefore expose variation that ANI ranking alone suppresses.</w:t>
      </w:r>
    </w:p>
    <w:p>
      <w:pPr>
        <w:pStyle w:val="BodyText"/>
      </w:pPr>
      <w:r>
        <w:t xml:space="preserve">Three boundaries define appropriate use. The orientation ratio measures directional divergence but not event multiplicity; fixed-reference fractions require orientation-consistent assemblies; and transition counts are best interpreted on low-contig assemblies. Repeat-rich regions are excluded by treating multi-copy tags as uninformative, which improves specificity but reduces sensitivity. Future work will extend Syn2b to metagenomic contig sets, add repeat-aware filtering and evaluate additional Type IIG enzymes across GC contents.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Online Methods</w:t>
            </w:r>
          </w:p>
        </w:tc>
      </w:tr>
      <w:tr>
        <w:tc>
          <w:tcPr/>
          <w:p>
            <w:pPr>
              <w:pStyle w:val="Compact"/>
            </w:pPr>
            <w:r>
              <w:t xml:space="preserve">### In-silico genome simulation</w:t>
            </w:r>
          </w:p>
        </w:tc>
      </w:tr>
      <w:tr>
        <w:tc>
          <w:tcPr/>
          <w:p>
            <w:pPr>
              <w:pStyle w:val="Compact"/>
            </w:pPr>
            <w:r>
              <w:t xml:space="preserve">Simulations used</w:t>
            </w:r>
            <w:r>
              <w:t xml:space="preserve"> </w:t>
            </w:r>
            <w:r>
              <w:rPr>
                <w:i/>
                <w:iCs/>
              </w:rPr>
              <w:t xml:space="preserve">E. coli</w:t>
            </w:r>
            <w:r>
              <w:t xml:space="preserve"> </w:t>
            </w:r>
            <w:r>
              <w:t xml:space="preserve">K-12 MG1655 (NC_000913.3, 4,641,652 bp). Point</w:t>
            </w:r>
            <w:r>
              <w:t xml:space="preserve"> </w:t>
            </w:r>
            <w:r>
              <w:t xml:space="preserve">mutations, inversions, translocations, insertions, and deletions were</w:t>
            </w:r>
            <w:r>
              <w:t xml:space="preserve"> </w:t>
            </w:r>
            <w:r>
              <w:t xml:space="preserve">introduced with custom Python scripts (</w:t>
            </w:r>
            <w:r>
              <w:rPr>
                <w:rStyle w:val="VerbatimChar"/>
              </w:rPr>
              <w:t xml:space="preserve">scripts/generate_figure2_rust.py</w:t>
            </w:r>
            <w:r>
              <w:t xml:space="preserve">,</w:t>
            </w:r>
            <w:r>
              <w:t xml:space="preserve"> </w:t>
            </w:r>
            <w:r>
              <w:rPr>
                <w:rStyle w:val="VerbatimChar"/>
              </w:rPr>
              <w:t xml:space="preserve">scripts/generate_supplementary_figure3.py</w:t>
            </w:r>
            <w:r>
              <w:t xml:space="preserve">, and</w:t>
            </w:r>
            <w:r>
              <w:t xml:space="preserve"> </w:t>
            </w:r>
            <w:r>
              <w:rPr>
                <w:rStyle w:val="VerbatimChar"/>
              </w:rPr>
              <w:t xml:space="preserve">scripts/measure_detection_size.py</w:t>
            </w:r>
            <w:r>
              <w:t xml:space="preserve">; seed = 42). All metrics reported for</w:t>
            </w:r>
            <w:r>
              <w:t xml:space="preserve"> </w:t>
            </w:r>
            <w:r>
              <w:t xml:space="preserve">simulated genomes were generated by running the Rust Syn2b binary.</w:t>
            </w:r>
          </w:p>
        </w:tc>
      </w:tr>
      <w:tr>
        <w:tc>
          <w:tcPr/>
          <w:p>
            <w:pPr>
              <w:pStyle w:val="Compact"/>
            </w:pPr>
            <w:r>
              <w:t xml:space="preserve">### Type IIB enzyme digestion</w:t>
            </w:r>
          </w:p>
        </w:tc>
      </w:tr>
      <w:tr>
        <w:tc>
          <w:tcPr/>
          <w:p>
            <w:pPr>
              <w:pStyle w:val="Compact"/>
            </w:pPr>
            <w:r>
              <w:t xml:space="preserve">The production panel used for all GTDB-R207 validation is</w:t>
            </w:r>
            <w:r>
              <w:t xml:space="preserve"> </w:t>
            </w:r>
            <w:r>
              <w:rPr>
                <w:b/>
                <w:bCs/>
              </w:rPr>
              <w:t xml:space="preserve">BcgI+AlfI+AloI+FalI</w:t>
            </w:r>
            <w:r>
              <w:t xml:space="preserve">.</w:t>
            </w:r>
          </w:p>
        </w:tc>
      </w:tr>
      <w:tr>
        <w:tc>
          <w:tcPr/>
          <w:p>
            <w:pPr>
              <w:pStyle w:val="Compact"/>
            </w:pPr>
            <w:r>
              <w:rPr>
                <w:b/>
                <w:bCs/>
              </w:rPr>
              <w:t xml:space="preserve">BcgI</w:t>
            </w:r>
            <w:r>
              <w:t xml:space="preserve"> </w:t>
            </w:r>
            <w:r>
              <w:t xml:space="preserve">(32-bp tag): forward strand offset 10=CGA, offset 19=TGC; reverse</w:t>
            </w:r>
            <w:r>
              <w:t xml:space="preserve"> </w:t>
            </w:r>
            <w:r>
              <w:t xml:space="preserve">strand offset 10=GCA, offset 19=TCG.</w:t>
            </w:r>
          </w:p>
        </w:tc>
      </w:tr>
      <w:tr>
        <w:tc>
          <w:tcPr/>
          <w:p>
            <w:pPr>
              <w:pStyle w:val="Compact"/>
            </w:pPr>
            <w:r>
              <w:rPr>
                <w:b/>
                <w:bCs/>
              </w:rPr>
              <w:t xml:space="preserve">AlfI</w:t>
            </w:r>
            <w:r>
              <w:t xml:space="preserve"> </w:t>
            </w:r>
            <w:r>
              <w:t xml:space="preserve">(32-bp tag): offset 10=GCA, offset 19=TGC (palindromic).</w:t>
            </w:r>
          </w:p>
        </w:tc>
      </w:tr>
      <w:tr>
        <w:tc>
          <w:tcPr/>
          <w:p>
            <w:pPr>
              <w:pStyle w:val="Compact"/>
            </w:pPr>
            <w:r>
              <w:rPr>
                <w:b/>
                <w:bCs/>
              </w:rPr>
              <w:t xml:space="preserve">AloI</w:t>
            </w:r>
            <w:r>
              <w:t xml:space="preserve"> </w:t>
            </w:r>
            <w:r>
              <w:t xml:space="preserve">(27-bp tag): forward strand offset 7=GAAC, offset 17=TCC; reverse</w:t>
            </w:r>
            <w:r>
              <w:t xml:space="preserve"> </w:t>
            </w:r>
            <w:r>
              <w:t xml:space="preserve">strand offset 7=GGA, offset 16=GTTC.</w:t>
            </w:r>
          </w:p>
        </w:tc>
      </w:tr>
      <w:tr>
        <w:tc>
          <w:tcPr/>
          <w:p>
            <w:pPr>
              <w:pStyle w:val="Compact"/>
            </w:pPr>
            <w:r>
              <w:rPr>
                <w:b/>
                <w:bCs/>
              </w:rPr>
              <w:t xml:space="preserve">FalI</w:t>
            </w:r>
            <w:r>
              <w:t xml:space="preserve"> </w:t>
            </w:r>
            <w:r>
              <w:t xml:space="preserve">(27-bp tag): offset 8=AAG, offset 16=CTT (palindromic).</w:t>
            </w:r>
          </w:p>
        </w:tc>
      </w:tr>
      <w:tr>
        <w:tc>
          <w:tcPr/>
          <w:p>
            <w:pPr>
              <w:pStyle w:val="Compact"/>
            </w:pPr>
            <w:r>
              <w:t xml:space="preserve">### Syn2b metrics</w:t>
            </w:r>
          </w:p>
        </w:tc>
      </w:tr>
      <w:tr>
        <w:tc>
          <w:tcPr/>
          <w:p>
            <w:pPr>
              <w:pStyle w:val="Compact"/>
            </w:pPr>
            <w:r>
              <w:rPr>
                <w:b/>
                <w:bCs/>
              </w:rPr>
              <w:t xml:space="preserve">Mash proxy.</w:t>
            </w:r>
            <w:r>
              <w:t xml:space="preserve"> </w:t>
            </w:r>
            <w:r>
              <w:t xml:space="preserve">21-mer canonical k-mer Jaccard enumerated at every position,</w:t>
            </w:r>
            <w:r>
              <w:t xml:space="preserve"> </w:t>
            </w:r>
            <w:r>
              <w:t xml:space="preserve">converted to Mash distance²².</w:t>
            </w:r>
          </w:p>
        </w:tc>
      </w:tr>
      <w:tr>
        <w:tc>
          <w:tcPr/>
          <w:p>
            <w:pPr>
              <w:pStyle w:val="Compact"/>
            </w:pPr>
            <w:r>
              <w:rPr>
                <w:b/>
                <w:bCs/>
              </w:rPr>
              <w:t xml:space="preserve">Adjacency Jaccard.</w:t>
            </w:r>
            <w:r>
              <w:t xml:space="preserve"> </w:t>
            </w:r>
            <w:r>
              <w:t xml:space="preserve">Jaccard similarity of adjacent tag-pair sets.</w:t>
            </w:r>
          </w:p>
        </w:tc>
      </w:tr>
      <w:tr>
        <w:tc>
          <w:tcPr/>
          <w:p>
            <w:pPr>
              <w:pStyle w:val="Compact"/>
            </w:pPr>
            <w:r>
              <w:rPr>
                <w:b/>
                <w:bCs/>
              </w:rPr>
              <w:t xml:space="preserve">Breakpoint / junction count.</w:t>
            </w:r>
            <w:r>
              <w:t xml:space="preserve"> </w:t>
            </w:r>
            <w:r>
              <w:t xml:space="preserve">Adjacent tag pairs present in one genome but</w:t>
            </w:r>
            <w:r>
              <w:t xml:space="preserve"> </w:t>
            </w:r>
            <w:r>
              <w:t xml:space="preserve">not the other. This is a transition count and inherits a fragmentation-dependent</w:t>
            </w:r>
            <w:r>
              <w:t xml:space="preserve"> </w:t>
            </w:r>
            <w:r>
              <w:t xml:space="preserve">term (Supplementary Note 1); Syn2b avoids the dominant term by never forming</w:t>
            </w:r>
            <w:r>
              <w:t xml:space="preserve"> </w:t>
            </w:r>
            <w:r>
              <w:t xml:space="preserve">adjacencies across contig boundaries, so contig starts cannot register as</w:t>
            </w:r>
            <w:r>
              <w:t xml:space="preserve"> </w:t>
            </w:r>
            <w:r>
              <w:t xml:space="preserve">junctions.</w:t>
            </w:r>
          </w:p>
        </w:tc>
      </w:tr>
      <w:tr>
        <w:tc>
          <w:tcPr/>
          <w:p>
            <w:pPr>
              <w:pStyle w:val="Compact"/>
            </w:pPr>
            <w:r>
              <w:rPr>
                <w:b/>
                <w:bCs/>
              </w:rPr>
              <w:t xml:space="preserve">SCJ distance.</w:t>
            </w:r>
            <w:r>
              <w:t xml:space="preserve"> </w:t>
            </w:r>
            <w:r>
              <w:t xml:space="preserve">Single-cut-or-join distance between the two genomes’ tag</w:t>
            </w:r>
            <w:r>
              <w:t xml:space="preserve"> </w:t>
            </w:r>
            <w:r>
              <w:t xml:space="preserve">adjacency orders: the minimum number of adjacency cuts and joins that</w:t>
            </w:r>
            <w:r>
              <w:t xml:space="preserve"> </w:t>
            </w:r>
            <w:r>
              <w:t xml:space="preserve">transforms one tag order into the other.</w:t>
            </w:r>
          </w:p>
        </w:tc>
      </w:tr>
      <w:tr>
        <w:tc>
          <w:tcPr/>
          <w:p>
            <w:pPr>
              <w:pStyle w:val="Compact"/>
            </w:pPr>
            <w:r>
              <w:rPr>
                <w:b/>
                <w:bCs/>
              </w:rPr>
              <w:t xml:space="preserve">Inverted landmark fraction (length-weighted inverted fraction).</w:t>
            </w:r>
            <w:r>
              <w:t xml:space="preserve"> </w:t>
            </w:r>
            <w:r>
              <w:t xml:space="preserve">For</w:t>
            </w:r>
            <w:r>
              <w:t xml:space="preserve"> </w:t>
            </w:r>
            <w:r>
              <w:t xml:space="preserve">shared, orientation-informative tags, the fraction whose stored strand differs</w:t>
            </w:r>
            <w:r>
              <w:t xml:space="preserve"> </w:t>
            </w:r>
            <w:r>
              <w:t xml:space="preserve">from the reference, a landmark-count fraction, not a base-pair-weighted one.</w:t>
            </w:r>
            <w:r>
              <w:t xml:space="preserve"> </w:t>
            </w:r>
            <w:r>
              <w:t xml:space="preserve">Because Type IIB sites are approximately uniformly distributed, the landmark</w:t>
            </w:r>
            <w:r>
              <w:t xml:space="preserve"> </w:t>
            </w:r>
            <w:r>
              <w:t xml:space="preserve">fraction estimates the length-weighted inverted fraction; the residual</w:t>
            </w:r>
            <w:r>
              <w:t xml:space="preserve"> </w:t>
            </w:r>
            <w:r>
              <w:t xml:space="preserve">difference between the two is absorbed by the overdispersion coefficient of</w:t>
            </w:r>
            <w:r>
              <w:t xml:space="preserve"> </w:t>
            </w:r>
            <w:r>
              <w:t xml:space="preserve">the error model (Supplementary Note 2). Reported as majority-frame</w:t>
            </w:r>
            <w:r>
              <w:t xml:space="preserve"> </w:t>
            </w:r>
            <w:r>
              <w:t xml:space="preserve">(</w:t>
            </w:r>
            <w:r>
              <w:rPr>
                <w:rStyle w:val="VerbatimChar"/>
              </w:rPr>
              <w:t xml:space="preserve">inverted_fraction</w:t>
            </w:r>
            <w:r>
              <w:t xml:space="preserve">) and fixed-reference (</w:t>
            </w:r>
            <w:r>
              <w:rPr>
                <w:rStyle w:val="VerbatimChar"/>
              </w:rPr>
              <w:t xml:space="preserve">raw_inverted_fraction</w:t>
            </w:r>
            <w:r>
              <w:t xml:space="preserve">).</w:t>
            </w:r>
          </w:p>
        </w:tc>
      </w:tr>
      <w:tr>
        <w:tc>
          <w:tcPr/>
          <w:p>
            <w:pPr>
              <w:pStyle w:val="Compact"/>
            </w:pPr>
            <w:r>
              <w:rPr>
                <w:b/>
                <w:bCs/>
              </w:rPr>
              <w:t xml:space="preserve">Observable fraction.</w:t>
            </w:r>
            <w:r>
              <w:t xml:space="preserve"> </w:t>
            </w:r>
            <w:r>
              <w:t xml:space="preserve">The fraction of reference landmark adjacencies</w:t>
            </w:r>
            <w:r>
              <w:t xml:space="preserve"> </w:t>
            </w:r>
            <w:r>
              <w:t xml:space="preserve">observable in both genomes; adjacencies falling on fragment (contig)</w:t>
            </w:r>
            <w:r>
              <w:t xml:space="preserve"> </w:t>
            </w:r>
            <w:r>
              <w:t xml:space="preserve">boundaries are unobservable rather than absent (Supplementary Note 1).</w:t>
            </w:r>
          </w:p>
        </w:tc>
      </w:tr>
      <w:tr>
        <w:tc>
          <w:tcPr/>
          <w:p>
            <w:pPr>
              <w:pStyle w:val="Compact"/>
            </w:pPr>
            <w:r>
              <w:rPr>
                <w:b/>
                <w:bCs/>
              </w:rPr>
              <w:t xml:space="preserve">Synteny blocks; Kendall tau.</w:t>
            </w:r>
            <w:r>
              <w:t xml:space="preserve"> </w:t>
            </w:r>
            <w:r>
              <w:t xml:space="preserve">Contiguous runs of conserved tag adjacency,</w:t>
            </w:r>
            <w:r>
              <w:t xml:space="preserve"> </w:t>
            </w:r>
            <w:r>
              <w:t xml:space="preserve">and the rank correlation of shared-tag positions, respectively. Because any</w:t>
            </w:r>
            <w:r>
              <w:t xml:space="preserve"> </w:t>
            </w:r>
            <w:r>
              <w:t xml:space="preserve">chaining scheme starts a new block at every contig boundary, block counts are</w:t>
            </w:r>
            <w:r>
              <w:t xml:space="preserve"> </w:t>
            </w:r>
            <w:r>
              <w:t xml:space="preserve">dominated by assembly structure and are reported as assembly-quality rather</w:t>
            </w:r>
            <w:r>
              <w:t xml:space="preserve"> </w:t>
            </w:r>
            <w:r>
              <w:t xml:space="preserve">than rearrangement statistics.</w:t>
            </w:r>
          </w:p>
        </w:tc>
      </w:tr>
      <w:tr>
        <w:tc>
          <w:tcPr/>
          <w:p>
            <w:pPr>
              <w:pStyle w:val="Compact"/>
            </w:pPr>
            <w:r>
              <w:t xml:space="preserve">### GTDB-R207 effective within-species census</w:t>
            </w:r>
          </w:p>
        </w:tc>
      </w:tr>
      <w:tr>
        <w:tc>
          <w:tcPr/>
          <w:p>
            <w:pPr>
              <w:pStyle w:val="Compact"/>
            </w:pPr>
            <w:r>
              <w:t xml:space="preserve">GTDB-R207 species clusters with multiple genomes were decomposed into 500-genome block pairs. Of 274,374 planned genomes, 261,737 genomes in 21,973 clusters produced non-empty digestion TGTs. Structural tasks covered 653,584,719 effective unique pairs; 646,012,820 pairs remained after mapping legacy contig identifiers to accessions, canonicalizing unordered genome pairs, and global external-sort deduplication. Per-cluster row counts and SV-positive fractions were computed streamingly. One cluster (</w:t>
            </w:r>
            <w:r>
              <w:rPr>
                <w:i/>
                <w:iCs/>
              </w:rPr>
              <w:t xml:space="preserve">E. coli</w:t>
            </w:r>
            <w:r>
              <w:t xml:space="preserve">) had a 7.57M-pair shortfall relative to its effective expectation and was retained as an unresolved QC exception. The effective summary is stored in</w:t>
            </w:r>
            <w:r>
              <w:t xml:space="preserve"> </w:t>
            </w:r>
            <w:r>
              <w:rPr>
                <w:rStyle w:val="VerbatimChar"/>
              </w:rPr>
              <w:t xml:space="preserve">results/census/gtdb/effective/</w:t>
            </w:r>
            <w:r>
              <w:t xml:space="preserve">.</w:t>
            </w:r>
          </w:p>
        </w:tc>
      </w:tr>
      <w:tr>
        <w:tc>
          <w:tcPr/>
          <w:p>
            <w:pPr>
              <w:pStyle w:val="Compact"/>
            </w:pPr>
            <w:r>
              <w:t xml:space="preserve">### HROM within-species census</w:t>
            </w:r>
          </w:p>
        </w:tc>
      </w:tr>
      <w:tr>
        <w:tc>
          <w:tcPr/>
          <w:p>
            <w:pPr>
              <w:pStyle w:val="Compact"/>
            </w:pPr>
            <w:r>
              <w:t xml:space="preserve">HROM conspecific genomes were obtained from the Human Reference Oral Microbiome</w:t>
            </w:r>
            <w:r>
              <w:t xml:space="preserve"> </w:t>
            </w:r>
            <w:r>
              <w:t xml:space="preserve">database. All 142,277 genomes in 2,241 multi-genome clusters were retained and</w:t>
            </w:r>
            <w:r>
              <w:t xml:space="preserve"> </w:t>
            </w:r>
            <w:r>
              <w:t xml:space="preserve">compared with the BcgI+AlfI+AloI+FalI production panel. TGTs</w:t>
            </w:r>
            <w:r>
              <w:t xml:space="preserve"> </w:t>
            </w:r>
            <w:r>
              <w:t xml:space="preserve">were keyed by filename genome accession because HROM FASTA headers are contig</w:t>
            </w:r>
            <w:r>
              <w:t xml:space="preserve"> </w:t>
            </w:r>
            <w:r>
              <w:t xml:space="preserve">identifiers. Species clusters were decomposed into 250-genome block pairs, and</w:t>
            </w:r>
            <w:r>
              <w:t xml:space="preserve"> </w:t>
            </w:r>
            <w:r>
              <w:t xml:space="preserve">all 62,872,901 unordered pairs were evaluated with Syn2b and skani 0.3.2. The</w:t>
            </w:r>
            <w:r>
              <w:t xml:space="preserve"> </w:t>
            </w:r>
            <w:r>
              <w:t xml:space="preserve">merge step canonicalized unordered genome pairs and suppressed 10,644,750</w:t>
            </w:r>
            <w:r>
              <w:t xml:space="preserve"> </w:t>
            </w:r>
            <w:r>
              <w:t xml:space="preserve">within-block duplicates introduced by the first block-pair implementation. The</w:t>
            </w:r>
            <w:r>
              <w:t xml:space="preserve"> </w:t>
            </w:r>
            <w:r>
              <w:t xml:space="preserve">final table contained exactly the expected cluster-level sum of C(n,2) rows, and</w:t>
            </w:r>
            <w:r>
              <w:t xml:space="preserve"> </w:t>
            </w:r>
            <w:r>
              <w:t xml:space="preserve">every structural row received a skani ANI value. Per-cluster summaries, ANI-bin</w:t>
            </w:r>
            <w:r>
              <w:t xml:space="preserve"> </w:t>
            </w:r>
            <w:r>
              <w:t xml:space="preserve">summaries, and QC reports are stored in</w:t>
            </w:r>
            <w:r>
              <w:t xml:space="preserve"> </w:t>
            </w:r>
            <w:r>
              <w:rPr>
                <w:rStyle w:val="VerbatimChar"/>
              </w:rPr>
              <w:t xml:space="preserve">results/census/hrom/</w:t>
            </w:r>
            <w:r>
              <w:t xml:space="preserve">.</w:t>
            </w:r>
          </w:p>
        </w:tc>
      </w:tr>
      <w:tr>
        <w:tc>
          <w:tcPr/>
          <w:p>
            <w:pPr>
              <w:pStyle w:val="Compact"/>
            </w:pPr>
            <w:r>
              <w:t xml:space="preserve">### GTDB-R207 validation</w:t>
            </w:r>
          </w:p>
        </w:tc>
      </w:tr>
      <w:tr>
        <w:tc>
          <w:tcPr/>
          <w:p>
            <w:pPr>
              <w:pStyle w:val="Compact"/>
            </w:pPr>
            <w:r>
              <w:t xml:space="preserve">Pairs were drawn from the GTDB-R207 representative genome set. A total of</w:t>
            </w:r>
            <w:r>
              <w:t xml:space="preserve"> </w:t>
            </w:r>
            <w:r>
              <w:t xml:space="preserve">43,334 pairs were designated as a held-out validation set independent of the</w:t>
            </w:r>
            <w:r>
              <w:t xml:space="preserve"> </w:t>
            </w:r>
            <w:r>
              <w:t xml:space="preserve">training data used for the companion Syn2bANI tool; 43,312 of these pairs had</w:t>
            </w:r>
            <w:r>
              <w:t xml:space="preserve"> </w:t>
            </w:r>
            <w:r>
              <w:t xml:space="preserve">complete Syn2b and dnadiff structural metrics and were used for the broad-band</w:t>
            </w:r>
            <w:r>
              <w:t xml:space="preserve"> </w:t>
            </w:r>
            <w:r>
              <w:t xml:space="preserve">correlation analyses (per-pair metrics in Supplementary Table 1). To cover the</w:t>
            </w:r>
            <w:r>
              <w:t xml:space="preserve"> </w:t>
            </w:r>
            <w:r>
              <w:t xml:space="preserve">strain-level regime, additional candidate pairs were sampled from GTDB-R207</w:t>
            </w:r>
            <w:r>
              <w:t xml:space="preserve"> </w:t>
            </w:r>
            <w:r>
              <w:t xml:space="preserve">genomes enriched for close relatives (candidate strata of the companion</w:t>
            </w:r>
            <w:r>
              <w:t xml:space="preserve"> </w:t>
            </w:r>
            <w:r>
              <w:t xml:space="preserve">Syn2bANI benchmark, initially ranked by predicted ANI) and retained only if</w:t>
            </w:r>
            <w:r>
              <w:t xml:space="preserve"> </w:t>
            </w:r>
            <w:r>
              <w:t xml:space="preserve">their alignment-based ANIm was ≥ 95%. This ANIm-verified sample contributed</w:t>
            </w:r>
            <w:r>
              <w:t xml:space="preserve"> </w:t>
            </w:r>
            <w:r>
              <w:t xml:space="preserve">4,436 pairs; 3,826 unique pairs remained after deduplication for the correlation analyses at ≥ 97% ANIm. The non-redundant discordance survey retained 3,828 pairs at ≥ 97% ANIm because two of the additional deduplicated pairs had usable inversion-event records but were not represented in the correlation table. Candidates that failed ANIm verification were excluded from all headline results. For each pair, ANIm</w:t>
            </w:r>
            <w:r>
              <w:t xml:space="preserve"> </w:t>
            </w:r>
            <w:r>
              <w:t xml:space="preserve">was computed with minimap2²³ (</w:t>
            </w:r>
            <w:r>
              <w:rPr>
                <w:rStyle w:val="VerbatimChar"/>
              </w:rPr>
              <w:t xml:space="preserve">-cx asm20</w:t>
            </w:r>
            <w:r>
              <w:t xml:space="preserve">) and dnadiff (MUMmer 4.0²⁴) was run</w:t>
            </w:r>
            <w:r>
              <w:t xml:space="preserve"> </w:t>
            </w:r>
            <w:r>
              <w:t xml:space="preserve">with default</w:t>
            </w:r>
            <w:r>
              <w:t xml:space="preserve"> </w:t>
            </w:r>
            <w:r>
              <w:t xml:space="preserve">parameters; the</w:t>
            </w:r>
            <w:r>
              <w:t xml:space="preserve"> </w:t>
            </w:r>
            <w:r>
              <w:rPr>
                <w:rStyle w:val="VerbatimChar"/>
              </w:rPr>
              <w:t xml:space="preserve">.1coords</w:t>
            </w:r>
            <w:r>
              <w:t xml:space="preserve"> </w:t>
            </w:r>
            <w:r>
              <w:t xml:space="preserve">output was used to derive the inverted aligned</w:t>
            </w:r>
            <w:r>
              <w:t xml:space="preserve"> </w:t>
            </w:r>
            <w:r>
              <w:t xml:space="preserve">fraction, and the</w:t>
            </w:r>
            <w:r>
              <w:t xml:space="preserve"> </w:t>
            </w:r>
            <w:r>
              <w:rPr>
                <w:rStyle w:val="VerbatimChar"/>
              </w:rPr>
              <w:t xml:space="preserve">.report</w:t>
            </w:r>
            <w:r>
              <w:t xml:space="preserve"> </w:t>
            </w:r>
            <w:r>
              <w:t xml:space="preserve">output was used for breakpoint and structural-event</w:t>
            </w:r>
            <w:r>
              <w:t xml:space="preserve"> </w:t>
            </w:r>
            <w:r>
              <w:t xml:space="preserve">counts. Syn2b was run with the BcgI+AlfI+AloI+FalI multi-enzyme panel,</w:t>
            </w:r>
            <w:r>
              <w:t xml:space="preserve"> </w:t>
            </w:r>
            <w:r>
              <w:t xml:space="preserve">reporting both majority-frame and fixed-reference inverted fractions. Pearson</w:t>
            </w:r>
            <w:r>
              <w:t xml:space="preserve"> </w:t>
            </w:r>
            <w:r>
              <w:t xml:space="preserve">and Spearman correlations, linear regressions, and partial correlations</w:t>
            </w:r>
            <w:r>
              <w:t xml:space="preserve"> </w:t>
            </w:r>
            <w:r>
              <w:t xml:space="preserve">(controlling for contig count) were computed in Python with scipy and</w:t>
            </w:r>
            <w:r>
              <w:t xml:space="preserve"> </w:t>
            </w:r>
            <w:r>
              <w:t xml:space="preserve">statsmodels. Confidence intervals for Pearson correlations were obtained by</w:t>
            </w:r>
            <w:r>
              <w:t xml:space="preserve"> </w:t>
            </w:r>
            <w:r>
              <w:t xml:space="preserve">Fisher z-transformation.</w:t>
            </w:r>
          </w:p>
        </w:tc>
      </w:tr>
      <w:tr>
        <w:tc>
          <w:tcPr/>
          <w:p>
            <w:pPr>
              <w:pStyle w:val="Compact"/>
            </w:pPr>
            <w:r>
              <w:t xml:space="preserve">### skani ANI for cohort analysis</w:t>
            </w:r>
          </w:p>
        </w:tc>
      </w:tr>
      <w:tr>
        <w:tc>
          <w:tcPr/>
          <w:p>
            <w:pPr>
              <w:pStyle w:val="Compact"/>
            </w:pPr>
            <w:r>
              <w:t xml:space="preserve">skani¹⁹ v0.1.0</w:t>
            </w:r>
            <w:r>
              <w:t xml:space="preserve"> </w:t>
            </w:r>
            <w:r>
              <w:rPr>
                <w:rStyle w:val="VerbatimChar"/>
              </w:rPr>
              <w:t xml:space="preserve">dist</w:t>
            </w:r>
            <w:r>
              <w:t xml:space="preserve"> </w:t>
            </w:r>
            <w:r>
              <w:t xml:space="preserve">was run with default parameters on the four SynTracker</w:t>
            </w:r>
            <w:r>
              <w:t xml:space="preserve"> </w:t>
            </w:r>
            <w:r>
              <w:t xml:space="preserve">cohort assembly sets to obtain the ANI values used in Fig. 4. The full set</w:t>
            </w:r>
            <w:r>
              <w:t xml:space="preserve"> </w:t>
            </w:r>
            <w:r>
              <w:t xml:space="preserve">was re-run with skani v0.3.2 (unique-pair triangles,</w:t>
            </w:r>
            <w:r>
              <w:t xml:space="preserve"> </w:t>
            </w:r>
            <w:r>
              <w:rPr>
                <w:rStyle w:val="VerbatimChar"/>
              </w:rPr>
              <w:t xml:space="preserve">results/syntracker_validation/rerun_v032/</w:t>
            </w:r>
            <w:r>
              <w:t xml:space="preserve">): every value quoted in the text</w:t>
            </w:r>
            <w:r>
              <w:t xml:space="preserve"> </w:t>
            </w:r>
            <w:r>
              <w:t xml:space="preserve">reproduces exactly in the ≥94.6% ANI regime these cohorts occupy.</w:t>
            </w:r>
          </w:p>
        </w:tc>
      </w:tr>
      <w:tr>
        <w:tc>
          <w:tcPr/>
          <w:p>
            <w:pPr>
              <w:pStyle w:val="Compact"/>
            </w:pPr>
            <w:r>
              <w:t xml:space="preserve">### Known-biology complete-genome collections</w:t>
            </w:r>
          </w:p>
        </w:tc>
      </w:tr>
      <w:tr>
        <w:tc>
          <w:tcPr/>
          <w:p>
            <w:pPr>
              <w:pStyle w:val="Compact"/>
            </w:pPr>
            <w:r>
              <w:t xml:space="preserve">Complete-genome (assembly-level) sets for</w:t>
            </w:r>
            <w:r>
              <w:t xml:space="preserve"> </w:t>
            </w:r>
            <w:r>
              <w:rPr>
                <w:i/>
                <w:iCs/>
              </w:rPr>
              <w:t xml:space="preserve">S. flexneri</w:t>
            </w:r>
            <w:r>
              <w:t xml:space="preserve"> </w:t>
            </w:r>
            <w:r>
              <w:t xml:space="preserve">(n = 25),</w:t>
            </w:r>
            <w:r>
              <w:t xml:space="preserve"> </w:t>
            </w:r>
            <w:r>
              <w:rPr>
                <w:i/>
                <w:iCs/>
              </w:rPr>
              <w:t xml:space="preserve">S. sonnei</w:t>
            </w:r>
            <w:r>
              <w:t xml:space="preserve"> </w:t>
            </w:r>
            <w:r>
              <w:t xml:space="preserve">(n = 15),</w:t>
            </w:r>
            <w:r>
              <w:t xml:space="preserve"> </w:t>
            </w:r>
            <w:r>
              <w:rPr>
                <w:i/>
                <w:iCs/>
              </w:rPr>
              <w:t xml:space="preserve">S.</w:t>
            </w:r>
            <w:r>
              <w:t xml:space="preserve"> </w:t>
            </w:r>
            <w:r>
              <w:t xml:space="preserve">Typhimurium (n = 20),</w:t>
            </w:r>
            <w:r>
              <w:t xml:space="preserve"> </w:t>
            </w:r>
            <w:r>
              <w:rPr>
                <w:i/>
                <w:iCs/>
              </w:rPr>
              <w:t xml:space="preserve">E. coli</w:t>
            </w:r>
            <w:r>
              <w:t xml:space="preserve"> </w:t>
            </w:r>
            <w:r>
              <w:t xml:space="preserve">(n = 20) and</w:t>
            </w:r>
            <w:r>
              <w:t xml:space="preserve"> </w:t>
            </w:r>
            <w:r>
              <w:rPr>
                <w:i/>
                <w:iCs/>
              </w:rPr>
              <w:t xml:space="preserve">M. tuberculosis</w:t>
            </w:r>
            <w:r>
              <w:t xml:space="preserve"> </w:t>
            </w:r>
            <w:r>
              <w:t xml:space="preserve">(n = 20) were retrieved from NCBI Assembly with a complete-genome filter</w:t>
            </w:r>
            <w:r>
              <w:t xml:space="preserve"> </w:t>
            </w:r>
            <w:r>
              <w:t xml:space="preserve">(</w:t>
            </w:r>
            <w:r>
              <w:rPr>
                <w:rStyle w:val="VerbatimChar"/>
              </w:rPr>
              <w:t xml:space="preserve">scripts/fetch_vignette_genomes.py</w:t>
            </w:r>
            <w:r>
              <w:t xml:space="preserve">, September 2026). Assemblies sharing an</w:t>
            </w:r>
            <w:r>
              <w:t xml:space="preserve"> </w:t>
            </w:r>
            <w:r>
              <w:t xml:space="preserve">identical chromosome sequence identifier with another member of the set are</w:t>
            </w:r>
            <w:r>
              <w:t xml:space="preserve"> </w:t>
            </w:r>
            <w:r>
              <w:t xml:space="preserve">retained once. All within-collection pairs were compared with Syn2b</w:t>
            </w:r>
            <w:r>
              <w:t xml:space="preserve"> </w:t>
            </w:r>
            <w:r>
              <w:t xml:space="preserve">(BcgI+AlfI+AloI+FalI) and skani v0.1.0</w:t>
            </w:r>
            <w:r>
              <w:t xml:space="preserve"> </w:t>
            </w:r>
            <w:r>
              <w:rPr>
                <w:rStyle w:val="VerbatimChar"/>
              </w:rPr>
              <w:t xml:space="preserve">triangle</w:t>
            </w:r>
            <w:r>
              <w:t xml:space="preserve"> </w:t>
            </w:r>
            <w:r>
              <w:t xml:space="preserve">for ANI</w:t>
            </w:r>
            <w:r>
              <w:t xml:space="preserve"> </w:t>
            </w:r>
            <w:r>
              <w:t xml:space="preserve">(</w:t>
            </w:r>
            <w:r>
              <w:rPr>
                <w:rStyle w:val="VerbatimChar"/>
              </w:rPr>
              <w:t xml:space="preserve">scripts/analyze_known_biology.py</w:t>
            </w:r>
            <w:r>
              <w:t xml:space="preserve">; per-pair data in</w:t>
            </w:r>
            <w:r>
              <w:t xml:space="preserve"> </w:t>
            </w:r>
            <w:r>
              <w:rPr>
                <w:rStyle w:val="VerbatimChar"/>
              </w:rPr>
              <w:t xml:space="preserve">results/known_biology/vignette_pairs.tsv</w:t>
            </w:r>
            <w:r>
              <w:t xml:space="preserve">). The minimap2 reference timing</w:t>
            </w:r>
            <w:r>
              <w:t xml:space="preserve"> </w:t>
            </w:r>
            <w:r>
              <w:t xml:space="preserve">(</w:t>
            </w:r>
            <w:r>
              <w:rPr>
                <w:rStyle w:val="VerbatimChar"/>
              </w:rPr>
              <w:t xml:space="preserve">-cx asm5</w:t>
            </w:r>
            <w:r>
              <w:t xml:space="preserve">, one thread, MG1655 vs Sakai O157:H7) is archived in</w:t>
            </w:r>
            <w:r>
              <w:t xml:space="preserve"> </w:t>
            </w:r>
            <w:r>
              <w:rPr>
                <w:rStyle w:val="VerbatimChar"/>
              </w:rPr>
              <w:t xml:space="preserve">results/efficiency_v8/minimap2_timing.tsv</w:t>
            </w:r>
            <w:r>
              <w:t xml:space="preserve">.</w:t>
            </w:r>
          </w:p>
        </w:tc>
      </w:tr>
      <w:tr>
        <w:tc>
          <w:tcPr/>
          <w:p>
            <w:pPr>
              <w:pStyle w:val="Compact"/>
            </w:pPr>
            <w:r>
              <w:t xml:space="preserve">### Genome-wide ANI–rearrangement discordance analysis</w:t>
            </w:r>
          </w:p>
        </w:tc>
      </w:tr>
      <w:tr>
        <w:tc>
          <w:tcPr/>
          <w:p>
            <w:pPr>
              <w:pStyle w:val="Compact"/>
            </w:pPr>
            <w:r>
              <w:t xml:space="preserve">The held-out set and the ANIm-verified high-ANI sample were merged on</w:t>
            </w:r>
            <w:r>
              <w:t xml:space="preserve"> </w:t>
            </w:r>
            <w:r>
              <w:rPr>
                <w:rStyle w:val="VerbatimChar"/>
              </w:rPr>
              <w:t xml:space="preserve">pairid</w:t>
            </w:r>
            <w:r>
              <w:t xml:space="preserve"> </w:t>
            </w:r>
            <w:r>
              <w:t xml:space="preserve">(no overlap between the two sets). Per-pair ANIm, dnadiff inversion</w:t>
            </w:r>
            <w:r>
              <w:t xml:space="preserve"> </w:t>
            </w:r>
            <w:r>
              <w:t xml:space="preserve">counts (</w:t>
            </w:r>
            <w:r>
              <w:rPr>
                <w:rStyle w:val="VerbatimChar"/>
              </w:rPr>
              <w:t xml:space="preserve">max</w:t>
            </w:r>
            <w:r>
              <w:t xml:space="preserve"> </w:t>
            </w:r>
            <w:r>
              <w:t xml:space="preserve">of the reference-side and query-side</w:t>
            </w:r>
            <w:r>
              <w:t xml:space="preserve"> </w:t>
            </w:r>
            <w:r>
              <w:rPr>
                <w:rStyle w:val="VerbatimChar"/>
              </w:rPr>
              <w:t xml:space="preserve">dd_inversions</w:t>
            </w:r>
            <w:r>
              <w:t xml:space="preserve"> </w:t>
            </w:r>
            <w:r>
              <w:t xml:space="preserve">columns of</w:t>
            </w:r>
            <w:r>
              <w:t xml:space="preserve"> </w:t>
            </w:r>
            <w:r>
              <w:t xml:space="preserve">the dnadiff</w:t>
            </w:r>
            <w:r>
              <w:t xml:space="preserve"> </w:t>
            </w:r>
            <w:r>
              <w:rPr>
                <w:rStyle w:val="VerbatimChar"/>
              </w:rPr>
              <w:t xml:space="preserve">.report</w:t>
            </w:r>
            <w:r>
              <w:t xml:space="preserve"> </w:t>
            </w:r>
            <w:r>
              <w:t xml:space="preserve">output), dnadiff breakpoint counts, Syn2b junction</w:t>
            </w:r>
            <w:r>
              <w:t xml:space="preserve"> </w:t>
            </w:r>
            <w:r>
              <w:t xml:space="preserve">counts, and per-genome contig numbers (from GTDB-R207 metadata) were combined</w:t>
            </w:r>
            <w:r>
              <w:t xml:space="preserve"> </w:t>
            </w:r>
            <w:r>
              <w:t xml:space="preserve">with the analysis script</w:t>
            </w:r>
            <w:r>
              <w:t xml:space="preserve"> </w:t>
            </w:r>
            <w:r>
              <w:rPr>
                <w:rStyle w:val="VerbatimChar"/>
              </w:rPr>
              <w:t xml:space="preserve">scripts/analyze_ani_synteny_discordance.py</w:t>
            </w:r>
            <w:r>
              <w:t xml:space="preserve">, which</w:t>
            </w:r>
            <w:r>
              <w:t xml:space="preserve"> </w:t>
            </w:r>
            <w:r>
              <w:t xml:space="preserve">also produces Fig. 5 and all discordance summary statistics. A pair was</w:t>
            </w:r>
            <w:r>
              <w:t xml:space="preserve"> </w:t>
            </w:r>
            <w:r>
              <w:t xml:space="preserve">called discordant if ANIm ≥ 97% and it carried ≥2 dnadiff inversion events.</w:t>
            </w:r>
            <w:r>
              <w:t xml:space="preserve"> </w:t>
            </w:r>
            <w:r>
              <w:t xml:space="preserve">Phylum-level enrichment was computed against the concordant (ANIm ≥ 97%,</w:t>
            </w:r>
            <w:r>
              <w:t xml:space="preserve"> </w:t>
            </w:r>
            <w:r>
              <w:t xml:space="preserve">&lt;2 inversions) background. Syn2b flagging performance was quantified as the</w:t>
            </w:r>
            <w:r>
              <w:t xml:space="preserve"> </w:t>
            </w:r>
            <w:r>
              <w:t xml:space="preserve">ROC AUC of the Syn2b junction count for discriminating discordant from</w:t>
            </w:r>
            <w:r>
              <w:t xml:space="preserve"> </w:t>
            </w:r>
            <w:r>
              <w:t xml:space="preserve">concordant pairs; junction density (count divided by shared landmarks) was</w:t>
            </w:r>
            <w:r>
              <w:t xml:space="preserve"> </w:t>
            </w:r>
            <w:r>
              <w:t xml:space="preserve">evaluated as an alternative feature. Prevalence percentages are reported with</w:t>
            </w:r>
            <w:r>
              <w:t xml:space="preserve"> </w:t>
            </w:r>
            <w:r>
              <w:t xml:space="preserve">95% bootstrap confidence intervals (10,000 resamples over pairs).</w:t>
            </w:r>
            <w:r>
              <w:t xml:space="preserve"> </w:t>
            </w:r>
            <w:r>
              <w:t xml:space="preserve">Fragmentation dependence of breakpoint-style counts was</w:t>
            </w:r>
            <w:r>
              <w:t xml:space="preserve"> </w:t>
            </w:r>
            <w:r>
              <w:t xml:space="preserve">assessed by Spearman correlation with the per-pair maximum contig count and by</w:t>
            </w:r>
            <w:r>
              <w:t xml:space="preserve"> </w:t>
            </w:r>
            <w:r>
              <w:t xml:space="preserve">partial correlation controlling for ANIm; the contig-count distributions of</w:t>
            </w:r>
            <w:r>
              <w:t xml:space="preserve"> </w:t>
            </w:r>
            <w:r>
              <w:t xml:space="preserve">discordant versus concordant pairs were compared with a Mann–Whitney U test.</w:t>
            </w:r>
          </w:p>
        </w:tc>
      </w:tr>
    </w:tbl>
    <w:bookmarkEnd w:id="21"/>
    <w:bookmarkStart w:id="22" w:name="references"/>
    <w:p>
      <w:pPr>
        <w:pStyle w:val="Heading2"/>
      </w:pPr>
      <w:r>
        <w:t xml:space="preserve">References</w:t>
      </w:r>
    </w:p>
    <w:p>
      <w:pPr>
        <w:pStyle w:val="Compact"/>
        <w:numPr>
          <w:ilvl w:val="0"/>
          <w:numId w:val="1001"/>
        </w:numPr>
      </w:pPr>
      <w:r>
        <w:t xml:space="preserve">Zhao, S. et al. Adaptive evolution within the gut microbiome of individual people.</w:t>
      </w:r>
      <w:r>
        <w:t xml:space="preserve"> </w:t>
      </w:r>
      <w:r>
        <w:rPr>
          <w:i/>
          <w:iCs/>
        </w:rPr>
        <w:t xml:space="preserve">Cell Host Microbe</w:t>
      </w:r>
      <w:r>
        <w:t xml:space="preserve"> </w:t>
      </w:r>
      <w:r>
        <w:rPr>
          <w:b/>
          <w:bCs/>
        </w:rPr>
        <w:t xml:space="preserve">31</w:t>
      </w:r>
      <w:r>
        <w:t xml:space="preserve">, 1594–1607 (2023).</w:t>
      </w:r>
    </w:p>
    <w:p>
      <w:pPr>
        <w:pStyle w:val="Compact"/>
        <w:numPr>
          <w:ilvl w:val="0"/>
          <w:numId w:val="1001"/>
        </w:numPr>
      </w:pPr>
      <w:r>
        <w:t xml:space="preserve">Suerbaum, S. et al. Free recombination within</w:t>
      </w:r>
      <w:r>
        <w:t xml:space="preserve"> </w:t>
      </w:r>
      <w:r>
        <w:rPr>
          <w:i/>
          <w:iCs/>
        </w:rPr>
        <w:t xml:space="preserve">Helicobacter pylori</w:t>
      </w:r>
      <w:r>
        <w:t xml:space="preserve">.</w:t>
      </w:r>
      <w:r>
        <w:t xml:space="preserve"> </w:t>
      </w:r>
      <w:r>
        <w:rPr>
          <w:i/>
          <w:iCs/>
        </w:rPr>
        <w:t xml:space="preserve">Proc. Natl. Acad. Sci. USA</w:t>
      </w:r>
      <w:r>
        <w:t xml:space="preserve"> </w:t>
      </w:r>
      <w:r>
        <w:rPr>
          <w:b/>
          <w:bCs/>
        </w:rPr>
        <w:t xml:space="preserve">95</w:t>
      </w:r>
      <w:r>
        <w:t xml:space="preserve">, 12619–12624 (1998).</w:t>
      </w:r>
    </w:p>
    <w:p>
      <w:pPr>
        <w:pStyle w:val="Compact"/>
        <w:numPr>
          <w:ilvl w:val="0"/>
          <w:numId w:val="1001"/>
        </w:numPr>
      </w:pPr>
      <w:r>
        <w:t xml:space="preserve">Raffaele, S. &amp; Kamoun, S. Genome evolution in filamentous plant pathogens: why bigger can be worse.</w:t>
      </w:r>
      <w:r>
        <w:t xml:space="preserve"> </w:t>
      </w:r>
      <w:r>
        <w:rPr>
          <w:i/>
          <w:iCs/>
        </w:rPr>
        <w:t xml:space="preserve">Annu. Rev. Microbiol.</w:t>
      </w:r>
      <w:r>
        <w:t xml:space="preserve"> </w:t>
      </w:r>
      <w:r>
        <w:rPr>
          <w:b/>
          <w:bCs/>
        </w:rPr>
        <w:t xml:space="preserve">66</w:t>
      </w:r>
      <w:r>
        <w:t xml:space="preserve">, 417–430 (2012).</w:t>
      </w:r>
    </w:p>
    <w:p>
      <w:pPr>
        <w:pStyle w:val="Compact"/>
        <w:numPr>
          <w:ilvl w:val="0"/>
          <w:numId w:val="1001"/>
        </w:numPr>
      </w:pPr>
      <w:r>
        <w:t xml:space="preserve">Olm, M. R. et al. inStrain profiles population microdynamics from metagenomic data and sensitively identifies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Nayfach, S., Rodriguez-Mueller, B., Garud, N. &amp; Pollard, K. S. An integrated metagenomics pipeline for strain profiling reveals novel patterns of bacterial transmission and biogeography.</w:t>
      </w:r>
      <w:r>
        <w:t xml:space="preserve"> </w:t>
      </w:r>
      <w:r>
        <w:rPr>
          <w:i/>
          <w:iCs/>
        </w:rPr>
        <w:t xml:space="preserve">Genome Res.</w:t>
      </w:r>
      <w:r>
        <w:t xml:space="preserve"> </w:t>
      </w:r>
      <w:r>
        <w:rPr>
          <w:b/>
          <w:bCs/>
        </w:rPr>
        <w:t xml:space="preserve">26</w:t>
      </w:r>
      <w:r>
        <w:t xml:space="preserve">, 1612–1625 (2016).</w:t>
      </w:r>
    </w:p>
    <w:p>
      <w:pPr>
        <w:pStyle w:val="Compact"/>
        <w:numPr>
          <w:ilvl w:val="0"/>
          <w:numId w:val="1001"/>
        </w:numPr>
      </w:pPr>
      <w:r>
        <w:t xml:space="preserve">Beghini, F. et al. Integrating taxonomic, functional, and strain-level profiling of diverse microbial communities with bioBakery 3.</w:t>
      </w:r>
      <w:r>
        <w:t xml:space="preserve"> </w:t>
      </w:r>
      <w:r>
        <w:rPr>
          <w:i/>
          <w:iCs/>
        </w:rPr>
        <w:t xml:space="preserve">eLife</w:t>
      </w:r>
      <w:r>
        <w:t xml:space="preserve"> </w:t>
      </w:r>
      <w:r>
        <w:rPr>
          <w:b/>
          <w:bCs/>
        </w:rPr>
        <w:t xml:space="preserve">10</w:t>
      </w:r>
      <w:r>
        <w:t xml:space="preserve">, e65088 (2021).</w:t>
      </w:r>
    </w:p>
    <w:p>
      <w:pPr>
        <w:pStyle w:val="Compact"/>
        <w:numPr>
          <w:ilvl w:val="0"/>
          <w:numId w:val="1001"/>
        </w:numPr>
      </w:pPr>
      <w:r>
        <w:t xml:space="preserve">Anyansi, C. et al. Computational methods for strain-level microbial detection in colony and metagenome sequencing data.</w:t>
      </w:r>
      <w:r>
        <w:t xml:space="preserve"> </w:t>
      </w:r>
      <w:r>
        <w:rPr>
          <w:i/>
          <w:iCs/>
        </w:rPr>
        <w:t xml:space="preserve">Front. Microbiol.</w:t>
      </w:r>
      <w:r>
        <w:t xml:space="preserve"> </w:t>
      </w:r>
      <w:r>
        <w:rPr>
          <w:b/>
          <w:bCs/>
        </w:rPr>
        <w:t xml:space="preserve">11</w:t>
      </w:r>
      <w:r>
        <w:t xml:space="preserve">, 1925 (2020).</w:t>
      </w:r>
    </w:p>
    <w:p>
      <w:pPr>
        <w:pStyle w:val="Compact"/>
        <w:numPr>
          <w:ilvl w:val="0"/>
          <w:numId w:val="1001"/>
        </w:numPr>
      </w:pPr>
      <w:r>
        <w:t xml:space="preserve">Croucher, N. J. et al. Population genomics of post-vaccine changes in pneumococcal epidemiology.</w:t>
      </w:r>
      <w:r>
        <w:t xml:space="preserve"> </w:t>
      </w:r>
      <w:r>
        <w:rPr>
          <w:i/>
          <w:iCs/>
        </w:rPr>
        <w:t xml:space="preserve">Nat. Genet.</w:t>
      </w:r>
      <w:r>
        <w:t xml:space="preserve"> </w:t>
      </w:r>
      <w:r>
        <w:rPr>
          <w:b/>
          <w:bCs/>
        </w:rPr>
        <w:t xml:space="preserve">45</w:t>
      </w:r>
      <w:r>
        <w:t xml:space="preserve">, 656–663 (2013).</w:t>
      </w:r>
    </w:p>
    <w:p>
      <w:pPr>
        <w:pStyle w:val="Compact"/>
        <w:numPr>
          <w:ilvl w:val="0"/>
          <w:numId w:val="1001"/>
        </w:numPr>
      </w:pPr>
      <w:r>
        <w:t xml:space="preserve">Joseph, B. et al. Virulence evolution of the human pathogen</w:t>
      </w:r>
      <w:r>
        <w:t xml:space="preserve"> </w:t>
      </w:r>
      <w:r>
        <w:rPr>
          <w:i/>
          <w:iCs/>
        </w:rPr>
        <w:t xml:space="preserve">Neisseria meningitidis</w:t>
      </w:r>
      <w:r>
        <w:t xml:space="preserve"> </w:t>
      </w:r>
      <w:r>
        <w:t xml:space="preserve">by recombination in the core and accessory genome.</w:t>
      </w:r>
      <w:r>
        <w:t xml:space="preserve"> </w:t>
      </w:r>
      <w:r>
        <w:rPr>
          <w:i/>
          <w:iCs/>
        </w:rPr>
        <w:t xml:space="preserve">PLoS One</w:t>
      </w:r>
      <w:r>
        <w:t xml:space="preserve"> </w:t>
      </w:r>
      <w:r>
        <w:rPr>
          <w:b/>
          <w:bCs/>
        </w:rPr>
        <w:t xml:space="preserve">6</w:t>
      </w:r>
      <w:r>
        <w:t xml:space="preserve">, e18441 (2011).</w:t>
      </w:r>
    </w:p>
    <w:p>
      <w:pPr>
        <w:pStyle w:val="Compact"/>
        <w:numPr>
          <w:ilvl w:val="0"/>
          <w:numId w:val="1001"/>
        </w:numPr>
      </w:pPr>
      <w:r>
        <w:t xml:space="preserve">van der Woude, M. W. Phase and antigenic variation in bacteria.</w:t>
      </w:r>
      <w:r>
        <w:t xml:space="preserve"> </w:t>
      </w:r>
      <w:r>
        <w:rPr>
          <w:i/>
          <w:iCs/>
        </w:rPr>
        <w:t xml:space="preserve">Clin. Microbiol. Rev.</w:t>
      </w:r>
      <w:r>
        <w:t xml:space="preserve"> </w:t>
      </w:r>
      <w:r>
        <w:rPr>
          <w:b/>
          <w:bCs/>
        </w:rPr>
        <w:t xml:space="preserve">17</w:t>
      </w:r>
      <w:r>
        <w:t xml:space="preserve">, 581–611 (2004).</w:t>
      </w:r>
    </w:p>
    <w:p>
      <w:pPr>
        <w:pStyle w:val="Compact"/>
        <w:numPr>
          <w:ilvl w:val="0"/>
          <w:numId w:val="1001"/>
        </w:numPr>
      </w:pPr>
      <w:r>
        <w:t xml:space="preserve">Tan, A., Atack, J. M., Jennings, M. P. &amp; Seib, K. L. The capricious nature of bacterial pathogens: phasevarions and vaccine development.</w:t>
      </w:r>
      <w:r>
        <w:t xml:space="preserve"> </w:t>
      </w:r>
      <w:r>
        <w:rPr>
          <w:i/>
          <w:iCs/>
        </w:rPr>
        <w:t xml:space="preserve">Front. Immunol.</w:t>
      </w:r>
      <w:r>
        <w:t xml:space="preserve"> </w:t>
      </w:r>
      <w:r>
        <w:rPr>
          <w:b/>
          <w:bCs/>
        </w:rPr>
        <w:t xml:space="preserve">7</w:t>
      </w:r>
      <w:r>
        <w:t xml:space="preserve">, 586 (2016).</w:t>
      </w:r>
    </w:p>
    <w:p>
      <w:pPr>
        <w:pStyle w:val="Compact"/>
        <w:numPr>
          <w:ilvl w:val="0"/>
          <w:numId w:val="1001"/>
        </w:numPr>
      </w:pPr>
      <w:r>
        <w:t xml:space="preserve">Moxon, R., Bayliss, C. &amp; Hood, D. Bacterial contingency loci: the role of simple sequence DNA repeats in bacterial adaptation.</w:t>
      </w:r>
      <w:r>
        <w:t xml:space="preserve"> </w:t>
      </w:r>
      <w:r>
        <w:rPr>
          <w:i/>
          <w:iCs/>
        </w:rPr>
        <w:t xml:space="preserve">Annu. Rev. Genet.</w:t>
      </w:r>
      <w:r>
        <w:t xml:space="preserve"> </w:t>
      </w:r>
      <w:r>
        <w:rPr>
          <w:b/>
          <w:bCs/>
        </w:rPr>
        <w:t xml:space="preserve">40</w:t>
      </w:r>
      <w:r>
        <w:t xml:space="preserve">, 307–333 (2006).</w:t>
      </w:r>
    </w:p>
    <w:p>
      <w:pPr>
        <w:pStyle w:val="Compact"/>
        <w:numPr>
          <w:ilvl w:val="0"/>
          <w:numId w:val="1001"/>
        </w:numPr>
      </w:pPr>
      <w:r>
        <w:t xml:space="preserve">Mehta, H. H., Barrozo, E. R., Le, N. &amp; Darwin, A. J. The essential role of hypermutation in rapid adaptation to antibiotic stress.</w:t>
      </w:r>
      <w:r>
        <w:t xml:space="preserve"> </w:t>
      </w:r>
      <w:r>
        <w:rPr>
          <w:i/>
          <w:iCs/>
        </w:rPr>
        <w:t xml:space="preserve">mBio</w:t>
      </w:r>
      <w:r>
        <w:t xml:space="preserve"> </w:t>
      </w:r>
      <w:r>
        <w:rPr>
          <w:b/>
          <w:bCs/>
        </w:rPr>
        <w:t xml:space="preserve">10</w:t>
      </w:r>
      <w:r>
        <w:t xml:space="preserve">, e02658-18 (2019).</w:t>
      </w:r>
    </w:p>
    <w:p>
      <w:pPr>
        <w:pStyle w:val="Compact"/>
        <w:numPr>
          <w:ilvl w:val="0"/>
          <w:numId w:val="1001"/>
        </w:numPr>
      </w:pPr>
      <w:r>
        <w:t xml:space="preserve">Didelot, X. &amp; Wilson, D. J. ClonalFrameML: efficient inference of recombination in whole bacterial genomes.</w:t>
      </w:r>
      <w:r>
        <w:t xml:space="preserve"> </w:t>
      </w:r>
      <w:r>
        <w:rPr>
          <w:i/>
          <w:iCs/>
        </w:rPr>
        <w:t xml:space="preserve">PLoS Comput. Biol.</w:t>
      </w:r>
      <w:r>
        <w:t xml:space="preserve"> </w:t>
      </w:r>
      <w:r>
        <w:rPr>
          <w:b/>
          <w:bCs/>
        </w:rPr>
        <w:t xml:space="preserve">11</w:t>
      </w:r>
      <w:r>
        <w:t xml:space="preserve">, e1004041 (2015).</w:t>
      </w:r>
    </w:p>
    <w:p>
      <w:pPr>
        <w:pStyle w:val="Compact"/>
        <w:numPr>
          <w:ilvl w:val="0"/>
          <w:numId w:val="1001"/>
        </w:numPr>
      </w:pPr>
      <w:r>
        <w:t xml:space="preserve">Didelot, X., Walker, A. S., Peto, T. E., Crook, D. W. &amp; Wilson, D. J. Within-host evolution of bacterial pathogens.</w:t>
      </w:r>
      <w:r>
        <w:t xml:space="preserve"> </w:t>
      </w:r>
      <w:r>
        <w:rPr>
          <w:i/>
          <w:iCs/>
        </w:rPr>
        <w:t xml:space="preserve">Nat. Rev. Microbiol.</w:t>
      </w:r>
      <w:r>
        <w:t xml:space="preserve"> </w:t>
      </w:r>
      <w:r>
        <w:rPr>
          <w:b/>
          <w:bCs/>
        </w:rPr>
        <w:t xml:space="preserve">14</w:t>
      </w:r>
      <w:r>
        <w:t xml:space="preserve">, 150–162 (2016).</w:t>
      </w:r>
    </w:p>
    <w:p>
      <w:pPr>
        <w:pStyle w:val="Compact"/>
        <w:numPr>
          <w:ilvl w:val="0"/>
          <w:numId w:val="1001"/>
        </w:numPr>
      </w:pPr>
      <w:r>
        <w:t xml:space="preserve">Enav, H. et al. SynTracker: a tool for tracking microbial strains across metagenomic samples.</w:t>
      </w:r>
      <w:r>
        <w:t xml:space="preserve"> </w:t>
      </w:r>
      <w:r>
        <w:rPr>
          <w:i/>
          <w:iCs/>
        </w:rPr>
        <w:t xml:space="preserve">Nat. Biotechnol.</w:t>
      </w:r>
      <w:r>
        <w:t xml:space="preserve"> </w:t>
      </w:r>
      <w:r>
        <w:rPr>
          <w:b/>
          <w:bCs/>
        </w:rPr>
        <w:t xml:space="preserve">42</w:t>
      </w:r>
      <w:r>
        <w:t xml:space="preserve">, 1502–1512 (2024).</w:t>
      </w:r>
    </w:p>
    <w:p>
      <w:pPr>
        <w:pStyle w:val="Compact"/>
        <w:numPr>
          <w:ilvl w:val="0"/>
          <w:numId w:val="1001"/>
        </w:numPr>
      </w:pPr>
      <w:r>
        <w:t xml:space="preserve">Altschul, S. F. et al. Gapped BLAST and PSI-BLAST: a new generation of protein database search programs.</w:t>
      </w:r>
      <w:r>
        <w:t xml:space="preserve"> </w:t>
      </w:r>
      <w:r>
        <w:rPr>
          <w:i/>
          <w:iCs/>
        </w:rPr>
        <w:t xml:space="preserve">Nucleic Acids Res.</w:t>
      </w:r>
      <w:r>
        <w:t xml:space="preserve"> </w:t>
      </w:r>
      <w:r>
        <w:rPr>
          <w:b/>
          <w:bCs/>
        </w:rPr>
        <w:t xml:space="preserve">25</w:t>
      </w:r>
      <w:r>
        <w:t xml:space="preserve">, 3389–3402 (1997).</w:t>
      </w:r>
    </w:p>
    <w:p>
      <w:pPr>
        <w:pStyle w:val="Compact"/>
        <w:numPr>
          <w:ilvl w:val="0"/>
          <w:numId w:val="1001"/>
        </w:numPr>
      </w:pPr>
      <w:r>
        <w:t xml:space="preserve">Wright, E. S. DECIPHER: harnessing local sequence context to improve protein multiple sequence alignment.</w:t>
      </w:r>
      <w:r>
        <w:t xml:space="preserve"> </w:t>
      </w:r>
      <w:r>
        <w:rPr>
          <w:i/>
          <w:iCs/>
        </w:rPr>
        <w:t xml:space="preserve">BMC Bioinformatics</w:t>
      </w:r>
      <w:r>
        <w:t xml:space="preserve"> </w:t>
      </w:r>
      <w:r>
        <w:rPr>
          <w:b/>
          <w:bCs/>
        </w:rPr>
        <w:t xml:space="preserve">16</w:t>
      </w:r>
      <w:r>
        <w:t xml:space="preserve">, 322 (2015).</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Pingoud, A., Wilson, G. G. &amp; Wende, W. Type II restriction endonucleases: a historical perspective and more.</w:t>
      </w:r>
      <w:r>
        <w:t xml:space="preserve"> </w:t>
      </w:r>
      <w:r>
        <w:rPr>
          <w:i/>
          <w:iCs/>
        </w:rPr>
        <w:t xml:space="preserve">Nucleic Acids Res.</w:t>
      </w:r>
      <w:r>
        <w:t xml:space="preserve"> </w:t>
      </w:r>
      <w:r>
        <w:rPr>
          <w:b/>
          <w:bCs/>
        </w:rPr>
        <w:t xml:space="preserve">42</w:t>
      </w:r>
      <w:r>
        <w:t xml:space="preserve">, 7489–7527 (2014).</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bookmarkEnd w:id="22"/>
    <w:bookmarkStart w:id="23" w:name="data-availability"/>
    <w:p>
      <w:pPr>
        <w:pStyle w:val="Heading2"/>
      </w:pPr>
      <w:r>
        <w:t xml:space="preserve">Data availability</w:t>
      </w:r>
    </w:p>
    <w:p>
      <w:pPr>
        <w:pStyle w:val="FirstParagraph"/>
      </w:pPr>
      <w:r>
        <w:t xml:space="preserve">All analysis scripts, summary data, QC tables and figure source files are available in the</w:t>
      </w:r>
      <w:r>
        <w:t xml:space="preserve"> </w:t>
      </w:r>
      <w:r>
        <w:t xml:space="preserve">Syn2b-paper repository (https://github.com/HuangShiLab/Syn2b-paper). Raw GTDB-R207 genomes</w:t>
      </w:r>
      <w:r>
        <w:t xml:space="preserve"> </w:t>
      </w:r>
      <w:r>
        <w:t xml:space="preserve">were downloaded from GTDB release R207²¹.</w:t>
      </w:r>
      <w:r>
        <w:t xml:space="preserve"> </w:t>
      </w:r>
      <w:r>
        <w:rPr>
          <w:i/>
          <w:iCs/>
        </w:rPr>
        <w:t xml:space="preserve">Escherichia coli</w:t>
      </w:r>
      <w:r>
        <w:t xml:space="preserve"> </w:t>
      </w:r>
      <w:r>
        <w:t xml:space="preserve">K-12 MG1655 (NC_000913.3) and</w:t>
      </w:r>
      <w:r>
        <w:t xml:space="preserve"> </w:t>
      </w:r>
      <w:r>
        <w:rPr>
          <w:i/>
          <w:iCs/>
        </w:rPr>
        <w:t xml:space="preserve">Helicobacter pylori</w:t>
      </w:r>
      <w:r>
        <w:t xml:space="preserve"> </w:t>
      </w:r>
      <w:r>
        <w:t xml:space="preserve">26695 (NC_000915.1) were obtained from NCBI RefSeq. The four SynTracker</w:t>
      </w:r>
      <w:r>
        <w:t xml:space="preserve"> </w:t>
      </w:r>
      <w:r>
        <w:t xml:space="preserve">cohort isolate sets and participant metadata are included in</w:t>
      </w:r>
      <w:r>
        <w:t xml:space="preserve"> </w:t>
      </w:r>
      <w:r>
        <w:rPr>
          <w:rStyle w:val="VerbatimChar"/>
        </w:rPr>
        <w:t xml:space="preserve">data/syntracker_validation/</w:t>
      </w:r>
      <w:r>
        <w:t xml:space="preserve">.</w:t>
      </w:r>
      <w:r>
        <w:t xml:space="preserve"> </w:t>
      </w:r>
      <w:r>
        <w:t xml:space="preserve">Simulated-isolate parameters are described in Supplementary Table 3. SynTracker data were obtained from the published cohorts; no new human participant data were generated. SynTracker data were obtained from the published cohorts; no new human participant data were generated. HROM was obtained from</w:t>
      </w:r>
      <w:r>
        <w:t xml:space="preserve"> </w:t>
      </w:r>
      <w:r>
        <w:t xml:space="preserve">https://www.decodebiome.org/HROM/. GTDB and HROM census summaries and QC tables are included</w:t>
      </w:r>
      <w:r>
        <w:t xml:space="preserve"> </w:t>
      </w:r>
      <w:r>
        <w:t xml:space="preserve">in</w:t>
      </w:r>
      <w:r>
        <w:t xml:space="preserve"> </w:t>
      </w:r>
      <w:r>
        <w:rPr>
          <w:rStyle w:val="VerbatimChar"/>
        </w:rPr>
        <w:t xml:space="preserve">results/census/</w:t>
      </w:r>
      <w:r>
        <w:t xml:space="preserve">. The compressed full pair tables will be deposited in a permanent archive</w:t>
      </w:r>
      <w:r>
        <w:t xml:space="preserve"> </w:t>
      </w:r>
      <w:r>
        <w:t xml:space="preserve">before publication.</w:t>
      </w:r>
    </w:p>
    <w:bookmarkEnd w:id="23"/>
    <w:bookmarkStart w:id="24" w:name="code-availability"/>
    <w:p>
      <w:pPr>
        <w:pStyle w:val="Heading2"/>
      </w:pPr>
      <w:r>
        <w:t xml:space="preserve">Code availability</w:t>
      </w:r>
    </w:p>
    <w:p>
      <w:pPr>
        <w:pStyle w:val="FirstParagraph"/>
      </w:pPr>
      <w:r>
        <w:t xml:space="preserve">Syn2b v0.1.0 is available under the MIT licence at</w:t>
      </w:r>
      <w:r>
        <w:t xml:space="preserve"> </w:t>
      </w:r>
      <w:r>
        <w:t xml:space="preserve">https://github.com/HuangShiLab/Syn2b (commit 7145305fc2f3139611aafa821d0c8c7ba328a7ee).</w:t>
      </w:r>
      <w:r>
        <w:t xml:space="preserve"> </w:t>
      </w:r>
      <w:r>
        <w:t xml:space="preserve">Analysis scripts are available in the Syn2b-paper repository at</w:t>
      </w:r>
      <w:r>
        <w:t xml:space="preserve"> </w:t>
      </w:r>
      <w:r>
        <w:t xml:space="preserve">https://github.com/HuangShiLab/Syn2b-paper.</w:t>
      </w:r>
    </w:p>
    <w:bookmarkEnd w:id="24"/>
    <w:bookmarkStart w:id="25" w:name="figures"/>
    <w:p>
      <w:pPr>
        <w:pStyle w:val="Heading2"/>
      </w:pPr>
      <w:r>
        <w:t xml:space="preserve">Figures</w:t>
      </w:r>
    </w:p>
    <w:p>
      <w:pPr>
        <w:pStyle w:val="FirstParagraph"/>
      </w:pPr>
      <w:r>
        <w:rPr>
          <w:b/>
          <w:bCs/>
        </w:rPr>
        <w:t xml:space="preserve">Fig. 1. Syn2b algorithm.</w:t>
      </w:r>
      <w:r>
        <w:t xml:space="preserve"> </w:t>
      </w:r>
      <w:r>
        <w:t xml:space="preserve">(a) Type IIB/IIG enzyme recognition produces 27–32</w:t>
      </w:r>
      <w:r>
        <w:t xml:space="preserve"> </w:t>
      </w:r>
      <w:r>
        <w:t xml:space="preserve">bp tags flanking the motif. (b) An inversion reverses the order of tags inside</w:t>
      </w:r>
      <w:r>
        <w:t xml:space="preserve"> </w:t>
      </w:r>
      <w:r>
        <w:t xml:space="preserve">the affected segment (tag orientation is flipped accordingly; strand marks</w:t>
      </w:r>
      <w:r>
        <w:t xml:space="preserve"> </w:t>
      </w:r>
      <w:r>
        <w:t xml:space="preserve">omitted for clarity). (c) Length-weighted ratios are invariant to</w:t>
      </w:r>
      <w:r>
        <w:t xml:space="preserve"> </w:t>
      </w:r>
      <w:r>
        <w:t xml:space="preserve">assembly fragmentation, whereas transition counts acquire a bias that grows with</w:t>
      </w:r>
      <w:r>
        <w:t xml:space="preserve"> </w:t>
      </w:r>
      <w:r>
        <w:t xml:space="preserve">the number of fragments K.</w:t>
      </w:r>
    </w:p>
    <w:p>
      <w:pPr>
        <w:pStyle w:val="BodyText"/>
      </w:pPr>
      <w:r>
        <w:rPr>
          <w:b/>
          <w:bCs/>
        </w:rPr>
        <w:t xml:space="preserve">Fig. 2. Sensitivity to structural variation and insensitivity to SNPs.</w:t>
      </w:r>
      <w:r>
        <w:t xml:space="preserve"> </w:t>
      </w:r>
      <w:r>
        <w:t xml:space="preserve">Controlled</w:t>
      </w:r>
      <w:r>
        <w:t xml:space="preserve"> </w:t>
      </w:r>
      <w:r>
        <w:rPr>
          <w:i/>
          <w:iCs/>
        </w:rPr>
        <w:t xml:space="preserve">E. coli</w:t>
      </w:r>
      <w:r>
        <w:t xml:space="preserve"> </w:t>
      </w:r>
      <w:r>
        <w:t xml:space="preserve">K-12 genomes analysed with the Rust Syn2b implementation</w:t>
      </w:r>
      <w:r>
        <w:t xml:space="preserve"> </w:t>
      </w:r>
      <w:r>
        <w:t xml:space="preserve">and the production four-enzyme panel (BcgI, AlfI, AloI, FalI); every value is</w:t>
      </w:r>
      <w:r>
        <w:t xml:space="preserve"> </w:t>
      </w:r>
      <w:r>
        <w:t xml:space="preserve">measured by running the tool. The SNP-only control (1%</w:t>
      </w:r>
      <w:r>
        <w:t xml:space="preserve"> </w:t>
      </w:r>
      <w:r>
        <w:t xml:space="preserve">random substitutions outside recognition sites) is compared against the</w:t>
      </w:r>
      <w:r>
        <w:t xml:space="preserve"> </w:t>
      </w:r>
      <w:r>
        <w:t xml:space="preserve">unmutated reference and produces zero junctions; a single 100-kb or 500-kb</w:t>
      </w:r>
      <w:r>
        <w:t xml:space="preserve"> </w:t>
      </w:r>
      <w:r>
        <w:t xml:space="preserve">inversion produces two junctions; a single 500-kb translocation produces three.</w:t>
      </w:r>
      <w:r>
        <w:t xml:space="preserve"> </w:t>
      </w:r>
      <w:r>
        <w:t xml:space="preserve">The raw inverted landmark fraction scales with inverted segment size.</w:t>
      </w:r>
      <w:r>
        <w:t xml:space="preserve"> </w:t>
      </w:r>
      <w:r>
        <w:t xml:space="preserve">Small insertions and deletions are not shown here because junction counts</w:t>
      </w:r>
      <w:r>
        <w:t xml:space="preserve"> </w:t>
      </w:r>
      <w:r>
        <w:t xml:space="preserve">depend on whether tags straddle the breakpoint (Supplementary Fig. 3). Mash</w:t>
      </w:r>
      <w:r>
        <w:t xml:space="preserve"> </w:t>
      </w:r>
      <w:r>
        <w:t xml:space="preserve">distance (k=21) reports the 1% SNP background at ≈1e-2, whereas every</w:t>
      </w:r>
      <w:r>
        <w:t xml:space="preserve"> </w:t>
      </w:r>
      <w:r>
        <w:t xml:space="preserve">structural variant adds only ~1e-7, confirming that k-mer methods cannot</w:t>
      </w:r>
      <w:r>
        <w:t xml:space="preserve"> </w:t>
      </w:r>
      <w:r>
        <w:t xml:space="preserve">distinguish SV from point mutation. Single-enzyme versus panel metrics are</w:t>
      </w:r>
      <w:r>
        <w:t xml:space="preserve"> </w:t>
      </w:r>
      <w:r>
        <w:t xml:space="preserve">compared in Supplementary Table 8.</w:t>
      </w:r>
    </w:p>
    <w:p>
      <w:pPr>
        <w:pStyle w:val="BodyText"/>
      </w:pPr>
      <w:r>
        <w:rPr>
          <w:b/>
          <w:bCs/>
        </w:rPr>
        <w:t xml:space="preserve">Fig. 3. GTDB-R207 validation.</w:t>
      </w:r>
      <w:r>
        <w:t xml:space="preserve"> </w:t>
      </w:r>
      <w:r>
        <w:t xml:space="preserve">(a) Syn2b</w:t>
      </w:r>
      <w:r>
        <w:t xml:space="preserve"> </w:t>
      </w:r>
      <w:r>
        <w:rPr>
          <w:rStyle w:val="VerbatimChar"/>
        </w:rPr>
        <w:t xml:space="preserve">raw_inverted_fraction</w:t>
      </w:r>
      <w:r>
        <w:t xml:space="preserve"> </w:t>
      </w:r>
      <w:r>
        <w:t xml:space="preserve">vs</w:t>
      </w:r>
      <w:r>
        <w:t xml:space="preserve"> </w:t>
      </w:r>
      <w:r>
        <w:t xml:space="preserve">dnadiff across 43,312 held-out pairs with complete metrics. (b) Agreement by</w:t>
      </w:r>
      <w:r>
        <w:t xml:space="preserve"> </w:t>
      </w:r>
      <w:r>
        <w:t xml:space="preserve">predicted-ANI band (four-enzyme model), improving monotonically as divergence</w:t>
      </w:r>
      <w:r>
        <w:t xml:space="preserve"> </w:t>
      </w:r>
      <w:r>
        <w:t xml:space="preserve">decreases; the y-axis is truncated at 0.85 for readability. (c)</w:t>
      </w:r>
      <w:r>
        <w:t xml:space="preserve"> </w:t>
      </w:r>
      <w:r>
        <w:t xml:space="preserve">Majority-frame</w:t>
      </w:r>
      <w:r>
        <w:t xml:space="preserve"> </w:t>
      </w:r>
      <w:r>
        <w:rPr>
          <w:rStyle w:val="VerbatimChar"/>
        </w:rPr>
        <w:t xml:space="preserve">inverted_fraction</w:t>
      </w:r>
      <w:r>
        <w:t xml:space="preserve"> </w:t>
      </w:r>
      <w:r>
        <w:t xml:space="preserve">saturates at 0.5; the fixed-reference</w:t>
      </w:r>
      <w:r>
        <w:t xml:space="preserve"> </w:t>
      </w:r>
      <w:r>
        <w:rPr>
          <w:rStyle w:val="VerbatimChar"/>
        </w:rPr>
        <w:t xml:space="preserve">raw_inverted_fraction</w:t>
      </w:r>
      <w:r>
        <w:t xml:space="preserve"> </w:t>
      </w:r>
      <w:r>
        <w:t xml:space="preserve">shown in panel a is not subject to this saturation.</w:t>
      </w:r>
      <w:r>
        <w:t xml:space="preserve"> </w:t>
      </w:r>
      <w:r>
        <w:t xml:space="preserve">(d) Residuals of Syn2b</w:t>
      </w:r>
      <w:r>
        <w:t xml:space="preserve"> </w:t>
      </w:r>
      <w:r>
        <w:rPr>
          <w:rStyle w:val="VerbatimChar"/>
        </w:rPr>
        <w:t xml:space="preserve">raw_inverted_fraction</w:t>
      </w:r>
      <w:r>
        <w:t xml:space="preserve"> </w:t>
      </w:r>
      <w:r>
        <w:t xml:space="preserve">against dnadiff show no</w:t>
      </w:r>
      <w:r>
        <w:t xml:space="preserve"> </w:t>
      </w:r>
      <w:r>
        <w:t xml:space="preserve">systematic dependence on assembly fragmentation (max contigs per pair),</w:t>
      </w:r>
      <w:r>
        <w:t xml:space="preserve"> </w:t>
      </w:r>
      <w:r>
        <w:t xml:space="preserve">illustrating the fragmentation invariance of length-weighted ratios.</w:t>
      </w:r>
    </w:p>
    <w:p>
      <w:pPr>
        <w:pStyle w:val="BodyText"/>
      </w:pPr>
      <w:r>
        <w:rPr>
          <w:b/>
          <w:bCs/>
        </w:rPr>
        <w:t xml:space="preserve">Fig. 4. SynTracker cohorts show ANI–synteny decoupling.</w:t>
      </w:r>
      <w:r>
        <w:t xml:space="preserve"> </w:t>
      </w:r>
      <w:r>
        <w:t xml:space="preserve">Pairwise</w:t>
      </w:r>
      <w:r>
        <w:t xml:space="preserve"> </w:t>
      </w:r>
      <w:r>
        <w:t xml:space="preserve">comparisons of four published SynTracker cohorts (n = 3,435 pairs) using skani</w:t>
      </w:r>
      <w:r>
        <w:t xml:space="preserve"> </w:t>
      </w:r>
      <w:r>
        <w:t xml:space="preserve">ANI and Syn2b structural metrics. (a) ANI versus breakpoint count; the inset</w:t>
      </w:r>
      <w:r>
        <w:t xml:space="preserve"> </w:t>
      </w:r>
      <w:r>
        <w:t xml:space="preserve">zooms into the near-clonal, near-zero-breakpoint clusters. (b) ANI</w:t>
      </w:r>
      <w:r>
        <w:t xml:space="preserve"> </w:t>
      </w:r>
      <w:r>
        <w:t xml:space="preserve">versus raw inverted fraction. (c) Breakpoint distributions differ markedly by</w:t>
      </w:r>
      <w:r>
        <w:t xml:space="preserve"> </w:t>
      </w:r>
      <w:r>
        <w:t xml:space="preserve">species, with</w:t>
      </w:r>
      <w:r>
        <w:t xml:space="preserve"> </w:t>
      </w:r>
      <w:r>
        <w:rPr>
          <w:i/>
          <w:iCs/>
        </w:rPr>
        <w:t xml:space="preserve">S. rimosus</w:t>
      </w:r>
      <w:r>
        <w:t xml:space="preserve"> </w:t>
      </w:r>
      <w:r>
        <w:t xml:space="preserve">showing the highest structural divergence despite</w:t>
      </w:r>
      <w:r>
        <w:t xml:space="preserve"> </w:t>
      </w:r>
      <w:r>
        <w:t xml:space="preserve">near-clonal ANI. (d) Within-participant</w:t>
      </w:r>
      <w:r>
        <w:t xml:space="preserve"> </w:t>
      </w:r>
      <w:r>
        <w:rPr>
          <w:i/>
          <w:iCs/>
        </w:rPr>
        <w:t xml:space="preserve">H. pylori</w:t>
      </w:r>
      <w:r>
        <w:t xml:space="preserve"> </w:t>
      </w:r>
      <w:r>
        <w:t xml:space="preserve">pairs (n = 476) are</w:t>
      </w:r>
      <w:r>
        <w:t xml:space="preserve"> </w:t>
      </w:r>
      <w:r>
        <w:t xml:space="preserve">structurally more similar than between-participant pairs (n = 2,450;</w:t>
      </w:r>
      <w:r>
        <w:t xml:space="preserve"> </w:t>
      </w:r>
      <w:r>
        <w:t xml:space="preserve">permutation p &lt; 1e-4, Cliff’s delta = −0.92), demonstrating that Syn2b</w:t>
      </w:r>
      <w:r>
        <w:t xml:space="preserve"> </w:t>
      </w:r>
      <w:r>
        <w:t xml:space="preserve">captures epidemiologically relevant structure beyond ANI.</w:t>
      </w:r>
    </w:p>
    <w:p>
      <w:pPr>
        <w:pStyle w:val="BodyText"/>
      </w:pPr>
      <w:r>
        <w:rPr>
          <w:b/>
          <w:bCs/>
        </w:rPr>
        <w:t xml:space="preserve">Fig. 5. Genome-wide ANI–rearrangement discordance in GTDB-R207.</w:t>
      </w:r>
      <w:r>
        <w:t xml:space="preserve"> </w:t>
      </w:r>
      <w:r>
        <w:t xml:space="preserve">(a) Pair-density map of ANIm versus dnadiff inversion-event count across</w:t>
      </w:r>
      <w:r>
        <w:t xml:space="preserve"> </w:t>
      </w:r>
      <w:r>
        <w:t xml:space="preserve">47,748 pairs (held-out set plus ANIm-verified high-ANI sample); the red line</w:t>
      </w:r>
      <w:r>
        <w:t xml:space="preserve"> </w:t>
      </w:r>
      <w:r>
        <w:t xml:space="preserve">marks the species-level ANI threshold and the annotation gives the number of</w:t>
      </w:r>
      <w:r>
        <w:t xml:space="preserve"> </w:t>
      </w:r>
      <w:r>
        <w:t xml:space="preserve">discordant pairs (ANIm ≥ 97%, ≥2 inversions). (b) Percentage of pairs carrying</w:t>
      </w:r>
      <w:r>
        <w:t xml:space="preserve"> </w:t>
      </w:r>
      <w:r>
        <w:t xml:space="preserve">at least 1, 2, or 5 dnadiff inversions per 1% ANIm bin, rearrangement</w:t>
      </w:r>
      <w:r>
        <w:t xml:space="preserve"> </w:t>
      </w:r>
      <w:r>
        <w:t xml:space="preserve">prevalence decays slowly as ANI approaches 100%. (c) Phylum composition of</w:t>
      </w:r>
      <w:r>
        <w:t xml:space="preserve"> </w:t>
      </w:r>
      <w:r>
        <w:t xml:space="preserve">discordant pairs (dark blue) versus concordant ANIm ≥ 97% pairs (light blue);</w:t>
      </w:r>
      <w:r>
        <w:t xml:space="preserve"> </w:t>
      </w:r>
      <w:r>
        <w:t xml:space="preserve">numbers give the enrichment fold. (</w:t>
      </w:r>
      <w:r>
        <w:rPr>
          <w:rStyle w:val="VerbatimChar"/>
        </w:rPr>
        <w:t xml:space="preserve">figures/main/fig5_discordance_overview.pdf</w:t>
      </w:r>
      <w:r>
        <w:t xml:space="preserve">).</w:t>
      </w:r>
    </w:p>
    <w:p>
      <w:pPr>
        <w:pStyle w:val="BodyText"/>
      </w:pPr>
      <w:r>
        <w:rPr>
          <w:b/>
          <w:bCs/>
        </w:rPr>
        <w:t xml:space="preserve">Fig. 6. Runtime and scaling.</w:t>
      </w:r>
      <w:r>
        <w:t xml:space="preserve"> </w:t>
      </w:r>
      <w:r>
        <w:t xml:space="preserve">(a) Measured single-genome digestion time</w:t>
      </w:r>
      <w:r>
        <w:t xml:space="preserve"> </w:t>
      </w:r>
      <w:r>
        <w:t xml:space="preserve">per enzyme of the production panel on</w:t>
      </w:r>
      <w:r>
        <w:t xml:space="preserve"> </w:t>
      </w:r>
      <w:r>
        <w:rPr>
          <w:i/>
          <w:iCs/>
        </w:rPr>
        <w:t xml:space="preserve">E. coli</w:t>
      </w:r>
      <w:r>
        <w:t xml:space="preserve"> </w:t>
      </w:r>
      <w:r>
        <w:t xml:space="preserve">K-12 (4.6 Mb) using the Rust</w:t>
      </w:r>
      <w:r>
        <w:t xml:space="preserve"> </w:t>
      </w:r>
      <w:r>
        <w:t xml:space="preserve">Syn2b binary (timings archived in the repository). (b)</w:t>
      </w:r>
      <w:r>
        <w:t xml:space="preserve"> </w:t>
      </w:r>
      <w:r>
        <w:t xml:space="preserve">Amortized per-pair comparison time on unique pairs C(n,2); the n = 2 point is</w:t>
      </w:r>
      <w:r>
        <w:t xml:space="preserve"> </w:t>
      </w:r>
      <w:r>
        <w:t xml:space="preserve">excluded because startup overhead dominates. (c) Total wall time scales linearly</w:t>
      </w:r>
      <w:r>
        <w:t xml:space="preserve"> </w:t>
      </w:r>
      <w:r>
        <w:t xml:space="preserve">with the number of unique pairs.</w:t>
      </w:r>
    </w:p>
    <w:p>
      <w:r>
        <w:pict>
          <v:rect style="width:0;height:1.5pt" o:hralign="center" o:hrstd="t" o:hr="t"/>
        </w:pict>
      </w:r>
    </w:p>
    <w:bookmarkEnd w:id="25"/>
    <w:bookmarkStart w:id="29" w:name="supplementary-information"/>
    <w:p>
      <w:pPr>
        <w:pStyle w:val="Heading2"/>
      </w:pPr>
      <w:r>
        <w:t xml:space="preserve">Supplementary Information</w:t>
      </w:r>
    </w:p>
    <w:bookmarkStart w:id="26" w:name="supplementary-notes"/>
    <w:p>
      <w:pPr>
        <w:pStyle w:val="Heading3"/>
      </w:pPr>
      <w:r>
        <w:t xml:space="preserve">Supplementary Notes</w:t>
      </w:r>
    </w:p>
    <w:p>
      <w:pPr>
        <w:pStyle w:val="Compact"/>
        <w:numPr>
          <w:ilvl w:val="0"/>
          <w:numId w:val="1002"/>
        </w:numPr>
      </w:pPr>
      <w:r>
        <w:rPr>
          <w:b/>
          <w:bCs/>
        </w:rPr>
        <w:t xml:space="preserve">Supplementary Note 1:</w:t>
      </w:r>
      <w:r>
        <w:t xml:space="preserve"> </w:t>
      </w:r>
      <w:r>
        <w:t xml:space="preserve">Mathematical derivation of the fragmentation principle</w:t>
      </w:r>
      <w:r>
        <w:t xml:space="preserve"> </w:t>
      </w:r>
      <w:r>
        <w:t xml:space="preserve">(</w:t>
      </w:r>
      <w:r>
        <w:rPr>
          <w:rStyle w:val="VerbatimChar"/>
        </w:rPr>
        <w:t xml:space="preserve">supplementary/Supplementary_Note_1.md</w:t>
      </w:r>
      <w:r>
        <w:t xml:space="preserve">).</w:t>
      </w:r>
    </w:p>
    <w:p>
      <w:pPr>
        <w:pStyle w:val="Compact"/>
        <w:numPr>
          <w:ilvl w:val="0"/>
          <w:numId w:val="1002"/>
        </w:numPr>
      </w:pPr>
      <w:r>
        <w:rPr>
          <w:b/>
          <w:bCs/>
        </w:rPr>
        <w:t xml:space="preserve">Supplementary Note 2:</w:t>
      </w:r>
      <w:r>
        <w:t xml:space="preserve"> </w:t>
      </w:r>
      <w:r>
        <w:t xml:space="preserve">Error model and per-pair standard errors for</w:t>
      </w:r>
      <w:r>
        <w:t xml:space="preserve"> </w:t>
      </w:r>
      <w:r>
        <w:rPr>
          <w:rStyle w:val="VerbatimChar"/>
        </w:rPr>
        <w:t xml:space="preserve">raw_inverted_fraction</w:t>
      </w:r>
      <w:r>
        <w:t xml:space="preserve"> </w:t>
      </w:r>
      <w:r>
        <w:t xml:space="preserve">(</w:t>
      </w:r>
      <w:r>
        <w:rPr>
          <w:rStyle w:val="VerbatimChar"/>
        </w:rPr>
        <w:t xml:space="preserve">supplementary/Supplementary_Note_2.md</w:t>
      </w:r>
      <w:r>
        <w:t xml:space="preserve">).</w:t>
      </w:r>
    </w:p>
    <w:bookmarkEnd w:id="26"/>
    <w:bookmarkStart w:id="27" w:name="supplementary-tables"/>
    <w:p>
      <w:pPr>
        <w:pStyle w:val="Heading3"/>
      </w:pPr>
      <w:r>
        <w:t xml:space="preserve">Supplementary Tables</w:t>
      </w:r>
    </w:p>
    <w:p>
      <w:pPr>
        <w:pStyle w:val="Compact"/>
        <w:numPr>
          <w:ilvl w:val="0"/>
          <w:numId w:val="1003"/>
        </w:numPr>
      </w:pPr>
      <w:r>
        <w:rPr>
          <w:b/>
          <w:bCs/>
        </w:rPr>
        <w:t xml:space="preserve">Supplementary Table 1:</w:t>
      </w:r>
      <w:r>
        <w:t xml:space="preserve"> </w:t>
      </w:r>
      <w:r>
        <w:t xml:space="preserve">GTDB-R207 per-pair structural metrics</w:t>
      </w:r>
      <w:r>
        <w:t xml:space="preserve"> </w:t>
      </w:r>
      <w:r>
        <w:t xml:space="preserve">(</w:t>
      </w:r>
      <w:r>
        <w:rPr>
          <w:rStyle w:val="VerbatimChar"/>
        </w:rPr>
        <w:t xml:space="preserve">results/gtdb50k/inverted_fraction_truth_four.tsv</w:t>
      </w:r>
      <w:r>
        <w:t xml:space="preserve">).</w:t>
      </w:r>
    </w:p>
    <w:p>
      <w:pPr>
        <w:pStyle w:val="Compact"/>
        <w:numPr>
          <w:ilvl w:val="0"/>
          <w:numId w:val="1003"/>
        </w:numPr>
      </w:pPr>
      <w:r>
        <w:rPr>
          <w:b/>
          <w:bCs/>
        </w:rPr>
        <w:t xml:space="preserve">Supplementary Table 2:</w:t>
      </w:r>
      <w:r>
        <w:t xml:space="preserve"> </w:t>
      </w:r>
      <w:r>
        <w:t xml:space="preserve">Runtime scaling of Syn2b structural comparison,</w:t>
      </w:r>
      <w:r>
        <w:t xml:space="preserve"> </w:t>
      </w:r>
      <w:r>
        <w:t xml:space="preserve">skani, dnadiff, skani+dnadiff, and SynTracker across panel sizes</w:t>
      </w:r>
      <w:r>
        <w:t xml:space="preserve"> </w:t>
      </w:r>
      <w:r>
        <w:t xml:space="preserve">(</w:t>
      </w:r>
      <w:r>
        <w:rPr>
          <w:rStyle w:val="VerbatimChar"/>
        </w:rPr>
        <w:t xml:space="preserve">supplementary/Supplementary_Table_2.tsv</w:t>
      </w:r>
      <w:r>
        <w:t xml:space="preserve">).</w:t>
      </w:r>
    </w:p>
    <w:p>
      <w:pPr>
        <w:pStyle w:val="Compact"/>
        <w:numPr>
          <w:ilvl w:val="0"/>
          <w:numId w:val="1003"/>
        </w:numPr>
      </w:pPr>
      <w:r>
        <w:rPr>
          <w:b/>
          <w:bCs/>
        </w:rPr>
        <w:t xml:space="preserve">Supplementary Table 3:</w:t>
      </w:r>
      <w:r>
        <w:t xml:space="preserve"> </w:t>
      </w:r>
      <w:r>
        <w:t xml:space="preserve">Parameters for the controlled SV simulations</w:t>
      </w:r>
      <w:r>
        <w:t xml:space="preserve"> </w:t>
      </w:r>
      <w:r>
        <w:t xml:space="preserve">(</w:t>
      </w:r>
      <w:r>
        <w:rPr>
          <w:rStyle w:val="VerbatimChar"/>
        </w:rPr>
        <w:t xml:space="preserve">supplementary/Supplementary_Table_3.tsv</w:t>
      </w:r>
      <w:r>
        <w:t xml:space="preserve">).</w:t>
      </w:r>
    </w:p>
    <w:p>
      <w:pPr>
        <w:pStyle w:val="Compact"/>
        <w:numPr>
          <w:ilvl w:val="0"/>
          <w:numId w:val="1003"/>
        </w:numPr>
      </w:pPr>
      <w:r>
        <w:rPr>
          <w:b/>
          <w:bCs/>
        </w:rPr>
        <w:t xml:space="preserve">Supplementary Table 4:</w:t>
      </w:r>
      <w:r>
        <w:t xml:space="preserve"> </w:t>
      </w:r>
      <w:r>
        <w:t xml:space="preserve">Head-to-head runtime on the 22-genome panel</w:t>
      </w:r>
      <w:r>
        <w:t xml:space="preserve"> </w:t>
      </w:r>
      <w:r>
        <w:t xml:space="preserve">(231 unique pairs) (</w:t>
      </w:r>
      <w:r>
        <w:rPr>
          <w:rStyle w:val="VerbatimChar"/>
        </w:rPr>
        <w:t xml:space="preserve">supplementary/Supplementary_Table_4.tsv</w:t>
      </w:r>
      <w:r>
        <w:t xml:space="preserve">).</w:t>
      </w:r>
    </w:p>
    <w:p>
      <w:pPr>
        <w:pStyle w:val="Compact"/>
        <w:numPr>
          <w:ilvl w:val="0"/>
          <w:numId w:val="1003"/>
        </w:numPr>
      </w:pPr>
      <w:r>
        <w:rPr>
          <w:b/>
          <w:bCs/>
        </w:rPr>
        <w:t xml:space="preserve">Supplementary Table 5:</w:t>
      </w:r>
      <w:r>
        <w:t xml:space="preserve"> </w:t>
      </w:r>
      <w:r>
        <w:t xml:space="preserve">Within-host versus between-host</w:t>
      </w:r>
      <w:r>
        <w:t xml:space="preserve"> </w:t>
      </w:r>
      <w:r>
        <w:rPr>
          <w:i/>
          <w:iCs/>
        </w:rPr>
        <w:t xml:space="preserve">H. pylori</w:t>
      </w:r>
      <w:r>
        <w:t xml:space="preserve"> </w:t>
      </w:r>
      <w:r>
        <w:t xml:space="preserve">structural divergence: permutation test statistics</w:t>
      </w:r>
      <w:r>
        <w:t xml:space="preserve"> </w:t>
      </w:r>
      <w:r>
        <w:t xml:space="preserve">(</w:t>
      </w:r>
      <w:r>
        <w:rPr>
          <w:rStyle w:val="VerbatimChar"/>
        </w:rPr>
        <w:t xml:space="preserve">supplementary/Supplementary_Table_5.tsv</w:t>
      </w:r>
      <w:r>
        <w:t xml:space="preserve">).</w:t>
      </w:r>
    </w:p>
    <w:p>
      <w:pPr>
        <w:pStyle w:val="Compact"/>
        <w:numPr>
          <w:ilvl w:val="0"/>
          <w:numId w:val="1003"/>
        </w:numPr>
      </w:pPr>
      <w:r>
        <w:rPr>
          <w:b/>
          <w:bCs/>
        </w:rPr>
        <w:t xml:space="preserve">Supplementary Table 6:</w:t>
      </w:r>
      <w:r>
        <w:t xml:space="preserve"> </w:t>
      </w:r>
      <w:r>
        <w:t xml:space="preserve">ANI–rearrangement discordance across GTDB-R207:</w:t>
      </w:r>
      <w:r>
        <w:t xml:space="preserve"> </w:t>
      </w:r>
      <w:r>
        <w:t xml:space="preserve">inversion-event rates per ANIm band, top discordant pairs with taxonomy,</w:t>
      </w:r>
      <w:r>
        <w:t xml:space="preserve"> </w:t>
      </w:r>
      <w:r>
        <w:t xml:space="preserve">Syn2b flagging performance, flagging-feature comparison, and prevalence</w:t>
      </w:r>
      <w:r>
        <w:t xml:space="preserve"> </w:t>
      </w:r>
      <w:r>
        <w:t xml:space="preserve">bootstrap CIs</w:t>
      </w:r>
      <w:r>
        <w:t xml:space="preserve"> </w:t>
      </w:r>
      <w:r>
        <w:t xml:space="preserve">(</w:t>
      </w:r>
      <w:r>
        <w:rPr>
          <w:rStyle w:val="VerbatimChar"/>
        </w:rPr>
        <w:t xml:space="preserve">results/discordance/discordance_by_band.tsv</w:t>
      </w:r>
      <w:r>
        <w:t xml:space="preserve">,</w:t>
      </w:r>
      <w:r>
        <w:t xml:space="preserve"> </w:t>
      </w:r>
      <w:r>
        <w:rPr>
          <w:rStyle w:val="VerbatimChar"/>
        </w:rPr>
        <w:t xml:space="preserve">results/discordance/discordant_pairs_top.tsv</w:t>
      </w:r>
      <w:r>
        <w:t xml:space="preserve">,</w:t>
      </w:r>
      <w:r>
        <w:t xml:space="preserve"> </w:t>
      </w:r>
      <w:r>
        <w:rPr>
          <w:rStyle w:val="VerbatimChar"/>
        </w:rPr>
        <w:t xml:space="preserve">results/discordance/syn2b_flagging.tsv</w:t>
      </w:r>
      <w:r>
        <w:t xml:space="preserve">,</w:t>
      </w:r>
      <w:r>
        <w:t xml:space="preserve"> </w:t>
      </w:r>
      <w:r>
        <w:rPr>
          <w:rStyle w:val="VerbatimChar"/>
        </w:rPr>
        <w:t xml:space="preserve">results/discordance/flagging_features.tsv</w:t>
      </w:r>
      <w:r>
        <w:t xml:space="preserve">,</w:t>
      </w:r>
      <w:r>
        <w:t xml:space="preserve"> </w:t>
      </w:r>
      <w:r>
        <w:rPr>
          <w:rStyle w:val="VerbatimChar"/>
        </w:rPr>
        <w:t xml:space="preserve">results/discordance/prevalence_ci.tsv</w:t>
      </w:r>
      <w:r>
        <w:t xml:space="preserve">).</w:t>
      </w:r>
    </w:p>
    <w:p>
      <w:pPr>
        <w:pStyle w:val="Compact"/>
        <w:numPr>
          <w:ilvl w:val="0"/>
          <w:numId w:val="1003"/>
        </w:numPr>
      </w:pPr>
      <w:r>
        <w:rPr>
          <w:b/>
          <w:bCs/>
        </w:rPr>
        <w:t xml:space="preserve">Supplementary Table 7:</w:t>
      </w:r>
      <w:r>
        <w:t xml:space="preserve"> </w:t>
      </w:r>
      <w:r>
        <w:t xml:space="preserve">Tag densities for the production Type IIB enzyme</w:t>
      </w:r>
      <w:r>
        <w:t xml:space="preserve"> </w:t>
      </w:r>
      <w:r>
        <w:t xml:space="preserve">panel in</w:t>
      </w:r>
      <w:r>
        <w:t xml:space="preserve"> </w:t>
      </w:r>
      <w:r>
        <w:rPr>
          <w:i/>
          <w:iCs/>
        </w:rPr>
        <w:t xml:space="preserve">E. coli</w:t>
      </w:r>
      <w:r>
        <w:t xml:space="preserve"> </w:t>
      </w:r>
      <w:r>
        <w:t xml:space="preserve">K-12</w:t>
      </w:r>
      <w:r>
        <w:t xml:space="preserve"> </w:t>
      </w:r>
      <w:r>
        <w:t xml:space="preserve">(</w:t>
      </w:r>
      <w:r>
        <w:rPr>
          <w:rStyle w:val="VerbatimChar"/>
        </w:rPr>
        <w:t xml:space="preserve">supplementary/Supplementary_Table_7_enzyme_tag_densities.tsv</w:t>
      </w:r>
      <w:r>
        <w:t xml:space="preserve">).</w:t>
      </w:r>
    </w:p>
    <w:p>
      <w:pPr>
        <w:pStyle w:val="Compact"/>
        <w:numPr>
          <w:ilvl w:val="0"/>
          <w:numId w:val="1003"/>
        </w:numPr>
      </w:pPr>
      <w:r>
        <w:rPr>
          <w:b/>
          <w:bCs/>
        </w:rPr>
        <w:t xml:space="preserve">Supplementary Table 8:</w:t>
      </w:r>
      <w:r>
        <w:t xml:space="preserve"> </w:t>
      </w:r>
      <w:r>
        <w:t xml:space="preserve">SV detection metrics across enzyme arms and</w:t>
      </w:r>
      <w:r>
        <w:t xml:space="preserve"> </w:t>
      </w:r>
      <w:r>
        <w:t xml:space="preserve">controlled SV classes</w:t>
      </w:r>
      <w:r>
        <w:t xml:space="preserve"> </w:t>
      </w:r>
      <w:r>
        <w:t xml:space="preserve">(</w:t>
      </w:r>
      <w:r>
        <w:rPr>
          <w:rStyle w:val="VerbatimChar"/>
        </w:rPr>
        <w:t xml:space="preserve">supplementary/Supplementary_Table_8_sv_detection_metrics.tsv</w:t>
      </w:r>
      <w:r>
        <w:t xml:space="preserve">).</w:t>
      </w:r>
    </w:p>
    <w:p>
      <w:pPr>
        <w:pStyle w:val="Compact"/>
        <w:numPr>
          <w:ilvl w:val="0"/>
          <w:numId w:val="1003"/>
        </w:numPr>
      </w:pPr>
      <w:r>
        <w:rPr>
          <w:b/>
          <w:bCs/>
        </w:rPr>
        <w:t xml:space="preserve">Supplementary Table 9:</w:t>
      </w:r>
      <w:r>
        <w:t xml:space="preserve"> </w:t>
      </w:r>
      <w:r>
        <w:t xml:space="preserve">Runtime scaling of Syn2b structural comparison</w:t>
      </w:r>
      <w:r>
        <w:t xml:space="preserve"> </w:t>
      </w:r>
      <w:r>
        <w:t xml:space="preserve">(</w:t>
      </w:r>
      <w:r>
        <w:rPr>
          <w:rStyle w:val="VerbatimChar"/>
        </w:rPr>
        <w:t xml:space="preserve">supplementary/Supplementary_Table_9_runtime_scaling.tsv</w:t>
      </w:r>
      <w:r>
        <w:t xml:space="preserve">).</w:t>
      </w:r>
    </w:p>
    <w:p>
      <w:pPr>
        <w:pStyle w:val="Compact"/>
        <w:numPr>
          <w:ilvl w:val="0"/>
          <w:numId w:val="1003"/>
        </w:numPr>
      </w:pPr>
      <w:r>
        <w:rPr>
          <w:b/>
          <w:bCs/>
        </w:rPr>
        <w:t xml:space="preserve">Supplementary Table 10:</w:t>
      </w:r>
      <w:r>
        <w:t xml:space="preserve"> </w:t>
      </w:r>
      <w:r>
        <w:t xml:space="preserve">GTDB-R207 validation of</w:t>
      </w:r>
      <w:r>
        <w:t xml:space="preserve"> </w:t>
      </w:r>
      <w:r>
        <w:rPr>
          <w:rStyle w:val="VerbatimChar"/>
        </w:rPr>
        <w:t xml:space="preserve">raw_inverted_fraction</w:t>
      </w:r>
      <w:r>
        <w:t xml:space="preserve"> </w:t>
      </w:r>
      <w:r>
        <w:t xml:space="preserve">by ANIm band</w:t>
      </w:r>
      <w:r>
        <w:t xml:space="preserve"> </w:t>
      </w:r>
      <w:r>
        <w:t xml:space="preserve">(</w:t>
      </w:r>
      <w:r>
        <w:rPr>
          <w:rStyle w:val="VerbatimChar"/>
        </w:rPr>
        <w:t xml:space="preserve">supplementary/Supplementary_Table_10_gtdb_validation_by_anim.tsv</w:t>
      </w:r>
      <w:r>
        <w:t xml:space="preserve">).</w:t>
      </w:r>
    </w:p>
    <w:p>
      <w:pPr>
        <w:pStyle w:val="Compact"/>
        <w:numPr>
          <w:ilvl w:val="0"/>
          <w:numId w:val="1003"/>
        </w:numPr>
      </w:pPr>
      <w:r>
        <w:rPr>
          <w:b/>
          <w:bCs/>
        </w:rPr>
        <w:t xml:space="preserve">Supplementary Table 11:</w:t>
      </w:r>
      <w:r>
        <w:t xml:space="preserve"> </w:t>
      </w:r>
      <w:r>
        <w:t xml:space="preserve">GTDB-R207 validation by predicted-ANI band</w:t>
      </w:r>
      <w:r>
        <w:t xml:space="preserve"> </w:t>
      </w:r>
      <w:r>
        <w:t xml:space="preserve">(</w:t>
      </w:r>
      <w:r>
        <w:rPr>
          <w:rStyle w:val="VerbatimChar"/>
        </w:rPr>
        <w:t xml:space="preserve">supplementary/Supplementary_Table_11_gtdb_validation_by_predicted_ani.tsv</w:t>
      </w:r>
      <w:r>
        <w:t xml:space="preserve">).</w:t>
      </w:r>
    </w:p>
    <w:bookmarkEnd w:id="27"/>
    <w:bookmarkStart w:id="28" w:name="supplementary-figures"/>
    <w:p>
      <w:pPr>
        <w:pStyle w:val="Heading3"/>
      </w:pPr>
      <w:r>
        <w:t xml:space="preserve">Supplementary Figures</w:t>
      </w:r>
    </w:p>
    <w:p>
      <w:pPr>
        <w:pStyle w:val="Compact"/>
        <w:numPr>
          <w:ilvl w:val="0"/>
          <w:numId w:val="1004"/>
        </w:numPr>
      </w:pPr>
      <w:r>
        <w:rPr>
          <w:b/>
          <w:bCs/>
        </w:rPr>
        <w:t xml:space="preserve">Supplementary Fig. 1:</w:t>
      </w:r>
      <w:r>
        <w:t xml:space="preserve"> </w:t>
      </w:r>
      <w:r>
        <w:t xml:space="preserve">Inter-tag distance distribution for the</w:t>
      </w:r>
      <w:r>
        <w:t xml:space="preserve"> </w:t>
      </w:r>
      <w:r>
        <w:t xml:space="preserve">production four-enzyme panel in</w:t>
      </w:r>
      <w:r>
        <w:t xml:space="preserve"> </w:t>
      </w:r>
      <w:r>
        <w:rPr>
          <w:i/>
          <w:iCs/>
        </w:rPr>
        <w:t xml:space="preserve">E. coli</w:t>
      </w:r>
      <w:r>
        <w:t xml:space="preserve"> </w:t>
      </w:r>
      <w:r>
        <w:t xml:space="preserve">K-12. Distances were extracted</w:t>
      </w:r>
      <w:r>
        <w:t xml:space="preserve"> </w:t>
      </w:r>
      <w:r>
        <w:t xml:space="preserve">from the TGT output of</w:t>
      </w:r>
      <w:r>
        <w:t xml:space="preserve"> </w:t>
      </w:r>
      <w:r>
        <w:rPr>
          <w:rStyle w:val="VerbatimChar"/>
        </w:rPr>
        <w:t xml:space="preserve">syn2b digest</w:t>
      </w:r>
      <w:r>
        <w:t xml:space="preserve"> </w:t>
      </w:r>
      <w:r>
        <w:t xml:space="preserve">as recorded between consecutive tags</w:t>
      </w:r>
      <w:r>
        <w:t xml:space="preserve"> </w:t>
      </w:r>
      <w:r>
        <w:t xml:space="preserve">in the TGT path (n = 6,215 recorded intervals; median 1,533 bp, mean 2,980</w:t>
      </w:r>
      <w:r>
        <w:t xml:space="preserve"> </w:t>
      </w:r>
      <w:r>
        <w:t xml:space="preserve">bp). Because the TGT path links the two tags flanking each cut site, the</w:t>
      </w:r>
      <w:r>
        <w:t xml:space="preserve"> </w:t>
      </w:r>
      <w:r>
        <w:t xml:space="preserve">recorded intervals are not a partition of the genome and overestimate the</w:t>
      </w:r>
      <w:r>
        <w:t xml:space="preserve"> </w:t>
      </w:r>
      <w:r>
        <w:t xml:space="preserve">average landmark spacing (genome length / 6,216 tags ≈ 747 bp)</w:t>
      </w:r>
      <w:r>
        <w:t xml:space="preserve"> </w:t>
      </w:r>
      <w:r>
        <w:t xml:space="preserve">(</w:t>
      </w:r>
      <w:r>
        <w:rPr>
          <w:rStyle w:val="VerbatimChar"/>
        </w:rPr>
        <w:t xml:space="preserve">figures/supplementary/fig1_tag_spacing.pdf</w:t>
      </w:r>
      <w:r>
        <w:t xml:space="preserve">).</w:t>
      </w:r>
    </w:p>
    <w:p>
      <w:pPr>
        <w:pStyle w:val="Compact"/>
        <w:numPr>
          <w:ilvl w:val="0"/>
          <w:numId w:val="1004"/>
        </w:numPr>
      </w:pPr>
      <w:r>
        <w:rPr>
          <w:b/>
          <w:bCs/>
        </w:rPr>
        <w:t xml:space="preserve">Supplementary Fig. 2:</w:t>
      </w:r>
      <w:r>
        <w:t xml:space="preserve"> </w:t>
      </w:r>
      <w:r>
        <w:t xml:space="preserve">Closed-genome inversion validation on 100</w:t>
      </w:r>
      <w:r>
        <w:t xml:space="preserve"> </w:t>
      </w:r>
      <w:r>
        <w:t xml:space="preserve">complete-genome pairs selected for high expected structural divergence.</w:t>
      </w:r>
    </w:p>
    <w:p>
      <w:pPr>
        <w:pStyle w:val="Compact"/>
        <w:numPr>
          <w:ilvl w:val="1"/>
          <w:numId w:val="1005"/>
        </w:numPr>
      </w:pPr>
      <w:r>
        <w:t xml:space="preserve">Number of junctions reported by Syn2b versus dnadiff. (b) Fraction of</w:t>
      </w:r>
      <w:r>
        <w:t xml:space="preserve"> </w:t>
      </w:r>
      <w:r>
        <w:t xml:space="preserve">dnadiff junctions that match a Syn2b junction. (c) Median distance between</w:t>
      </w:r>
      <w:r>
        <w:t xml:space="preserve"> </w:t>
      </w:r>
      <w:r>
        <w:t xml:space="preserve">matched Syn2b and dnadiff junction positions. The low recovery and coarse</w:t>
      </w:r>
      <w:r>
        <w:t xml:space="preserve"> </w:t>
      </w:r>
      <w:r>
        <w:t xml:space="preserve">position resolution reflect that many dnadiff inversions fall in regions</w:t>
      </w:r>
      <w:r>
        <w:t xml:space="preserve"> </w:t>
      </w:r>
      <w:r>
        <w:t xml:space="preserve">without a nearby restriction-enzyme landmark</w:t>
      </w:r>
      <w:r>
        <w:t xml:space="preserve"> </w:t>
      </w:r>
      <w:r>
        <w:t xml:space="preserve">(</w:t>
      </w:r>
      <w:r>
        <w:rPr>
          <w:rStyle w:val="VerbatimChar"/>
        </w:rPr>
        <w:t xml:space="preserve">figures/supplementary/fig2_closed_genome_validation.pdf</w:t>
      </w:r>
      <w:r>
        <w:t xml:space="preserve">).</w:t>
      </w:r>
    </w:p>
    <w:p>
      <w:pPr>
        <w:pStyle w:val="Compact"/>
        <w:numPr>
          <w:ilvl w:val="0"/>
          <w:numId w:val="1004"/>
        </w:numPr>
      </w:pPr>
      <w:r>
        <w:rPr>
          <w:b/>
          <w:bCs/>
        </w:rPr>
        <w:t xml:space="preserve">Supplementary Fig. 3:</w:t>
      </w:r>
      <w:r>
        <w:t xml:space="preserve"> </w:t>
      </w:r>
      <w:r>
        <w:t xml:space="preserve">Sensitivity of Syn2b junction counts and raw</w:t>
      </w:r>
      <w:r>
        <w:t xml:space="preserve"> </w:t>
      </w:r>
      <w:r>
        <w:t xml:space="preserve">inverted fraction to SV size. Controlled</w:t>
      </w:r>
      <w:r>
        <w:t xml:space="preserve"> </w:t>
      </w:r>
      <w:r>
        <w:rPr>
          <w:i/>
          <w:iCs/>
        </w:rPr>
        <w:t xml:space="preserve">E. coli</w:t>
      </w:r>
      <w:r>
        <w:t xml:space="preserve"> </w:t>
      </w:r>
      <w:r>
        <w:t xml:space="preserve">K-12 variants carrying a</w:t>
      </w:r>
      <w:r>
        <w:t xml:space="preserve"> </w:t>
      </w:r>
      <w:r>
        <w:t xml:space="preserve">single inversion, insertion, deletion, or translocation on a 1% SNP</w:t>
      </w:r>
      <w:r>
        <w:t xml:space="preserve"> </w:t>
      </w:r>
      <w:r>
        <w:t xml:space="preserve">background were analysed with the four-enzyme panel. Inversions yield two</w:t>
      </w:r>
      <w:r>
        <w:t xml:space="preserve"> </w:t>
      </w:r>
      <w:r>
        <w:t xml:space="preserve">junctions irrespective of size, while the inverted fraction increases with</w:t>
      </w:r>
      <w:r>
        <w:t xml:space="preserve"> </w:t>
      </w:r>
      <w:r>
        <w:t xml:space="preserve">inverted segment length. Insertions and deletions produce zero junctions</w:t>
      </w:r>
      <w:r>
        <w:t xml:space="preserve"> </w:t>
      </w:r>
      <w:r>
        <w:t xml:space="preserve">unless a landmark straddles the breakpoint; translocation of a 500-kb segment</w:t>
      </w:r>
      <w:r>
        <w:t xml:space="preserve"> </w:t>
      </w:r>
      <w:r>
        <w:t xml:space="preserve">yields three junctions</w:t>
      </w:r>
      <w:r>
        <w:t xml:space="preserve"> </w:t>
      </w:r>
      <w:r>
        <w:t xml:space="preserve">(</w:t>
      </w:r>
      <w:r>
        <w:rPr>
          <w:rStyle w:val="VerbatimChar"/>
        </w:rPr>
        <w:t xml:space="preserve">figures/supplementary/fig3_sv_size_sensitivity.pdf</w:t>
      </w:r>
      <w:r>
        <w:t xml:space="preserve">).</w:t>
      </w:r>
    </w:p>
    <w:p>
      <w:pPr>
        <w:pStyle w:val="Compact"/>
        <w:numPr>
          <w:ilvl w:val="0"/>
          <w:numId w:val="1004"/>
        </w:numPr>
      </w:pPr>
      <w:r>
        <w:rPr>
          <w:b/>
          <w:bCs/>
        </w:rPr>
        <w:t xml:space="preserve">Supplementary Fig. 4:</w:t>
      </w:r>
      <w:r>
        <w:t xml:space="preserve"> </w:t>
      </w:r>
      <w:r>
        <w:t xml:space="preserve">Inversion detection-size resolution. Fraction of</w:t>
      </w:r>
      <w:r>
        <w:t xml:space="preserve"> </w:t>
      </w:r>
      <w:r>
        <w:t xml:space="preserve">replicates (10 random positions per size) in which both junctions of an</w:t>
      </w:r>
      <w:r>
        <w:t xml:space="preserve"> </w:t>
      </w:r>
      <w:r>
        <w:t xml:space="preserve">inverted segment are recovered, for the production four-enzyme panel and for</w:t>
      </w:r>
      <w:r>
        <w:t xml:space="preserve"> </w:t>
      </w:r>
      <w:r>
        <w:t xml:space="preserve">BcgI alone, on</w:t>
      </w:r>
      <w:r>
        <w:t xml:space="preserve"> </w:t>
      </w:r>
      <w:r>
        <w:rPr>
          <w:i/>
          <w:iCs/>
        </w:rPr>
        <w:t xml:space="preserve">E. coli</w:t>
      </w:r>
      <w:r>
        <w:t xml:space="preserve"> </w:t>
      </w:r>
      <w:r>
        <w:t xml:space="preserve">K-12 with a 1% SNP background. The panel recovers</w:t>
      </w:r>
      <w:r>
        <w:t xml:space="preserve"> </w:t>
      </w:r>
      <w:r>
        <w:t xml:space="preserve">4-kb inversions in 10/10 replicates; BcgI alone requires ~8 kb for comparable</w:t>
      </w:r>
      <w:r>
        <w:t xml:space="preserve"> </w:t>
      </w:r>
      <w:r>
        <w:t xml:space="preserve">detection (</w:t>
      </w:r>
      <w:r>
        <w:rPr>
          <w:rStyle w:val="VerbatimChar"/>
        </w:rPr>
        <w:t xml:space="preserve">figures/supplementary/fig4_detection_size.pdf</w:t>
      </w:r>
      <w:r>
        <w:t xml:space="preserve">).</w:t>
      </w:r>
    </w:p>
    <w:p>
      <w:pPr>
        <w:pStyle w:val="Compact"/>
        <w:numPr>
          <w:ilvl w:val="0"/>
          <w:numId w:val="1004"/>
        </w:numPr>
      </w:pPr>
      <w:r>
        <w:rPr>
          <w:b/>
          <w:bCs/>
        </w:rPr>
        <w:t xml:space="preserve">Supplementary Fig. 5:</w:t>
      </w:r>
      <w:r>
        <w:t xml:space="preserve"> </w:t>
      </w:r>
      <w:r>
        <w:t xml:space="preserve">Known-biology calibration of the junction</w:t>
      </w:r>
      <w:r>
        <w:t xml:space="preserve"> </w:t>
      </w:r>
      <w:r>
        <w:t xml:space="preserve">channel on complete genomes. (a) skani ANI versus Syn2b junction count for</w:t>
      </w:r>
      <w:r>
        <w:t xml:space="preserve"> </w:t>
      </w:r>
      <w:r>
        <w:t xml:space="preserve">within-collection pairs of</w:t>
      </w:r>
      <w:r>
        <w:t xml:space="preserve"> </w:t>
      </w:r>
      <w:r>
        <w:rPr>
          <w:i/>
          <w:iCs/>
        </w:rPr>
        <w:t xml:space="preserve">M. tuberculosis</w:t>
      </w:r>
      <w:r>
        <w:t xml:space="preserve">,</w:t>
      </w:r>
      <w:r>
        <w:t xml:space="preserve"> </w:t>
      </w:r>
      <w:r>
        <w:rPr>
          <w:i/>
          <w:iCs/>
        </w:rPr>
        <w:t xml:space="preserve">E. coli</w:t>
      </w:r>
      <w:r>
        <w:t xml:space="preserve">,</w:t>
      </w:r>
      <w:r>
        <w:t xml:space="preserve"> </w:t>
      </w:r>
      <w:r>
        <w:rPr>
          <w:i/>
          <w:iCs/>
        </w:rPr>
        <w:t xml:space="preserve">S.</w:t>
      </w:r>
      <w:r>
        <w:t xml:space="preserve"> </w:t>
      </w:r>
      <w:r>
        <w:t xml:space="preserve">Typhimurium,</w:t>
      </w:r>
      <w:r>
        <w:t xml:space="preserve"> </w:t>
      </w:r>
      <w:r>
        <w:rPr>
          <w:i/>
          <w:iCs/>
        </w:rPr>
        <w:t xml:space="preserve">S. sonnei</w:t>
      </w:r>
      <w:r>
        <w:t xml:space="preserve"> </w:t>
      </w:r>
      <w:r>
        <w:t xml:space="preserve">and</w:t>
      </w:r>
      <w:r>
        <w:t xml:space="preserve"> </w:t>
      </w:r>
      <w:r>
        <w:rPr>
          <w:i/>
          <w:iCs/>
        </w:rPr>
        <w:t xml:space="preserve">S. flexneri</w:t>
      </w:r>
      <w:r>
        <w:t xml:space="preserve"> </w:t>
      </w:r>
      <w:r>
        <w:t xml:space="preserve">complete assemblies (n = 975 pairs). (b)</w:t>
      </w:r>
      <w:r>
        <w:t xml:space="preserve"> </w:t>
      </w:r>
      <w:r>
        <w:t xml:space="preserve">Junction-count distributions by collection: the conserved</w:t>
      </w:r>
      <w:r>
        <w:t xml:space="preserve"> </w:t>
      </w:r>
      <w:r>
        <w:rPr>
          <w:i/>
          <w:iCs/>
        </w:rPr>
        <w:t xml:space="preserve">M. tuberculosis</w:t>
      </w:r>
      <w:r>
        <w:t xml:space="preserve"> </w:t>
      </w:r>
      <w:r>
        <w:t xml:space="preserve">control sits at a median of 0 junctions at 99.92% median ANI, while 84–88%</w:t>
      </w:r>
      <w:r>
        <w:t xml:space="preserve"> </w:t>
      </w:r>
      <w:r>
        <w:t xml:space="preserve">of ≥99%-ANI</w:t>
      </w:r>
      <w:r>
        <w:t xml:space="preserve"> </w:t>
      </w:r>
      <w:r>
        <w:rPr>
          <w:i/>
          <w:iCs/>
        </w:rPr>
        <w:t xml:space="preserve">Shigella</w:t>
      </w:r>
      <w:r>
        <w:t xml:space="preserve"> </w:t>
      </w:r>
      <w:r>
        <w:t xml:space="preserve">pairs carry ≥2 junctions</w:t>
      </w:r>
      <w:r>
        <w:t xml:space="preserve"> </w:t>
      </w:r>
      <w:r>
        <w:t xml:space="preserve">(</w:t>
      </w:r>
      <w:r>
        <w:rPr>
          <w:rStyle w:val="VerbatimChar"/>
        </w:rPr>
        <w:t xml:space="preserve">figures/supplementary/fig5_known_biology.pdf</w:t>
      </w:r>
      <w:r>
        <w:t xml:space="preserve">).</w:t>
      </w:r>
    </w:p>
    <w:p>
      <w:pPr>
        <w:pStyle w:val="Compact"/>
        <w:numPr>
          <w:ilvl w:val="0"/>
          <w:numId w:val="1004"/>
        </w:numPr>
      </w:pPr>
      <w:r>
        <w:rPr>
          <w:b/>
          <w:bCs/>
        </w:rPr>
        <w:t xml:space="preserve">Supplementary Fig. 6:</w:t>
      </w:r>
      <w:r>
        <w:t xml:space="preserve"> </w:t>
      </w:r>
      <w:r>
        <w:t xml:space="preserve">Application-scale structural censuses.</w:t>
      </w:r>
    </w:p>
    <w:p>
      <w:pPr>
        <w:pStyle w:val="Compact"/>
        <w:numPr>
          <w:ilvl w:val="1"/>
          <w:numId w:val="1006"/>
        </w:numPr>
      </w:pPr>
      <w:r>
        <w:t xml:space="preserve">Distribution of species-level prevalence of ≥2 landmark-defined</w:t>
      </w:r>
      <w:r>
        <w:t xml:space="preserve"> </w:t>
      </w:r>
      <w:r>
        <w:t xml:space="preserve">breakpoints across 383 GTDB-R207 clusters with ≥1,000 effective pairs.</w:t>
      </w:r>
    </w:p>
    <w:p>
      <w:pPr>
        <w:pStyle w:val="Compact"/>
        <w:numPr>
          <w:ilvl w:val="1"/>
          <w:numId w:val="1006"/>
        </w:numPr>
      </w:pPr>
      <w:r>
        <w:t xml:space="preserve">Distribution across 367 HROM clusters with ≥1,000 pairs.</w:t>
      </w:r>
    </w:p>
    <w:p>
      <w:pPr>
        <w:pStyle w:val="Compact"/>
        <w:numPr>
          <w:ilvl w:val="1"/>
          <w:numId w:val="1006"/>
        </w:numPr>
      </w:pPr>
      <w:r>
        <w:t xml:space="preserve">HROM prevalence by skani ANI bin. The GTDB and HROM censuses show wide</w:t>
      </w:r>
      <w:r>
        <w:t xml:space="preserve"> </w:t>
      </w:r>
      <w:r>
        <w:t xml:space="preserve">taxon-specific variation but differ in overall prevalence because of different</w:t>
      </w:r>
      <w:r>
        <w:t xml:space="preserve"> </w:t>
      </w:r>
      <w:r>
        <w:t xml:space="preserve">catalogues, assemblies, clustering, and quality structure</w:t>
      </w:r>
      <w:r>
        <w:t xml:space="preserve"> </w:t>
      </w:r>
      <w:r>
        <w:t xml:space="preserve">(</w:t>
      </w:r>
      <w:r>
        <w:rPr>
          <w:rStyle w:val="VerbatimChar"/>
        </w:rPr>
        <w:t xml:space="preserve">figures/supplementary/fig6_structural_censuses.pdf</w:t>
      </w:r>
      <w:r>
        <w:t xml:space="preserve">).</w:t>
      </w:r>
    </w:p>
    <w:p>
      <w:r>
        <w:pict>
          <v:rect style="width:0;height:1.5pt" o:hralign="center" o:hrstd="t" o:hr="t"/>
        </w:pict>
      </w:r>
    </w:p>
    <w:bookmarkEnd w:id="28"/>
    <w:bookmarkEnd w:id="29"/>
    <w:bookmarkStart w:id="30" w:name="author-contributions"/>
    <w:p>
      <w:pPr>
        <w:pStyle w:val="Heading2"/>
      </w:pPr>
      <w:r>
        <w:t xml:space="preserve">Author contributions</w:t>
      </w:r>
    </w:p>
    <w:p>
      <w:pPr>
        <w:pStyle w:val="FirstParagraph"/>
      </w:pPr>
      <w:r>
        <w:t xml:space="preserve">S.H. conceptualized the study, developed and implemented Syn2b, designed the</w:t>
      </w:r>
      <w:r>
        <w:t xml:space="preserve"> </w:t>
      </w:r>
      <w:r>
        <w:t xml:space="preserve">validation analyses and wrote the original draft. Y.Z. developed benchmarks,</w:t>
      </w:r>
      <w:r>
        <w:t xml:space="preserve"> </w:t>
      </w:r>
      <w:r>
        <w:t xml:space="preserve">curated validation datasets, performed analyses and edited the manuscript. Both</w:t>
      </w:r>
      <w:r>
        <w:t xml:space="preserve"> </w:t>
      </w:r>
      <w:r>
        <w:t xml:space="preserve">authors read and approved the final manuscript.</w:t>
      </w:r>
    </w:p>
    <w:bookmarkEnd w:id="30"/>
    <w:bookmarkStart w:id="31" w:name="competing-interests"/>
    <w:p>
      <w:pPr>
        <w:pStyle w:val="Heading2"/>
      </w:pPr>
      <w:r>
        <w:t xml:space="preserve">Competing interests</w:t>
      </w:r>
    </w:p>
    <w:p>
      <w:pPr>
        <w:pStyle w:val="FirstParagraph"/>
      </w:pPr>
      <w:r>
        <w:t xml:space="preserve">The authors declare no competing interests.</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2026-10-27T10:47:24Z</dcterms:created>
  <dcterms:modified xsi:type="dcterms:W3CDTF">2026-10-27T10:47:24Z</dcterms:modified>
</cp:coreProperties>
</file>

<file path=docProps/custom.xml><?xml version="1.0" encoding="utf-8"?>
<Properties xmlns="http://schemas.openxmlformats.org/officeDocument/2006/custom-properties" xmlns:vt="http://schemas.openxmlformats.org/officeDocument/2006/docPropsVTypes"/>
</file>