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yn2b-supplementary-information"/>
    <w:p>
      <w:pPr>
        <w:pStyle w:val="Heading1"/>
      </w:pPr>
      <w:r>
        <w:t xml:space="preserve">Syn2b: Supplementary Information</w:t>
      </w:r>
    </w:p>
    <w:bookmarkStart w:id="9" w:name="supplementary-notes"/>
    <w:p>
      <w:pPr>
        <w:pStyle w:val="Heading3"/>
      </w:pPr>
      <w:r>
        <w:t xml:space="preserve">Supplementary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Note 1:</w:t>
      </w:r>
      <w:r>
        <w:t xml:space="preserve"> </w:t>
      </w:r>
      <w:r>
        <w:t xml:space="preserve">Mathematical derivation of the fragmentation principle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supplementary/Supplementary_Note_1.md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Note 2:</w:t>
      </w:r>
      <w:r>
        <w:t xml:space="preserve"> </w:t>
      </w:r>
      <w:r>
        <w:t xml:space="preserve">Error model and per-pair standard errors for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supplementary/Supplementary_Note_2.md</w:t>
      </w:r>
      <w:r>
        <w:t xml:space="preserve">).</w:t>
      </w:r>
    </w:p>
    <w:bookmarkEnd w:id="9"/>
    <w:bookmarkStart w:id="10" w:name="supplementary-tables"/>
    <w:p>
      <w:pPr>
        <w:pStyle w:val="Heading3"/>
      </w:pPr>
      <w:r>
        <w:t xml:space="preserve">Supplementary 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1:</w:t>
      </w:r>
      <w:r>
        <w:t xml:space="preserve"> </w:t>
      </w:r>
      <w:r>
        <w:t xml:space="preserve">GTDB-R207 per-pair structural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results/gtdb50k/inverted_fraction_truth_four.tsv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2:</w:t>
      </w:r>
      <w:r>
        <w:t xml:space="preserve"> </w:t>
      </w:r>
      <w:r>
        <w:t xml:space="preserve">Runtime scaling of Syn2b structural comparison,</w:t>
      </w:r>
      <w:r>
        <w:t xml:space="preserve"> </w:t>
      </w:r>
      <w:r>
        <w:t xml:space="preserve">skani, dnadiff, skani+dnadiff, and SynTracker across panel sizes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supplementary/Supplementary_Table_2.tsv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3:</w:t>
      </w:r>
      <w:r>
        <w:t xml:space="preserve"> </w:t>
      </w:r>
      <w:r>
        <w:t xml:space="preserve">Parameters for the controlled SV simulations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supplementary/Supplementary_Table_3.tsv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4:</w:t>
      </w:r>
      <w:r>
        <w:t xml:space="preserve"> </w:t>
      </w:r>
      <w:r>
        <w:t xml:space="preserve">Head-to-head runtime on the 22-genome panel</w:t>
      </w:r>
      <w:r>
        <w:t xml:space="preserve"> </w:t>
      </w:r>
      <w:r>
        <w:t xml:space="preserve">(231 unique pairs) (</w:t>
      </w:r>
      <w:r>
        <w:rPr>
          <w:rStyle w:val="VerbatimChar"/>
        </w:rPr>
        <w:t xml:space="preserve">supplementary/Supplementary_Table_4.tsv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5:</w:t>
      </w:r>
      <w:r>
        <w:t xml:space="preserve"> </w:t>
      </w:r>
      <w:r>
        <w:t xml:space="preserve">Within-host versus between-host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structural divergence: permutation test statistics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supplementary/Supplementary_Table_5.tsv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6:</w:t>
      </w:r>
      <w:r>
        <w:t xml:space="preserve"> </w:t>
      </w:r>
      <w:r>
        <w:t xml:space="preserve">ANI–rearrangement discordance across GTDB-R207:</w:t>
      </w:r>
      <w:r>
        <w:t xml:space="preserve"> </w:t>
      </w:r>
      <w:r>
        <w:t xml:space="preserve">inversion-event rates per ANIm band, top discordant pairs with taxonomy,</w:t>
      </w:r>
      <w:r>
        <w:t xml:space="preserve"> </w:t>
      </w:r>
      <w:r>
        <w:t xml:space="preserve">Syn2b flagging performance, flagging-feature comparison, and prevalence</w:t>
      </w:r>
      <w:r>
        <w:t xml:space="preserve"> </w:t>
      </w:r>
      <w:r>
        <w:t xml:space="preserve">bootstrap CIs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results/discordance/discordance_by_band.tsv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results/discordance/discordant_pairs_top.tsv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results/discordance/syn2b_flagging.tsv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results/discordance/flagging_features.tsv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results/discordance/prevalence_ci.tsv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7:</w:t>
      </w:r>
      <w:r>
        <w:t xml:space="preserve"> </w:t>
      </w:r>
      <w:r>
        <w:t xml:space="preserve">Tag densities for the production Type IIB enzyme</w:t>
      </w:r>
      <w:r>
        <w:t xml:space="preserve"> </w:t>
      </w:r>
      <w:r>
        <w:t xml:space="preserve">panel in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supplementary/Supplementary_Table_7_enzyme_tag_densities.tsv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8:</w:t>
      </w:r>
      <w:r>
        <w:t xml:space="preserve"> </w:t>
      </w:r>
      <w:r>
        <w:t xml:space="preserve">SV detection metrics across enzyme arms and</w:t>
      </w:r>
      <w:r>
        <w:t xml:space="preserve"> </w:t>
      </w:r>
      <w:r>
        <w:t xml:space="preserve">controlled SV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supplementary/Supplementary_Table_8_sv_detection_metrics.tsv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9:</w:t>
      </w:r>
      <w:r>
        <w:t xml:space="preserve"> </w:t>
      </w:r>
      <w:r>
        <w:t xml:space="preserve">Runtime scaling of Syn2b structural comparison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supplementary/Supplementary_Table_9_runtime_scaling.tsv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10:</w:t>
      </w:r>
      <w:r>
        <w:t xml:space="preserve"> </w:t>
      </w:r>
      <w:r>
        <w:t xml:space="preserve">GTDB-R207 validation of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by ANIm band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supplementary/Supplementary_Table_10_gtdb_validation_by_anim.tsv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Supplementary Table 11:</w:t>
      </w:r>
      <w:r>
        <w:t xml:space="preserve"> </w:t>
      </w:r>
      <w:r>
        <w:t xml:space="preserve">GTDB-R207 validation by predicted-ANI band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supplementary/Supplementary_Table_11_gtdb_validation_by_predicted_ani.tsv</w:t>
      </w:r>
      <w:r>
        <w:t xml:space="preserve">).</w:t>
      </w:r>
    </w:p>
    <w:bookmarkEnd w:id="10"/>
    <w:bookmarkStart w:id="11" w:name="supplementary-figures"/>
    <w:p>
      <w:pPr>
        <w:pStyle w:val="Heading3"/>
      </w:pPr>
      <w:r>
        <w:t xml:space="preserve">Supplementary Figures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1:</w:t>
      </w:r>
      <w:r>
        <w:t xml:space="preserve"> </w:t>
      </w:r>
      <w:r>
        <w:t xml:space="preserve">Inter-tag distance distribution for the</w:t>
      </w:r>
      <w:r>
        <w:t xml:space="preserve"> </w:t>
      </w:r>
      <w:r>
        <w:t xml:space="preserve">production four-enzyme panel in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K-12. Distances were extracted</w:t>
      </w:r>
      <w:r>
        <w:t xml:space="preserve"> </w:t>
      </w:r>
      <w:r>
        <w:t xml:space="preserve">from the TGT output of</w:t>
      </w:r>
      <w:r>
        <w:t xml:space="preserve"> </w:t>
      </w:r>
      <w:r>
        <w:rPr>
          <w:rStyle w:val="VerbatimChar"/>
        </w:rPr>
        <w:t xml:space="preserve">syn2b digest</w:t>
      </w:r>
      <w:r>
        <w:t xml:space="preserve"> </w:t>
      </w:r>
      <w:r>
        <w:t xml:space="preserve">as recorded between consecutive tags</w:t>
      </w:r>
      <w:r>
        <w:t xml:space="preserve"> </w:t>
      </w:r>
      <w:r>
        <w:t xml:space="preserve">in the TGT path (n = 6,215 recorded intervals; median 1,533 bp, mean 2,980</w:t>
      </w:r>
      <w:r>
        <w:t xml:space="preserve"> </w:t>
      </w:r>
      <w:r>
        <w:t xml:space="preserve">bp). Because the TGT path links the two tags flanking each cut site, the</w:t>
      </w:r>
      <w:r>
        <w:t xml:space="preserve"> </w:t>
      </w:r>
      <w:r>
        <w:t xml:space="preserve">recorded intervals are not a partition of the genome and overestimate the</w:t>
      </w:r>
      <w:r>
        <w:t xml:space="preserve"> </w:t>
      </w:r>
      <w:r>
        <w:t xml:space="preserve">average landmark spacing (genome length / 6,216 tags ≈ 747 bp)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figures/supplementary/fig1_tag_spacing.pdf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2:</w:t>
      </w:r>
      <w:r>
        <w:t xml:space="preserve"> </w:t>
      </w:r>
      <w:r>
        <w:t xml:space="preserve">Closed-genome inversion validation on 100</w:t>
      </w:r>
      <w:r>
        <w:t xml:space="preserve"> </w:t>
      </w:r>
      <w:r>
        <w:t xml:space="preserve">complete-genome pairs selected for high expected structural divergence.</w:t>
      </w:r>
    </w:p>
    <w:p>
      <w:pPr>
        <w:pStyle w:val="Compact"/>
        <w:numPr>
          <w:ilvl w:val="1"/>
          <w:numId w:val="1004"/>
        </w:numPr>
      </w:pPr>
      <w:r>
        <w:t xml:space="preserve">Number of junctions reported by Syn2b versus dnadiff. (b) Fraction of</w:t>
      </w:r>
      <w:r>
        <w:t xml:space="preserve"> </w:t>
      </w:r>
      <w:r>
        <w:t xml:space="preserve">dnadiff junctions that match a Syn2b junction. (c) Median distance between</w:t>
      </w:r>
      <w:r>
        <w:t xml:space="preserve"> </w:t>
      </w:r>
      <w:r>
        <w:t xml:space="preserve">matched Syn2b and dnadiff junction positions. The low recovery and coarse</w:t>
      </w:r>
      <w:r>
        <w:t xml:space="preserve"> </w:t>
      </w:r>
      <w:r>
        <w:t xml:space="preserve">position resolution reflect that many dnadiff inversions fall in regions</w:t>
      </w:r>
      <w:r>
        <w:t xml:space="preserve"> </w:t>
      </w:r>
      <w:r>
        <w:t xml:space="preserve">without a nearby restriction-enzyme landmark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figures/supplementary/fig2_closed_genome_validation.pdf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3:</w:t>
      </w:r>
      <w:r>
        <w:t xml:space="preserve"> </w:t>
      </w:r>
      <w:r>
        <w:t xml:space="preserve">Sensitivity of Syn2b junction counts and raw</w:t>
      </w:r>
      <w:r>
        <w:t xml:space="preserve"> </w:t>
      </w:r>
      <w:r>
        <w:t xml:space="preserve">inverted fraction to SV size. Controlled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variants carrying a</w:t>
      </w:r>
      <w:r>
        <w:t xml:space="preserve"> </w:t>
      </w:r>
      <w:r>
        <w:t xml:space="preserve">single inversion, insertion, deletion, or translocation on a 1% SNP</w:t>
      </w:r>
      <w:r>
        <w:t xml:space="preserve"> </w:t>
      </w:r>
      <w:r>
        <w:t xml:space="preserve">background were analysed with the four-enzyme panel. Inversions yield two</w:t>
      </w:r>
      <w:r>
        <w:t xml:space="preserve"> </w:t>
      </w:r>
      <w:r>
        <w:t xml:space="preserve">junctions irrespective of size, while the inverted fraction increases with</w:t>
      </w:r>
      <w:r>
        <w:t xml:space="preserve"> </w:t>
      </w:r>
      <w:r>
        <w:t xml:space="preserve">inverted segment length. Insertions and deletions produce zero junctions</w:t>
      </w:r>
      <w:r>
        <w:t xml:space="preserve"> </w:t>
      </w:r>
      <w:r>
        <w:t xml:space="preserve">unless a landmark straddles the breakpoint; translocation of a 500-kb segment</w:t>
      </w:r>
      <w:r>
        <w:t xml:space="preserve"> </w:t>
      </w:r>
      <w:r>
        <w:t xml:space="preserve">yields three junctions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figures/supplementary/fig3_sv_size_sensitivity.pdf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4:</w:t>
      </w:r>
      <w:r>
        <w:t xml:space="preserve"> </w:t>
      </w:r>
      <w:r>
        <w:t xml:space="preserve">Inversion detection-size resolution. Fraction of</w:t>
      </w:r>
      <w:r>
        <w:t xml:space="preserve"> </w:t>
      </w:r>
      <w:r>
        <w:t xml:space="preserve">replicates (10 random positions per size) in which both junctions of an</w:t>
      </w:r>
      <w:r>
        <w:t xml:space="preserve"> </w:t>
      </w:r>
      <w:r>
        <w:t xml:space="preserve">inverted segment are recovered, for the production four-enzyme panel and for</w:t>
      </w:r>
      <w:r>
        <w:t xml:space="preserve"> </w:t>
      </w:r>
      <w:r>
        <w:t xml:space="preserve">BcgI alone,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with a 1% SNP background. The panel recovers</w:t>
      </w:r>
      <w:r>
        <w:t xml:space="preserve"> </w:t>
      </w:r>
      <w:r>
        <w:t xml:space="preserve">4-kb inversions in 10/10 replicates; BcgI alone requires ~8 kb for comparable</w:t>
      </w:r>
      <w:r>
        <w:t xml:space="preserve"> </w:t>
      </w:r>
      <w:r>
        <w:t xml:space="preserve">detection (</w:t>
      </w:r>
      <w:r>
        <w:rPr>
          <w:rStyle w:val="VerbatimChar"/>
        </w:rPr>
        <w:t xml:space="preserve">figures/supplementary/fig4_detection_size.pdf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5:</w:t>
      </w:r>
      <w:r>
        <w:t xml:space="preserve"> </w:t>
      </w:r>
      <w:r>
        <w:t xml:space="preserve">Known-biology calibration of the junction</w:t>
      </w:r>
      <w:r>
        <w:t xml:space="preserve"> </w:t>
      </w:r>
      <w:r>
        <w:t xml:space="preserve">channel on complete genomes. (a) skani ANI versus Syn2b junction count for</w:t>
      </w:r>
      <w:r>
        <w:t xml:space="preserve"> </w:t>
      </w:r>
      <w:r>
        <w:t xml:space="preserve">within-collection pairs of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,</w:t>
      </w:r>
      <w:r>
        <w:t xml:space="preserve"> </w:t>
      </w:r>
      <w:r>
        <w:rPr>
          <w:i/>
          <w:iCs/>
        </w:rPr>
        <w:t xml:space="preserve">E. coli</w:t>
      </w:r>
      <w:r>
        <w:t xml:space="preserve">,</w:t>
      </w:r>
      <w:r>
        <w:t xml:space="preserve"> </w:t>
      </w:r>
      <w:r>
        <w:rPr>
          <w:i/>
          <w:iCs/>
        </w:rPr>
        <w:t xml:space="preserve">S.</w:t>
      </w:r>
      <w:r>
        <w:t xml:space="preserve"> </w:t>
      </w:r>
      <w:r>
        <w:t xml:space="preserve">Typhimurium,</w:t>
      </w:r>
      <w:r>
        <w:t xml:space="preserve"> </w:t>
      </w:r>
      <w:r>
        <w:rPr>
          <w:i/>
          <w:iCs/>
        </w:rPr>
        <w:t xml:space="preserve">S. sonnei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S. flexneri</w:t>
      </w:r>
      <w:r>
        <w:t xml:space="preserve"> </w:t>
      </w:r>
      <w:r>
        <w:t xml:space="preserve">complete assemblies (n = 975 pairs). (b)</w:t>
      </w:r>
      <w:r>
        <w:t xml:space="preserve"> </w:t>
      </w:r>
      <w:r>
        <w:t xml:space="preserve">Junction-count distributions by collection: the conserved</w:t>
      </w:r>
      <w:r>
        <w:t xml:space="preserve"> </w:t>
      </w:r>
      <w:r>
        <w:rPr>
          <w:i/>
          <w:iCs/>
        </w:rPr>
        <w:t xml:space="preserve">M. tuberculosis</w:t>
      </w:r>
      <w:r>
        <w:t xml:space="preserve"> </w:t>
      </w:r>
      <w:r>
        <w:t xml:space="preserve">control sits at a median of 0 junctions at 99.92% median ANI, while 84–88%</w:t>
      </w:r>
      <w:r>
        <w:t xml:space="preserve"> </w:t>
      </w:r>
      <w:r>
        <w:t xml:space="preserve">of ≥99%-ANI</w:t>
      </w:r>
      <w:r>
        <w:t xml:space="preserve"> </w:t>
      </w:r>
      <w:r>
        <w:rPr>
          <w:i/>
          <w:iCs/>
        </w:rPr>
        <w:t xml:space="preserve">Shigella</w:t>
      </w:r>
      <w:r>
        <w:t xml:space="preserve"> </w:t>
      </w:r>
      <w:r>
        <w:t xml:space="preserve">pairs carry ≥2 junctions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figures/supplementary/fig5_known_biology.pdf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Fig. 6:</w:t>
      </w:r>
      <w:r>
        <w:t xml:space="preserve"> </w:t>
      </w:r>
      <w:r>
        <w:t xml:space="preserve">Application-scale structural censuses.</w:t>
      </w:r>
    </w:p>
    <w:p>
      <w:pPr>
        <w:pStyle w:val="Compact"/>
        <w:numPr>
          <w:ilvl w:val="1"/>
          <w:numId w:val="1005"/>
        </w:numPr>
      </w:pPr>
      <w:r>
        <w:t xml:space="preserve">Distribution of species-level prevalence of ≥2 landmark-defined</w:t>
      </w:r>
      <w:r>
        <w:t xml:space="preserve"> </w:t>
      </w:r>
      <w:r>
        <w:t xml:space="preserve">breakpoints across 383 GTDB-R207 clusters with ≥1,000 effective pairs.</w:t>
      </w:r>
    </w:p>
    <w:p>
      <w:pPr>
        <w:pStyle w:val="Compact"/>
        <w:numPr>
          <w:ilvl w:val="1"/>
          <w:numId w:val="1005"/>
        </w:numPr>
      </w:pPr>
      <w:r>
        <w:t xml:space="preserve">Distribution across 367 HROM clusters with ≥1,000 pairs.</w:t>
      </w:r>
    </w:p>
    <w:p>
      <w:pPr>
        <w:pStyle w:val="Compact"/>
        <w:numPr>
          <w:ilvl w:val="1"/>
          <w:numId w:val="1005"/>
        </w:numPr>
      </w:pPr>
      <w:r>
        <w:t xml:space="preserve">HROM prevalence by skani ANI bin. The GTDB and HROM censuses show wide</w:t>
      </w:r>
      <w:r>
        <w:t xml:space="preserve"> </w:t>
      </w:r>
      <w:r>
        <w:t xml:space="preserve">taxon-specific variation but differ in overall prevalence because of different</w:t>
      </w:r>
      <w:r>
        <w:t xml:space="preserve"> </w:t>
      </w:r>
      <w:r>
        <w:t xml:space="preserve">catalogues, assemblies, clustering, and quality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figures/supplementary/fig6_structural_censuses.pdf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2026-10-27T10:47:24Z</dcterms:created>
  <dcterms:modified xsi:type="dcterms:W3CDTF">2026-10-27T10:47:24Z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