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Enterobacteriaceae subsets of 2–22 genomes and on database-scale GTDB-R207 runs. For ANI-only all-vs-all comparison on 22 genomes (484 pairs), Syn2bANI takes 3.7 s from FASTA (2.8 s reusing sketches), against 17.7 s for FastANI and 0.15 s for skani (the latter reports only 302/484 pairs because of its minimum-AF filter and excludes sketching). Peak memory is 58 MB with sketch reuse versus 185 MB (skani) and 912 MB (FastANI). For one-to-all search, Syn2bANI scales sub-linearly with the number of references and remains faster than FastANI; skani is fastest for this use case. Because Syn2bANI reports both ANI and SV metrics in the same pass, a fair comparison with skani or FastANI requires adding an SV caller: skani + dnadiff takes ~1,843 s for the same 484 pairs, whereas Syn2bANI computes ANI plus SV in 7.6 s with sketch reuse — a &gt;240-fold speedup (Fig. 4–5).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call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The extended state remained strongly associated with FastBAPS lineage (χ² = 58.75, df = 12, p = 3.8 × 10⁻⁸), but the disease-stage association was attenuated and no longer significant after stratifying by lineage (Cochran–Mantel–Haenszel p = 0.24 for gastric-cancer vs non-atrophic-gastritis presence, p = 0.37 for rearrangement, p = 0.21 and p = 0.49 for the advanced vs early contrasts; Supplementary Table S4). Thus, the architecture–disease signal in this collection is largely driven by lineage structure, not by disease stage per se. The key biological result that survives stratification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hybrid (raw ≥98% / calibrated &lt;98%), skani, and FastANI. Raw and v6-calibrated Syn2bANI variants are shown in Supplementary Figs. S2–S3.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small Enterobacteriaceae subsets.</w:t>
      </w:r>
      <w:r>
        <w:t xml:space="preserve"> </w:t>
      </w:r>
      <w:r>
        <w:t xml:space="preserve">(a) All-vs-all ANI wall time versus number of pairs. (b) One-to-all ANI search wall time versus number of reference genomes. (c) Peak memory for all-vs-all comparison. (d) SV-inclusive workflow wall time, comparing dnadiff alone, skani followed by dnadiff, and Syn2bANI (struct alone or combined ANI+SV from FASTA or pre-built sketches). All timings are medians of three replicates on a Mac Studio (M4 Max, 16 cores) for panels a–c and on a 16-core HPC node for panel d.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 and are orders of magnitude faster than alignment-based SV calling.</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(ANIm ≥ 97%, r = 0.996, slope = 0.986).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(e) Wall time for SV-only or ANI+SV workflows at n = 22 genomes (484 pairs). (f) Speedup of Syn2bANI (ANI+SV, sketch workflow) over dnadiff across subset sizes.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the 20 most discordant pairs (orange) have ANI &gt; 99% yet carry 61–989 SV calls.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FastBAPS lineage is strongly associated with extended state (χ² = 58.75, df = 12, p = 3.8 × 10⁻⁸), but the disease-stage association is not significant after lineage stratification (CMH p ≥ 0.21).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S9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7e86bd043411c6fe0c1c3c5c9e527294f463d34"/>
    <w:p>
      <w:pPr>
        <w:pStyle w:val="Heading2"/>
      </w:pPr>
      <w:r>
        <w:rPr>
          <w:b/>
          <w:bCs/>
        </w:rPr>
        <w:t xml:space="preserve">Supplementary Figure S10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2026-09-05T04:52:49Z</dcterms:created>
  <dcterms:modified xsi:type="dcterms:W3CDTF">2026-09-05T04:52:49Z</dcterms:modified>
</cp:coreProperties>
</file>

<file path=docProps/custom.xml><?xml version="1.0" encoding="utf-8"?>
<Properties xmlns="http://schemas.openxmlformats.org/officeDocument/2006/custom-properties" xmlns:vt="http://schemas.openxmlformats.org/officeDocument/2006/docPropsVTypes"/>
</file>