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0"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We quantified this on four published isolate collections from a recent synteny-based strain-tracking study10.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68–103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8"/>
    <w:bookmarkStart w:id="19"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that is stated openly.</w:t>
      </w:r>
    </w:p>
    <w:p>
      <w:r>
        <w:pict>
          <v:rect style="width:0;height:1.5pt" o:hralign="center" o:hrstd="t" o:hr="t"/>
        </w:pict>
      </w:r>
    </w:p>
    <w:bookmarkEnd w:id="19"/>
    <w:bookmarkEnd w:id="20"/>
    <w:bookmarkStart w:id="21"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and the synteny score and SV calls provide a second, biologically interpretable axis of comparison. Unlike dedicated structural tools such as minigraph-Cactus19, SyRI20, or Mauve21, Syn2bANI does not aim to reconstruct full genome graphs or base-level alignments; instead it reports breakpoint counts, inversion/translocation calls, and a synteny score directly from the anchor chains used for ANI estimation, at no additional modeling cost.</w:t>
      </w:r>
    </w:p>
    <w:p>
      <w:r>
        <w:pict>
          <v:rect style="width:0;height:1.5pt" o:hralign="center" o:hrstd="t" o:hr="t"/>
        </w:pict>
      </w:r>
    </w:p>
    <w:bookmarkEnd w:id="21"/>
    <w:bookmarkStart w:id="33" w:name="online-methods"/>
    <w:p>
      <w:pPr>
        <w:pStyle w:val="Heading2"/>
      </w:pPr>
      <w:r>
        <w:t xml:space="preserve">Online Methods</w:t>
      </w:r>
    </w:p>
    <w:bookmarkStart w:id="22"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2"/>
    <w:bookmarkStart w:id="23"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3"/>
    <w:bookmarkStart w:id="24"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on all 15 mid-ANI pairs (gamma MAE 4.48 → uniform fallback MAE 1.42),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4"/>
    <w:bookmarkStart w:id="25"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5"/>
    <w:bookmarkStart w:id="26"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6"/>
    <w:bookmarkStart w:id="27"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(scikit-learn29),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7"/>
    <w:bookmarkStart w:id="28"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28"/>
    <w:bookmarkStart w:id="29"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29"/>
    <w:bookmarkStart w:id="30"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0"/>
    <w:bookmarkStart w:id="31"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6;</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1"/>
    <w:bookmarkStart w:id="32"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2"/>
    <w:bookmarkEnd w:id="33"/>
    <w:bookmarkStart w:id="34"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4"/>
    <w:bookmarkStart w:id="35"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5"/>
    <w:bookmarkStart w:id="36" w:name="acknowledgements"/>
    <w:p>
      <w:pPr>
        <w:pStyle w:val="Heading2"/>
      </w:pPr>
      <w:r>
        <w:t xml:space="preserve">Acknowledgements</w:t>
      </w:r>
    </w:p>
    <w:p>
      <w:pPr>
        <w:pStyle w:val="FirstParagraph"/>
      </w:pPr>
      <w:r>
        <w:t xml:space="preserve">[To be determined.]</w:t>
      </w:r>
    </w:p>
    <w:bookmarkEnd w:id="36"/>
    <w:bookmarkStart w:id="37" w:name="author-contributions"/>
    <w:p>
      <w:pPr>
        <w:pStyle w:val="Heading2"/>
      </w:pPr>
      <w:r>
        <w:t xml:space="preserve">Author contributions</w:t>
      </w:r>
    </w:p>
    <w:p>
      <w:pPr>
        <w:pStyle w:val="FirstParagraph"/>
      </w:pPr>
      <w:r>
        <w:t xml:space="preserve">[To be determined — placeholder.]</w:t>
      </w:r>
    </w:p>
    <w:bookmarkEnd w:id="37"/>
    <w:bookmarkStart w:id="38" w:name="competing-interests"/>
    <w:p>
      <w:pPr>
        <w:pStyle w:val="Heading2"/>
      </w:pPr>
      <w:r>
        <w:t xml:space="preserve">Competing interests</w:t>
      </w:r>
    </w:p>
    <w:p>
      <w:pPr>
        <w:pStyle w:val="FirstParagraph"/>
      </w:pPr>
      <w:r>
        <w:t xml:space="preserve">[To be determined — placeholder: The authors declare no competing interests.]</w:t>
      </w:r>
    </w:p>
    <w:bookmarkEnd w:id="38"/>
    <w:bookmarkStart w:id="39"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39"/>
    <w:bookmarkStart w:id="40"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bookmarkEnd w:id="40"/>
    <w:bookmarkStart w:id="41" w:name="X33c99bee21b4e9768cd81fd49e7b602cea202db"/>
    <w:p>
      <w:pPr>
        <w:pStyle w:val="Heading2"/>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1"/>
    <w:bookmarkStart w:id="42"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2;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S3</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 Fig. 5</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5</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2026-08-26T00:39:40Z</dcterms:created>
  <dcterms:modified xsi:type="dcterms:W3CDTF">2026-08-26T00:39:40Z</dcterms:modified>
</cp:coreProperties>
</file>

<file path=docProps/custom.xml><?xml version="1.0" encoding="utf-8"?>
<Properties xmlns="http://schemas.openxmlformats.org/officeDocument/2006/custom-properties" xmlns:vt="http://schemas.openxmlformats.org/officeDocument/2006/docPropsVTypes"/>
</file>