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 adjacency,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3"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three structurally informative quantities from the same anchor chains:</w:t>
      </w:r>
      <w:r>
        <w:t xml:space="preserve"> </w:t>
      </w:r>
      <w:r>
        <w:rPr>
          <w:rStyle w:val="VerbatimChar"/>
        </w:rPr>
        <w:t xml:space="preserve">breakpoint_count</w:t>
      </w:r>
      <w:r>
        <w:t xml:space="preserve">, the number of chain-disrupting orientation flips and large indels;</w:t>
      </w:r>
      <w:r>
        <w:t xml:space="preserve"> </w:t>
      </w:r>
      <w:r>
        <w:rPr>
          <w:rStyle w:val="VerbatimChar"/>
        </w:rPr>
        <w:t xml:space="preserve">anchor_adjacency</w:t>
      </w:r>
      <w:r>
        <w:t xml:space="preserve">, the fraction of chained-anchor adjacencies that remain collinear; and</w:t>
      </w:r>
      <w:r>
        <w:t xml:space="preserve"> </w:t>
      </w:r>
      <w:r>
        <w:rPr>
          <w:rStyle w:val="VerbatimChar"/>
        </w:rPr>
        <w:t xml:space="preserve">af_query</w:t>
      </w:r>
      <w:r>
        <w:t xml:space="preserve">, the base-pair fraction of the query covered by chains.</w:t>
      </w:r>
      <w:r>
        <w:t xml:space="preserve"> </w:t>
      </w:r>
      <w:r>
        <w:rPr>
          <w:rStyle w:val="VerbatimChar"/>
        </w:rPr>
        <w:t xml:space="preserve">breakpoint_count</w:t>
      </w:r>
      <w:r>
        <w:t xml:space="preserve"> </w:t>
      </w:r>
      <w:r>
        <w:t xml:space="preserve">is the primary rearrangement statistic;</w:t>
      </w:r>
      <w:r>
        <w:t xml:space="preserve"> </w:t>
      </w:r>
      <w:r>
        <w:rPr>
          <w:rStyle w:val="VerbatimChar"/>
        </w:rPr>
        <w:t xml:space="preserve">anchor_adjacency</w:t>
      </w:r>
      <w:r>
        <w:t xml:space="preserve"> </w:t>
      </w:r>
      <w:r>
        <w:t xml:space="preserve">is an anchor-adjacency conservation metric;</w:t>
      </w:r>
      <w:r>
        <w:t xml:space="preserve"> </w:t>
      </w:r>
      <w:r>
        <w:rPr>
          <w:rStyle w:val="VerbatimChar"/>
        </w:rPr>
        <w:t xml:space="preserve">af_query</w:t>
      </w:r>
      <w:r>
        <w:t xml:space="preserve"> </w:t>
      </w:r>
      <w:r>
        <w:t xml:space="preserve">is the coverage metric that corresponds to alignment-based aligned fraction.</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an anchor adjacency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lowest-anchor-adjacency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Two additional isolate collections reinforce the point at even higher ANI. In 74</w:t>
      </w:r>
      <w:r>
        <w:t xml:space="preserve"> </w:t>
      </w:r>
      <w:r>
        <w:rPr>
          <w:i/>
          <w:iCs/>
        </w:rPr>
        <w:t xml:space="preserve">E. coli</w:t>
      </w:r>
      <w:r>
        <w:t xml:space="preserve"> </w:t>
      </w:r>
      <w:r>
        <w:t xml:space="preserve">O157:H7 genomes from a global source surveillance study (Fitzgerald et al., 2021), all 2,701 pairwise ANIs are ≥99.886%, yet every pair carries ≥171 breakpoints and the most structurally divergent pairs exceed 1,100 breakpoints at ANI &gt;99.9% (Supplementary Fig. S15). The human-source isolates carry fewer breakpoints on average than bovine isolates (mean 410 vs 494), suggesting that host-restricted sub-lineages differ in recombination history even when ANI cannot separate them. In 122 FDA-ARGOS</w:t>
      </w:r>
      <w:r>
        <w:t xml:space="preserve"> </w:t>
      </w:r>
      <w:r>
        <w:rPr>
          <w:i/>
          <w:iCs/>
        </w:rPr>
        <w:t xml:space="preserve">Staphylococcus aureus</w:t>
      </w:r>
      <w:r>
        <w:t xml:space="preserve"> </w:t>
      </w:r>
      <w:r>
        <w:t xml:space="preserve">genomes, 7,381 refined pairs have mean ANI 98.72% and mean breakpoint count 24, with pairs at 100% ANI still showing &gt;150 breakpoints (Supplementary Fig. S16). These collections are not exceptional: they exemplify why an ANI-only similarity search can return genomes that are nearly identical in average sequence but differ by hundreds of rearrangements.</w:t>
      </w:r>
    </w:p>
    <w:p>
      <w:pPr>
        <w:pStyle w:val="BodyText"/>
      </w:pPr>
      <w:r>
        <w:t xml:space="preserve">The same pattern appears at database scale. Among 336 GTDB-R207 representative pairs with ANI ≥ 99.0% and aligned fraction ≥ 0.9 in both directions, 7.4% have an anchor adjacency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w:t>
      </w:r>
    </w:p>
    <w:p>
      <w:pPr>
        <w:pStyle w:val="BodyText"/>
      </w:pPr>
      <w:r>
        <w:t xml:space="preserve">A length-weighted orientation metric,</w:t>
      </w:r>
      <w:r>
        <w:t xml:space="preserve"> </w:t>
      </w:r>
      <w:r>
        <w:rPr>
          <w:rStyle w:val="VerbatimChar"/>
        </w:rPr>
        <w:t xml:space="preserve">inverted_fraction</w:t>
      </w:r>
      <w:r>
        <w:t xml:space="preserve">, avoids the fragmentation confounder by construction. In fixed-reference mode it agrees one-to-one with dnadiff across the held-out set (Pearson r = 0.936) and is near-exact in the strain range (r = 0.996, slope 1.006, intercept −0.004 for ANIm ≥ 97%; Supplementary Fig. S14). A closed-form standard-error model based on the number of shared landmarks reproduces the observed spread (R² = 0.999 across divergence bins), so each reported inversion fraction can carry its own uncertainty.</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d88170c4b874097551b82a98016fb92a8960384"/>
    <w:p>
      <w:pPr>
        <w:pStyle w:val="Heading3"/>
      </w:pPr>
      <w:r>
        <w:t xml:space="preserve">cagPAI architecture in</w:t>
      </w:r>
      <w:r>
        <w:t xml:space="preserve"> </w:t>
      </w:r>
      <w:r>
        <w:rPr>
          <w:i/>
          <w:iCs/>
        </w:rPr>
        <w:t xml:space="preserve">H. pylori</w:t>
      </w:r>
      <w:r>
        <w:t xml:space="preserve"> </w:t>
      </w:r>
      <w:r>
        <w:t xml:space="preserve">is invisible to ANI but associated with disease stage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only 12 (2.3%) retained a collinear complete island (</w:t>
      </w:r>
      <w:r>
        <w:rPr>
          <w:rStyle w:val="VerbatimChar"/>
        </w:rPr>
        <w:t xml:space="preserve">complete_collinear</w:t>
      </w:r>
      <w:r>
        <w:t xml:space="preserve">), and 420 (79.6%) retained the markers but carried a detectable inversion or translocation inside cagPAI (</w:t>
      </w:r>
      <w:r>
        <w:rPr>
          <w:rStyle w:val="VerbatimChar"/>
        </w:rPr>
        <w:t xml:space="preserve">complete_rearranged</w:t>
      </w:r>
      <w:r>
        <w:t xml:space="preserve">; Fig. 8a). The extended state was strongly associated with FastBAPS lineage (χ² = 58.68, df = 12, p = 3.9 × 10⁻⁸) and with disease stage across Correa’s cascade (χ² = 27.91, df = 9, p = 9.9 × 10⁻⁴). Gastric-cancer cases had the lowest</w:t>
      </w:r>
      <w:r>
        <w:t xml:space="preserve"> </w:t>
      </w:r>
      <w:r>
        <w:rPr>
          <w:rStyle w:val="VerbatimChar"/>
        </w:rPr>
        <w:t xml:space="preserve">empty</w:t>
      </w:r>
      <w:r>
        <w:t xml:space="preserve"> </w:t>
      </w:r>
      <w:r>
        <w:t xml:space="preserve">rate (7.6%) and the highest</w:t>
      </w:r>
      <w:r>
        <w:t xml:space="preserve"> </w:t>
      </w:r>
      <w:r>
        <w:rPr>
          <w:rStyle w:val="VerbatimChar"/>
        </w:rPr>
        <w:t xml:space="preserve">complete_collinear</w:t>
      </w:r>
      <w:r>
        <w:t xml:space="preserve"> </w:t>
      </w:r>
      <w:r>
        <w:t xml:space="preserve">rate (4.2%), whereas non-atrophic gastritis cases had the highest</w:t>
      </w:r>
      <w:r>
        <w:t xml:space="preserve"> </w:t>
      </w:r>
      <w:r>
        <w:rPr>
          <w:rStyle w:val="VerbatimChar"/>
        </w:rPr>
        <w:t xml:space="preserve">empty</w:t>
      </w:r>
      <w:r>
        <w:t xml:space="preserve"> </w:t>
      </w:r>
      <w:r>
        <w:t xml:space="preserve">rate (23.4%; Fig. 8b). Because all pairwise ANIs in this collection are &gt;95%, these architecture-disease associations are inaccessible to ANI-only tools and illustrate how Syn2bANI’s structural output can reveal genotype-phenotype relationships that ANI alone cannot.</w:t>
      </w:r>
    </w:p>
    <w:bookmarkEnd w:id="21"/>
    <w:bookmarkStart w:id="22"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2"/>
    <w:bookmarkEnd w:id="23"/>
    <w:bookmarkStart w:id="24"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4"/>
    <w:bookmarkStart w:id="36" w:name="online-methods"/>
    <w:p>
      <w:pPr>
        <w:pStyle w:val="Heading2"/>
      </w:pPr>
      <w:r>
        <w:t xml:space="preserve">Online Methods</w:t>
      </w:r>
    </w:p>
    <w:bookmarkStart w:id="25"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5"/>
    <w:bookmarkStart w:id="26"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6"/>
    <w:bookmarkStart w:id="27"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7"/>
    <w:bookmarkStart w:id="28"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8"/>
    <w:bookmarkStart w:id="29"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9"/>
    <w:bookmarkStart w:id="30"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30"/>
    <w:bookmarkStart w:id="31"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1"/>
    <w:bookmarkStart w:id="32"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2"/>
    <w:bookmarkStart w:id="33"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3"/>
    <w:bookmarkStart w:id="34"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Isolation metadata (disease stage, country, FastBAPS lineage, phylogenetic population) were taken from the original publication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4"/>
    <w:bookmarkStart w:id="35"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7"/>
    <w:bookmarkStart w:id="38"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8"/>
    <w:bookmarkStart w:id="39" w:name="acknowledgements"/>
    <w:p>
      <w:pPr>
        <w:pStyle w:val="Heading2"/>
      </w:pPr>
      <w:r>
        <w:t xml:space="preserve">Acknowledgements</w:t>
      </w:r>
    </w:p>
    <w:p>
      <w:pPr>
        <w:pStyle w:val="FirstParagraph"/>
      </w:pPr>
      <w:r>
        <w:t xml:space="preserve">[To be determined.]</w:t>
      </w:r>
    </w:p>
    <w:bookmarkEnd w:id="39"/>
    <w:bookmarkStart w:id="40" w:name="author-contributions"/>
    <w:p>
      <w:pPr>
        <w:pStyle w:val="Heading2"/>
      </w:pPr>
      <w:r>
        <w:t xml:space="preserve">Author contributions</w:t>
      </w:r>
    </w:p>
    <w:p>
      <w:pPr>
        <w:pStyle w:val="FirstParagraph"/>
      </w:pPr>
      <w:r>
        <w:t xml:space="preserve">[To be determined — placeholder.]</w:t>
      </w:r>
    </w:p>
    <w:bookmarkEnd w:id="40"/>
    <w:bookmarkStart w:id="41" w:name="competing-interests"/>
    <w:p>
      <w:pPr>
        <w:pStyle w:val="Heading2"/>
      </w:pPr>
      <w:r>
        <w:t xml:space="preserve">Competing interests</w:t>
      </w:r>
    </w:p>
    <w:p>
      <w:pPr>
        <w:pStyle w:val="FirstParagraph"/>
      </w:pPr>
      <w:r>
        <w:t xml:space="preserve">[To be determined — placeholder: The authors declare no competing interests.]</w:t>
      </w:r>
    </w:p>
    <w:bookmarkEnd w:id="41"/>
    <w:bookmarkStart w:id="42"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2"/>
    <w:bookmarkStart w:id="43"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anchor adjacency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ANI–anchor-adjacency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is associated with disease stage and lineage, but invisible to ANI.</w:t>
      </w:r>
      <w:r>
        <w:t xml:space="preserve"> </w:t>
      </w:r>
      <w:r>
        <w:t xml:space="preserve">(a) Extended cagPAI state classification: marker-based</w:t>
      </w:r>
      <w:r>
        <w:t xml:space="preserve"> </w:t>
      </w:r>
      <w:r>
        <w:rPr>
          <w:rStyle w:val="VerbatimChar"/>
        </w:rPr>
        <w:t xml:space="preserve">empty</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complete</w:t>
      </w:r>
      <w:r>
        <w:t xml:space="preserve"> </w:t>
      </w:r>
      <w:r>
        <w:t xml:space="preserve">is refined by</w:t>
      </w:r>
      <w:r>
        <w:t xml:space="preserve"> </w:t>
      </w:r>
      <w:r>
        <w:rPr>
          <w:rStyle w:val="VerbatimChar"/>
        </w:rPr>
        <w:t xml:space="preserve">syn2bani struct</w:t>
      </w:r>
      <w:r>
        <w:t xml:space="preserve"> </w:t>
      </w:r>
      <w:r>
        <w:t xml:space="preserve">calls inside the cagPAI coordinates into</w:t>
      </w:r>
      <w:r>
        <w:t xml:space="preserve"> </w:t>
      </w:r>
      <w:r>
        <w:rPr>
          <w:rStyle w:val="VerbatimChar"/>
        </w:rPr>
        <w:t xml:space="preserve">complete_collinear</w:t>
      </w:r>
      <w:r>
        <w:t xml:space="preserve"> </w:t>
      </w:r>
      <w:r>
        <w:t xml:space="preserve">and</w:t>
      </w:r>
      <w:r>
        <w:t xml:space="preserve"> </w:t>
      </w:r>
      <w:r>
        <w:rPr>
          <w:rStyle w:val="VerbatimChar"/>
        </w:rPr>
        <w:t xml:space="preserve">complete_rearranged</w:t>
      </w:r>
      <w:r>
        <w:t xml:space="preserve">. (b) Stacked-bar distribution of extended cagPAI states by Correa’s cascade disease stage (NAG, AG, IM, GC) and by FastBAPS lineage. (c) Same data by country and phylogenetic population. Per-group stacked bars are shown in Supplementary Figs. S17–S20. Source:</w:t>
      </w:r>
      <w:r>
        <w:t xml:space="preserve"> </w:t>
      </w:r>
      <w:r>
        <w:rPr>
          <w:rStyle w:val="VerbatimChar"/>
        </w:rPr>
        <w:t xml:space="preserve">case_studies/h_pylori_cagpai/results/struct_extended/</w:t>
      </w:r>
      <w:r>
        <w:t xml:space="preserve">.</w:t>
      </w:r>
    </w:p>
    <w:p>
      <w:pPr>
        <w:pStyle w:val="BodyText"/>
      </w:pPr>
      <w:r>
        <w:rPr>
          <w:b/>
          <w:bCs/>
        </w:rPr>
        <w:t xml:space="preserve">Supplementary Figure S15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3"/>
    <w:bookmarkStart w:id="44" w:name="X2039872a057f86498f6293bbf4ab0196afa571e"/>
    <w:p>
      <w:pPr>
        <w:pStyle w:val="Heading2"/>
      </w:pPr>
      <w:r>
        <w:rPr>
          <w:b/>
          <w:bCs/>
        </w:rPr>
        <w:t xml:space="preserve">Supplementary Figure S16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4"/>
    <w:bookmarkStart w:id="45"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Results; Fig. S15</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Results; Fig. S16</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2026-09-03T04:03:08Z</dcterms:created>
  <dcterms:modified xsi:type="dcterms:W3CDTF">2026-09-03T04:03:08Z</dcterms:modified>
</cp:coreProperties>
</file>

<file path=docProps/custom.xml><?xml version="1.0" encoding="utf-8"?>
<Properties xmlns="http://schemas.openxmlformats.org/officeDocument/2006/custom-properties" xmlns:vt="http://schemas.openxmlformats.org/officeDocument/2006/docPropsVTypes"/>
</file>