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anchor_adjacency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anchor_adjacency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c212d59051500608a6a292fa9e7516d81d06b47"/>
    <w:p>
      <w:pPr>
        <w:pStyle w:val="Heading2"/>
      </w:pPr>
      <w:r>
        <w:t xml:space="preserve">Supplementary Figure S2 — Held-out GTDB-R207 benchmark (v5 detail)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paper/figures/supplementary/fig_s2_gtdb50k_heldout.png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fcc31fb3a442a56c962a2b940984516d699f2a4"/>
    <w:p>
      <w:pPr>
        <w:pStyle w:val="Heading2"/>
      </w:pPr>
      <w:r>
        <w:t xml:space="preserve">Supplementary Figure S3 — Per-band ANI comparison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paper/figures/supplementary/fig_s3_anim_by_band.png</w:t>
      </w:r>
      <w:r>
        <w:t xml:space="preserve">)</w:t>
      </w:r>
    </w:p>
    <w:p>
      <w:pPr>
        <w:pStyle w:val="BodyText"/>
      </w:pPr>
      <w:r>
        <w:t xml:space="preserve">Band-holdout cross-validation on the 2,074-pair GTDB-R207 ANIm benchmark:</w:t>
      </w:r>
      <w:r>
        <w:t xml:space="preserve"> </w:t>
      </w:r>
      <w:r>
        <w:t xml:space="preserve">MAE by ANI band for raw gamma, calibrated v5, skani, and FastANI. This is the</w:t>
      </w:r>
      <w:r>
        <w:t xml:space="preserve"> </w:t>
      </w:r>
      <w:r>
        <w:t xml:space="preserve">per-band detail behind the unified benchmark of Fig. 3.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paper/figures/supplementary/fig_s4_gtdb_quality_vs_mae.png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103d984b7b1b66b1ed5dd442b5fc71304f3b16a"/>
    <w:p>
      <w:pPr>
        <w:pStyle w:val="Heading2"/>
      </w:pPr>
      <w:r>
        <w:t xml:space="preserve">Supplementary Figure S5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paper/figures/supplementary/fig_s5_simulation_gc.png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</w:t>
      </w:r>
    </w:p>
    <w:bookmarkEnd w:id="13"/>
    <w:bookmarkStart w:id="14" w:name="X666e434bde45df385021466176a192bfa919e50"/>
    <w:p>
      <w:pPr>
        <w:pStyle w:val="Heading2"/>
      </w:pPr>
      <w:r>
        <w:t xml:space="preserve">Supplementary Figure S6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paper/figures/supplementary/fig_s6_simulation_mosaic.png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4"/>
    <w:bookmarkStart w:id="15" w:name="Xc411bf5e54ec307f23dd8b9e5c1815c33f67f91"/>
    <w:p>
      <w:pPr>
        <w:pStyle w:val="Heading2"/>
      </w:pPr>
      <w:r>
        <w:t xml:space="preserve">Supplementary Figure S7 — Accuracy on 695 CAMI2 MAGs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paper/figures/supplementary/fig_s7_mag_validation.png</w:t>
      </w:r>
      <w:r>
        <w:t xml:space="preserve">)</w:t>
      </w:r>
    </w:p>
    <w:p>
      <w:pPr>
        <w:pStyle w:val="BodyText"/>
      </w:pPr>
      <w:r>
        <w:t xml:space="preserve">695 CAMI2 bins vs dnadiff ANIm truth (raw gated syn2bani; skani; FastANI).</w:t>
      </w:r>
      <w:r>
        <w:t xml:space="preserve"> </w:t>
      </w:r>
      <w:r>
        <w:t xml:space="preserve">(a) Syn2bANI raw gated estimate vs dnadiff ANIm truth, colored by contamination</w:t>
      </w:r>
      <w:r>
        <w:t xml:space="preserve"> </w:t>
      </w:r>
      <w:r>
        <w:t xml:space="preserve">class. (b) Absolute-error distributions by tool. (c) Syn2bANI error by CheckM2</w:t>
      </w:r>
      <w:r>
        <w:t xml:space="preserve"> </w:t>
      </w:r>
      <w:r>
        <w:t xml:space="preserve">quality tier.</w:t>
      </w:r>
    </w:p>
    <w:bookmarkEnd w:id="15"/>
    <w:bookmarkStart w:id="16" w:name="X395fcc4879aa2caa98aa8b4904a4197641f6244"/>
    <w:p>
      <w:pPr>
        <w:pStyle w:val="Heading2"/>
      </w:pPr>
      <w:r>
        <w:t xml:space="preserve">Supplementary Figure S8 — High-ANI isolate collections show extensive rearrangements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paper/figures/supplementary/fig_s8_syntracker_breakpoints.png</w:t>
      </w:r>
      <w:r>
        <w:t xml:space="preserve">)</w:t>
      </w:r>
    </w:p>
    <w:p>
      <w:pPr>
        <w:pStyle w:val="BodyText"/>
      </w:pPr>
      <w:r>
        <w:t xml:space="preserve">skani ANI versus Syn2bANI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for four published near-clonal</w:t>
      </w:r>
      <w:r>
        <w:t xml:space="preserve"> </w:t>
      </w:r>
      <w:r>
        <w:t xml:space="preserve">isolate collections: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(253 pairs),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(2,926 pairs), (c)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(66 pairs), and (d)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(190</w:t>
      </w:r>
      <w:r>
        <w:t xml:space="preserve"> </w:t>
      </w:r>
      <w:r>
        <w:t xml:space="preserve">pairs). In all four collections ANI is pinned near 100% while breakpoint counts</w:t>
      </w:r>
      <w:r>
        <w:t xml:space="preserve"> </w:t>
      </w:r>
      <w:r>
        <w:t xml:space="preserve">vary over orders of magnitude.</w:t>
      </w:r>
    </w:p>
    <w:bookmarkEnd w:id="16"/>
    <w:bookmarkStart w:id="17" w:name="X0901c4e02efe3f664fe55d0ba0a51784ec0ccd3"/>
    <w:p>
      <w:pPr>
        <w:pStyle w:val="Heading2"/>
      </w:pPr>
      <w:r>
        <w:t xml:space="preserve">Supplementary Figure S9 — High-ANI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pairs carry hundreds of breakpoints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paper/figures/supplementary/fig_s9_ecoli_o157_breakpoints.png</w:t>
      </w:r>
      <w:r>
        <w:t xml:space="preserve">)</w:t>
      </w:r>
    </w:p>
    <w:p>
      <w:pPr>
        <w:pStyle w:val="BodyText"/>
      </w:pPr>
      <w:r>
        <w:t xml:space="preserve">Seventy-four genomes from Fitzgerald et al. (2021), 2,701 non-self pairs.</w:t>
      </w:r>
      <w:r>
        <w:t xml:space="preserve"> </w:t>
      </w:r>
      <w:r>
        <w:t xml:space="preserve">(a) ANI vs breakpoint count colored by lineage (I/II, II, Ia, Ic). (b) Same</w:t>
      </w:r>
      <w:r>
        <w:t xml:space="preserve"> </w:t>
      </w:r>
      <w:r>
        <w:t xml:space="preserve">data colored by host category (bovine, human, other/unknown). All pairwise ANIs</w:t>
      </w:r>
      <w:r>
        <w:t xml:space="preserve"> </w:t>
      </w:r>
      <w:r>
        <w:t xml:space="preserve">exceed 99.886% yet breakpoints range from 171 to &gt;1,100.</w:t>
      </w:r>
    </w:p>
    <w:bookmarkEnd w:id="17"/>
    <w:bookmarkStart w:id="18" w:name="X3f3356e481db4642ed3127a5f0205142ae48f68"/>
    <w:p>
      <w:pPr>
        <w:pStyle w:val="Heading2"/>
      </w:pPr>
      <w:r>
        <w:t xml:space="preserve">Supplementary Figure S10 — High-ANI FDA-ARGOS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pairs show wide breakpoint variation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paper/figures/supplementary/fig_s10_saureus_breakpoints.png</w:t>
      </w:r>
      <w:r>
        <w:t xml:space="preserve">)</w:t>
      </w:r>
    </w:p>
    <w:p>
      <w:pPr>
        <w:pStyle w:val="BodyText"/>
      </w:pPr>
      <w:r>
        <w:t xml:space="preserve">One hundred and twenty-two genomes, 7,381 refined pairs. (a) ANI vs breakpoint</w:t>
      </w:r>
      <w:r>
        <w:t xml:space="preserve"> </w:t>
      </w:r>
      <w:r>
        <w:t xml:space="preserve">count colored by country. (b) ANI vs breakpoint count colored by isolation</w:t>
      </w:r>
      <w:r>
        <w:t xml:space="preserve"> </w:t>
      </w:r>
      <w:r>
        <w:t xml:space="preserve">source. Pairs at 100% ANI still carry &gt;150 breakpoints.</w:t>
      </w:r>
    </w:p>
    <w:bookmarkEnd w:id="18"/>
    <w:bookmarkStart w:id="19" w:name="X96c66ff84af8c6054de30314d30f5f9915940f7"/>
    <w:p>
      <w:pPr>
        <w:pStyle w:val="Heading2"/>
      </w:pPr>
      <w:r>
        <w:t xml:space="preserve">Supplementary Figure S11 — cagPAI extended state by country and phylogenetic population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paper/figures/supplementary/fig_s11_cagpai_country_population.png</w:t>
      </w:r>
      <w:r>
        <w:t xml:space="preserve">)</w:t>
      </w:r>
    </w:p>
    <w:p>
      <w:pPr>
        <w:pStyle w:val="BodyText"/>
      </w:pPr>
      <w:r>
        <w:t xml:space="preserve">Stacked-bar distribution of extended cagPAI states (after circular-origin</w:t>
      </w:r>
      <w:r>
        <w:t xml:space="preserve"> </w:t>
      </w:r>
      <w:r>
        <w:t xml:space="preserve">filtering) across countries of isolation and phylogenetic population for the</w:t>
      </w:r>
      <w:r>
        <w:t xml:space="preserve"> </w:t>
      </w:r>
      <w:r>
        <w:t xml:space="preserve">528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cohort genomes.</w:t>
      </w:r>
    </w:p>
    <w:bookmarkEnd w:id="19"/>
    <w:bookmarkStart w:id="20" w:name="Xc623022311fbb09c3c20527babe29df8a9f5177"/>
    <w:p>
      <w:pPr>
        <w:pStyle w:val="Heading2"/>
      </w:pPr>
      <w:r>
        <w:t xml:space="preserve">Supplementary Figure S12 — Circular-origin artifact filtering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cagPAI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paper/figures/supplementary/fig_s12_circular_origin_filtering.png</w:t>
      </w:r>
      <w:r>
        <w:t xml:space="preserve">)</w:t>
      </w:r>
    </w:p>
    <w:p>
      <w:pPr>
        <w:pStyle w:val="BodyText"/>
      </w:pPr>
      <w:r>
        <w:t xml:space="preserve">Before and after counts of the four extended cagPAI states. Filtering</w:t>
      </w:r>
      <w:r>
        <w:t xml:space="preserve"> </w:t>
      </w:r>
      <w:r>
        <w:t xml:space="preserve">reclassifies 133 complete-marker genomes from</w:t>
      </w:r>
      <w:r>
        <w:t xml:space="preserve"> </w:t>
      </w:r>
      <w:r>
        <w:rPr>
          <w:rStyle w:val="VerbatimChar"/>
        </w:rPr>
        <w:t xml:space="preserve">complete_rearranged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complete_collinear</w:t>
      </w:r>
      <w:r>
        <w:t xml:space="preserve"> </w:t>
      </w:r>
      <w:r>
        <w:t xml:space="preserve">because their only cagPAI-overlapping SV is a</w:t>
      </w:r>
      <w:r>
        <w:t xml:space="preserve"> </w:t>
      </w:r>
      <w:r>
        <w:t xml:space="preserve">genome-spanning call consistent with a different arbitrary start coordinate on</w:t>
      </w:r>
      <w:r>
        <w:t xml:space="preserve"> </w:t>
      </w:r>
      <w:r>
        <w:t xml:space="preserve">the circular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chromosome.</w:t>
      </w:r>
    </w:p>
    <w:bookmarkEnd w:id="20"/>
    <w:bookmarkStart w:id="21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1"/>
    <w:bookmarkStart w:id="22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2"/>
    <w:bookmarkStart w:id="23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3"/>
    <w:bookmarkStart w:id="24" w:name="X4c50bc026c5465e49f035988aa0fe4463cd86fc"/>
    <w:p>
      <w:pPr>
        <w:pStyle w:val="Heading2"/>
      </w:pPr>
      <w:r>
        <w:t xml:space="preserve">Supplementary Table S4 — Lineage-stratified cagPAI–disease associations</w:t>
      </w:r>
    </w:p>
    <w:p>
      <w:pPr>
        <w:pStyle w:val="FirstParagraph"/>
      </w:pPr>
      <w:r>
        <w:t xml:space="preserve">Five hundred and twenty-eight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isolates from Song et al. (2026) were</w:t>
      </w:r>
      <w:r>
        <w:t xml:space="preserve"> </w:t>
      </w:r>
      <w:r>
        <w:t xml:space="preserve">classified into extended cagPAI states after circular-origin filtering (empty</w:t>
      </w:r>
      <w:r>
        <w:t xml:space="preserve"> </w:t>
      </w:r>
      <w:r>
        <w:t xml:space="preserve">85, partial 11, complete_collinear 145, complete_rearranged 287). The raw</w:t>
      </w:r>
      <w:r>
        <w:t xml:space="preserve"> </w:t>
      </w:r>
      <w:r>
        <w:t xml:space="preserve">Pearson χ² test for disease stage is significant (χ² = 24.60, df = 9, p = 0.0034),</w:t>
      </w:r>
      <w:r>
        <w:t xml:space="preserve"> </w:t>
      </w:r>
      <w:r>
        <w:t xml:space="preserve">but the association is confounded by FastBAPS lineage. Cochran–Mantel–Haenszel</w:t>
      </w:r>
      <w:r>
        <w:t xml:space="preserve"> </w:t>
      </w:r>
      <w:r>
        <w:t xml:space="preserve">statistics stratified by FastBAPS lineage: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CMH χ²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OR_MH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cagPAI presence</w:t>
            </w:r>
          </w:p>
        </w:tc>
        <w:tc>
          <w:tcPr/>
          <w:p>
            <w:pPr>
              <w:pStyle w:val="Compact"/>
            </w:pPr>
            <w: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NAG</w:t>
            </w:r>
          </w:p>
        </w:tc>
        <w:tc>
          <w:tcPr/>
          <w:p>
            <w:pPr>
              <w:pStyle w:val="Compact"/>
            </w:pPr>
            <w:r>
              <w:t xml:space="preserve">complete vs empty/partial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cagPAI rearrangement</w:t>
            </w:r>
          </w:p>
        </w:tc>
        <w:tc>
          <w:tcPr/>
          <w:p>
            <w:pPr>
              <w:pStyle w:val="Compact"/>
            </w:pPr>
            <w: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NAG</w:t>
            </w:r>
          </w:p>
        </w:tc>
        <w:tc>
          <w:tcPr/>
          <w:p>
            <w:pPr>
              <w:pStyle w:val="Compact"/>
            </w:pPr>
            <w:r>
              <w:t xml:space="preserve">complete_rearranged vs complete_collinear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cagPAI presence (advanced vs early)</w:t>
            </w:r>
          </w:p>
        </w:tc>
        <w:tc>
          <w:tcPr/>
          <w:p>
            <w:pPr>
              <w:pStyle w:val="Compact"/>
            </w:pPr>
            <w:r>
              <w:t xml:space="preserve">GC/IM</w:t>
            </w:r>
          </w:p>
        </w:tc>
        <w:tc>
          <w:tcPr/>
          <w:p>
            <w:pPr>
              <w:pStyle w:val="Compact"/>
            </w:pPr>
            <w:r>
              <w:t xml:space="preserve">AG/NAG</w:t>
            </w:r>
          </w:p>
        </w:tc>
        <w:tc>
          <w:tcPr/>
          <w:p>
            <w:pPr>
              <w:pStyle w:val="Compact"/>
            </w:pPr>
            <w:r>
              <w:t xml:space="preserve">complete vs empty/partial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cagPAI rearrangement (advanced vs early)</w:t>
            </w:r>
          </w:p>
        </w:tc>
        <w:tc>
          <w:tcPr/>
          <w:p>
            <w:pPr>
              <w:pStyle w:val="Compact"/>
            </w:pPr>
            <w:r>
              <w:t xml:space="preserve">GC/IM</w:t>
            </w:r>
          </w:p>
        </w:tc>
        <w:tc>
          <w:tcPr/>
          <w:p>
            <w:pPr>
              <w:pStyle w:val="Compact"/>
            </w:pPr>
            <w:r>
              <w:t xml:space="preserve">AG/NAG</w:t>
            </w:r>
          </w:p>
        </w:tc>
        <w:tc>
          <w:tcPr/>
          <w:p>
            <w:pPr>
              <w:pStyle w:val="Compact"/>
            </w:pPr>
            <w:r>
              <w:t xml:space="preserve">complete_rearranged vs complete_collinear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1.152</w:t>
            </w:r>
          </w:p>
        </w:tc>
      </w:tr>
    </w:tbl>
    <w:p>
      <w:pPr>
        <w:pStyle w:val="BodyText"/>
      </w:pPr>
      <w:r>
        <w:t xml:space="preserve">None of the lineage-stratified associations is significant. Full per-stratum</w:t>
      </w:r>
      <w:r>
        <w:t xml:space="preserve"> </w:t>
      </w:r>
      <w:r>
        <w:t xml:space="preserve">counts:</w:t>
      </w:r>
      <w:r>
        <w:t xml:space="preserve"> </w:t>
      </w:r>
      <w:r>
        <w:rPr>
          <w:rStyle w:val="VerbatimChar"/>
        </w:rPr>
        <w:t xml:space="preserve">case_studies/h_pylori_cagpai/results/cagpai_association_stratified.tsv</w:t>
      </w:r>
      <w:r>
        <w:t xml:space="preserve">.</w:t>
      </w:r>
    </w:p>
    <w:bookmarkEnd w:id="24"/>
    <w:bookmarkStart w:id="25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5"/>
    <w:bookmarkStart w:id="26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6"/>
    <w:bookmarkStart w:id="27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7"/>
    <w:bookmarkStart w:id="28" w:name="Xfd6529be4a0d1bbd51b24452f2b6f26ebe262a9"/>
    <w:p>
      <w:pPr>
        <w:pStyle w:val="Heading2"/>
      </w:pPr>
      <w:r>
        <w:t xml:space="preserve">Supplementary Note 4 — Chain-restricted stratified MLE, gating, and flags</w:t>
      </w:r>
    </w:p>
    <w:p>
      <w:pPr>
        <w:pStyle w:val="FirstParagraph"/>
      </w:pPr>
      <w:r>
        <w:t xml:space="preserve">For a query tag inside a chained region, with tag length</w:t>
      </w:r>
      <w:r>
        <w:t xml:space="preserve"> </w:t>
      </w:r>
      <w:r>
        <w:rPr>
          <w:rStyle w:val="VerbatimChar"/>
        </w:rPr>
        <w:t xml:space="preserve">k</w:t>
      </w:r>
      <w:r>
        <w:t xml:space="preserve">, recognition-site</w:t>
      </w:r>
      <w:r>
        <w:t xml:space="preserve"> </w:t>
      </w:r>
      <w:r>
        <w:t xml:space="preserve">length</w:t>
      </w:r>
      <w:r>
        <w:t xml:space="preserve"> </w:t>
      </w:r>
      <w:r>
        <w:rPr>
          <w:rStyle w:val="VerbatimChar"/>
        </w:rPr>
        <w:t xml:space="preserve">s</w:t>
      </w:r>
      <w:r>
        <w:t xml:space="preserve">, mutable body</w:t>
      </w:r>
      <w:r>
        <w:t xml:space="preserve"> </w:t>
      </w:r>
      <w:r>
        <w:rPr>
          <w:rStyle w:val="VerbatimChar"/>
        </w:rPr>
        <w:t xml:space="preserve">b = k − s</w:t>
      </w:r>
      <w:r>
        <w:t xml:space="preserve">, and mismatch budget</w:t>
      </w:r>
      <w:r>
        <w:t xml:space="preserve"> </w:t>
      </w:r>
      <w:r>
        <w:rPr>
          <w:rStyle w:val="VerbatimChar"/>
        </w:rPr>
        <w:t xml:space="preserve">tol</w:t>
      </w:r>
      <w:r>
        <w:t xml:space="preserve">, the outcome</w:t>
      </w:r>
      <w:r>
        <w:t xml:space="preserve"> </w:t>
      </w:r>
      <w:r>
        <w:t xml:space="preserve">probabilities under per-base identity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body mismatches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m ≤ tol</w:t>
      </w:r>
      <w:r>
        <w:t xml:space="preserve">):</w:t>
      </w:r>
      <w:r>
        <w:t xml:space="preserve"> </w:t>
      </w:r>
      <w:r>
        <w:rPr>
          <w:rStyle w:val="VerbatimChar"/>
        </w:rPr>
        <w:t xml:space="preserve">P_m(a) = C(b, m) · (1 − a)^m · a^(k−m)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found</w:t>
      </w:r>
      <w:r>
        <w:t xml:space="preserve"> </w:t>
      </w:r>
      <w:r>
        <w:t xml:space="preserve">(miss):</w:t>
      </w:r>
      <w:r>
        <w:t xml:space="preserve"> </w:t>
      </w:r>
      <w:r>
        <w:rPr>
          <w:rStyle w:val="VerbatimChar"/>
        </w:rPr>
        <w:t xml:space="preserve">P_miss(a) = 1 − Σ_{m=0}^{tol} P_m(a)</w:t>
      </w:r>
      <w:r>
        <w:t xml:space="preserve">.</w:t>
      </w:r>
    </w:p>
    <w:p>
      <w:pPr>
        <w:pStyle w:val="FirstParagraph"/>
      </w:pPr>
      <w:r>
        <w:t xml:space="preserve">Mismatches are observable only in the mutable body — a mutation inside the</w:t>
      </w:r>
      <w:r>
        <w:t xml:space="preserve"> </w:t>
      </w:r>
      <w:r>
        <w:t xml:space="preserve">recognition site deletes the tag entirely — so the site contributes a factor</w:t>
      </w:r>
      <w:r>
        <w:t xml:space="preserve"> </w:t>
      </w:r>
      <w:r>
        <w:rPr>
          <w:rStyle w:val="VerbatimChar"/>
        </w:rPr>
        <w:t xml:space="preserve">a^s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P_found</w:t>
      </w:r>
      <w:r>
        <w:t xml:space="preserve"> </w:t>
      </w:r>
      <w:r>
        <w:t xml:space="preserve">but never appears in the histogram. This also sets a hard</w:t>
      </w:r>
      <w:r>
        <w:t xml:space="preserve"> </w:t>
      </w:r>
      <w:r>
        <w:t xml:space="preserve">retention ceiling (for example, ~0.72 at 95% ANI and ~0.50 at 90% with the</w:t>
      </w:r>
      <w:r>
        <w:t xml:space="preserve"> </w:t>
      </w:r>
      <w:r>
        <w:t xml:space="preserve">default budget). The per-enzyme strata differ in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; the total</w:t>
      </w:r>
      <w:r>
        <w:t xml:space="preserve"> </w:t>
      </w:r>
      <w:r>
        <w:t xml:space="preserve">log-likelihood is the sum over strata and is maximized over the scalar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by</w:t>
      </w:r>
      <w:r>
        <w:t xml:space="preserve"> </w:t>
      </w:r>
      <w:r>
        <w:t xml:space="preserve">golden-section search.</w:t>
      </w:r>
    </w:p>
    <w:p>
      <w:pPr>
        <w:pStyle w:val="BodyText"/>
      </w:pPr>
      <w:r>
        <w:t xml:space="preserve">Two partial estimators are computed as diagnostics: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ani_from_loss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P_miss(a)</w:t>
      </w:r>
      <w:r>
        <w:t xml:space="preserve"> </w:t>
      </w:r>
      <w:r>
        <w:t xml:space="preserve">only (the miss-rate channel).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ani_from_hist</w:t>
      </w:r>
      <w:r>
        <w:t xml:space="preserve"> </w:t>
      </w:r>
      <w:r>
        <w:t xml:space="preserve">— uses the mismatch histogram renormalized by</w:t>
      </w:r>
      <w:r>
        <w:t xml:space="preserve"> </w:t>
      </w:r>
      <w:r>
        <w:rPr>
          <w:rStyle w:val="VerbatimChar"/>
        </w:rPr>
        <w:t xml:space="preserve">P_found(a)</w:t>
      </w:r>
      <w:r>
        <w:t xml:space="preserve">.</w:t>
      </w:r>
    </w:p>
    <w:p>
      <w:pPr>
        <w:pStyle w:val="FirstParagraph"/>
      </w:pPr>
      <w:r>
        <w:t xml:space="preserve">When the data are well behaved these two estimates agree; large divergence</w:t>
      </w:r>
      <w:r>
        <w:t xml:space="preserve"> </w:t>
      </w:r>
      <w:r>
        <w:t xml:space="preserve">signals either model misspecification or sparse data.</w:t>
      </w:r>
    </w:p>
    <w:p>
      <w:pPr>
        <w:pStyle w:val="BodyText"/>
      </w:pPr>
      <w:r>
        <w:rPr>
          <w:b/>
          <w:bCs/>
        </w:rPr>
        <w:t xml:space="preserve">Heterogeneous (gamma) model.</w:t>
      </w:r>
      <w:r>
        <w:t xml:space="preserve"> </w:t>
      </w:r>
      <w:r>
        <w:t xml:space="preserve">To account for rate heterogeneity, each</w:t>
      </w:r>
      <w:r>
        <w:t xml:space="preserve"> </w:t>
      </w:r>
      <w:r>
        <w:t xml:space="preserve">chained region receives a per-region rate multiplier</w:t>
      </w:r>
      <w:r>
        <w:t xml:space="preserve"> </w:t>
      </w:r>
      <w:r>
        <w:rPr>
          <w:rStyle w:val="VerbatimChar"/>
        </w:rPr>
        <w:t xml:space="preserve">r ~ Gamma(α, α)</w:t>
      </w:r>
      <w:r>
        <w:t xml:space="preserve"> </w:t>
      </w:r>
      <w:r>
        <w:t xml:space="preserve">(mean 1,</w:t>
      </w:r>
      <w:r>
        <w:t xml:space="preserve"> </w:t>
      </w:r>
      <w:r>
        <w:t xml:space="preserve">shape α). Because rate variation acts at kilobase scale while a tag is ~30 bp,</w:t>
      </w:r>
      <w:r>
        <w:t xml:space="preserve"> </w:t>
      </w:r>
      <w:r>
        <w:t xml:space="preserve">all sites within one tag share the same</w:t>
      </w:r>
      <w:r>
        <w:t xml:space="preserve"> </w:t>
      </w:r>
      <w:r>
        <w:rPr>
          <w:rStyle w:val="VerbatimChar"/>
        </w:rPr>
        <w:t xml:space="preserve">r</w:t>
      </w:r>
      <w:r>
        <w:t xml:space="preserve">. Integrating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out converts the</w:t>
      </w:r>
      <w:r>
        <w:t xml:space="preserve"> </w:t>
      </w:r>
      <w:r>
        <w:t xml:space="preserve">mismatch count distribution into a negative binomial with two parameters: mean</w:t>
      </w:r>
      <w:r>
        <w:t xml:space="preserve"> </w:t>
      </w:r>
      <w:r>
        <w:t xml:space="preserve">divergence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shape</w:t>
      </w:r>
      <w:r>
        <w:t xml:space="preserve"> </w:t>
      </w:r>
      <w:r>
        <w:rPr>
          <w:rStyle w:val="VerbatimChar"/>
        </w:rPr>
        <w:t xml:space="preserve">α</w:t>
      </w:r>
      <w:r>
        <w:t xml:space="preserve">. These are identifiable from the three histogram</w:t>
      </w:r>
      <w:r>
        <w:t xml:space="preserve"> </w:t>
      </w:r>
      <w:r>
        <w:t xml:space="preserve">degrees of freedom plus the miss count. Two guardrails are applied: the second</w:t>
      </w:r>
      <w:r>
        <w:t xml:space="preserve"> </w:t>
      </w:r>
      <w:r>
        <w:t xml:space="preserve">parameter is used only when the likelihood-ratio statistic exceeds 3.841, and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is clamped to</w:t>
      </w:r>
      <w:r>
        <w:t xml:space="preserve"> </w:t>
      </w:r>
      <w:r>
        <w:rPr>
          <w:rStyle w:val="VerbatimChar"/>
        </w:rPr>
        <w:t xml:space="preserve">[0.1, 200]</w:t>
      </w:r>
      <w:r>
        <w:t xml:space="preserve">.</w:t>
      </w:r>
    </w:p>
    <w:p>
      <w:pPr>
        <w:pStyle w:val="BodyText"/>
      </w:pPr>
      <w:r>
        <w:t xml:space="preserve">At the identifiability boundary with few surviving tags, the gamma shape and</w:t>
      </w:r>
      <w:r>
        <w:t xml:space="preserve"> </w:t>
      </w:r>
      <w:r>
        <w:t xml:space="preserve">mean couple and can overshoot by 4–10 ANI points in the mid-ANI range. The</w:t>
      </w:r>
      <w:r>
        <w:t xml:space="preserve"> </w:t>
      </w:r>
      <w:r>
        <w:t xml:space="preserve">shipped point estimate is therefore</w:t>
      </w:r>
      <w:r>
        <w:t xml:space="preserve"> </w:t>
      </w:r>
      <w:r>
        <w:rPr>
          <w:b/>
          <w:bCs/>
        </w:rPr>
        <w:t xml:space="preserve">gated</w:t>
      </w:r>
      <w:r>
        <w:t xml:space="preserve">: report the homogeneous (uniform)</w:t>
      </w:r>
      <w:r>
        <w:t xml:space="preserve"> </w:t>
      </w:r>
      <w:r>
        <w:t xml:space="preserve">fit when</w:t>
      </w:r>
      <w:r>
        <w:t xml:space="preserve"> </w:t>
      </w:r>
      <w:r>
        <w:rPr>
          <w:rStyle w:val="VerbatimChar"/>
        </w:rPr>
        <w:t xml:space="preserve">|ani_from_loss − ani_from_hist| &gt; 5</w:t>
      </w:r>
      <w:r>
        <w:t xml:space="preserve"> </w:t>
      </w:r>
      <w:r>
        <w:t xml:space="preserve">ANI points, otherwise report the</w:t>
      </w:r>
      <w:r>
        <w:t xml:space="preserve"> </w:t>
      </w:r>
      <w:r>
        <w:t xml:space="preserve">gamma fit. The threshold is an effect size, not a significance level; threshold</w:t>
      </w:r>
      <w:r>
        <w:t xml:space="preserve"> </w:t>
      </w:r>
      <w:r>
        <w:t xml:space="preserve">sweeps on the GTDB-ANIm training matrix show a flat optimum between 4.5 and 6</w:t>
      </w:r>
      <w:r>
        <w:t xml:space="preserve"> </w:t>
      </w:r>
      <w:r>
        <w:t xml:space="preserve">points. The gate fires on 5.5% of GTDB pairs, on all 15 mid-ANI pairs (where it</w:t>
      </w:r>
      <w:r>
        <w:t xml:space="preserve"> </w:t>
      </w:r>
      <w:r>
        <w:t xml:space="preserve">reduces gamma MAE from 4.48 to 1.42), and never on uniform-rate simulations,</w:t>
      </w:r>
      <w:r>
        <w:t xml:space="preserve"> </w:t>
      </w:r>
      <w:r>
        <w:t xml:space="preserve">mosaic simulations, or oral/gut same-species pairs, preserving gamma’s advantage</w:t>
      </w:r>
      <w:r>
        <w:t xml:space="preserve"> </w:t>
      </w:r>
      <w:r>
        <w:t xml:space="preserve">exactly where it is real.</w:t>
      </w:r>
    </w:p>
    <w:p>
      <w:pPr>
        <w:pStyle w:val="BodyText"/>
      </w:pPr>
      <w:r>
        <w:rPr>
          <w:b/>
          <w:bCs/>
        </w:rPr>
        <w:t xml:space="preserve">Flags.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column is hierarchical: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BELOW_DETECTION</w:t>
      </w:r>
      <w:r>
        <w:t xml:space="preserve"> </w:t>
      </w:r>
      <w:r>
        <w:t xml:space="preserve">— expected retention &lt; 0.20 (takes precedence).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INCONSISTENT</w:t>
      </w:r>
      <w:r>
        <w:t xml:space="preserve"> </w:t>
      </w:r>
      <w:r>
        <w:t xml:space="preserve">— the gate fell back to the uniform model, or the chains carry</w:t>
      </w:r>
      <w:r>
        <w:t xml:space="preserve"> </w:t>
      </w:r>
      <w:r>
        <w:t xml:space="preserve">&gt; 0.5 rearrangement breakpoints per anchor (a structural statistic independent</w:t>
      </w:r>
      <w:r>
        <w:t xml:space="preserve"> </w:t>
      </w:r>
      <w:r>
        <w:t xml:space="preserve">of the chain-restricted likelihood denominator).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otherwise.</w:t>
      </w:r>
    </w:p>
    <w:p>
      <w:pPr>
        <w:pStyle w:val="FirstParagraph"/>
      </w:pPr>
      <w:r>
        <w:t xml:space="preserve">The recalibrated flag never inverts its error ranking on any validation set</w:t>
      </w:r>
      <w:r>
        <w:t xml:space="preserve"> </w:t>
      </w:r>
      <w:r>
        <w:t xml:space="preserve">(kept vs flagged MAE: GTDB-ANIm 2.415 vs 4.153; oral/gut 0.514 vs 4.269;</w:t>
      </w:r>
      <w:r>
        <w:t xml:space="preserve"> </w:t>
      </w:r>
      <w:r>
        <w:t xml:space="preserve">mid-ANI 0.343 vs 1.113), at a disclosed cost in near-clonal sensitivity.</w:t>
      </w:r>
    </w:p>
    <w:bookmarkEnd w:id="28"/>
    <w:bookmarkStart w:id="29" w:name="X39919e213b71580968f061584f61586905cff88"/>
    <w:p>
      <w:pPr>
        <w:pStyle w:val="Heading2"/>
      </w:pPr>
      <w:r>
        <w:t xml:space="preserve">Supplementary Note 5 — The spatial-model negative result (identifiability analysis)</w:t>
      </w:r>
    </w:p>
    <w:p>
      <w:pPr>
        <w:pStyle w:val="FirstParagraph"/>
      </w:pPr>
      <w:r>
        <w:t xml:space="preserve">A mechanistic spatial-rate model was evaluated as an alternative to the ridge</w:t>
      </w:r>
      <w:r>
        <w:t xml:space="preserve"> </w:t>
      </w:r>
      <w:r>
        <w:t xml:space="preserve">calibration layer. The prototype was written in Python, tested on 19 exact-truth</w:t>
      </w:r>
      <w:r>
        <w:t xml:space="preserve"> </w:t>
      </w:r>
      <w:r>
        <w:t xml:space="preserve">mosaic simulations, and then evaluated on the GTDB-ANIm matrix.</w:t>
      </w:r>
    </w:p>
    <w:p>
      <w:pPr>
        <w:pStyle w:val="BodyText"/>
      </w:pPr>
      <w:r>
        <w:t xml:space="preserve">The residual bias decomposes into two terms. The first is an in-chain</w:t>
      </w:r>
      <w:r>
        <w:t xml:space="preserve"> </w:t>
      </w:r>
      <w:r>
        <w:t xml:space="preserve">distribution-family term: the asymptotic in-chain MAE is 2.25 for gamma and 1.25</w:t>
      </w:r>
      <w:r>
        <w:t xml:space="preserve"> </w:t>
      </w:r>
      <w:r>
        <w:t xml:space="preserve">for a capped grid NPMLE, so a nonparametric in-chain fit can fix at most</w:t>
      </w:r>
      <w:r>
        <w:t xml:space="preserve"> </w:t>
      </w:r>
      <w:r>
        <w:t xml:space="preserve">~0.1–0.2 ANI points of the GTDB MAE. The second is a coverage term: the</w:t>
      </w:r>
      <w:r>
        <w:t xml:space="preserve"> </w:t>
      </w:r>
      <w:r>
        <w:t xml:space="preserve">divergence of the unchained fraction is not identifiable from tag data, because</w:t>
      </w:r>
      <w:r>
        <w:t xml:space="preserve"> </w:t>
      </w:r>
      <w:r>
        <w:t xml:space="preserve">the out-of-chain anchor residual is approximately zero within multi-match noise</w:t>
      </w:r>
      <w:r>
        <w:t xml:space="preserve"> </w:t>
      </w:r>
      <w:r>
        <w:t xml:space="preserve">whether the unchained mass is saturated-divergent or accessory. Even an oracle</w:t>
      </w:r>
      <w:r>
        <w:t xml:space="preserve"> </w:t>
      </w:r>
      <w:r>
        <w:t xml:space="preserve">given the exact identity of the chained sample still errs by MAE 1.36 against</w:t>
      </w:r>
      <w:r>
        <w:t xml:space="preserve"> </w:t>
      </w:r>
      <w:r>
        <w:t xml:space="preserve">whole-genome truth.</w:t>
      </w:r>
    </w:p>
    <w:p>
      <w:pPr>
        <w:pStyle w:val="BodyText"/>
      </w:pPr>
      <w:r>
        <w:t xml:space="preserve">Candidates tested included AF-weighted mixtures, discrete mixtures,</w:t>
      </w:r>
      <w:r>
        <w:t xml:space="preserve"> </w:t>
      </w:r>
      <w:r>
        <w:t xml:space="preserve">ascertainment-aware tilts, capped NPMLE with and without likelihood-ratio gating,</w:t>
      </w:r>
      <w:r>
        <w:t xml:space="preserve"> </w:t>
      </w:r>
      <w:r>
        <w:t xml:space="preserve">and model averaging. None beats the gated homogeneous/gamma baseline while</w:t>
      </w:r>
      <w:r>
        <w:t xml:space="preserve"> </w:t>
      </w:r>
      <w:r>
        <w:t xml:space="preserve">holding all simulation gates. The raw estimator is therefore at its</w:t>
      </w:r>
      <w:r>
        <w:t xml:space="preserve"> </w:t>
      </w:r>
      <w:r>
        <w:t xml:space="preserve">identifiability floor at 4-enzyme tag density; this negative result is why the</w:t>
      </w:r>
      <w:r>
        <w:t xml:space="preserve"> </w:t>
      </w:r>
      <w:r>
        <w:t xml:space="preserve">shipped pipeline uses calibration, rather than a more elaborate likelihood, as</w:t>
      </w:r>
      <w:r>
        <w:t xml:space="preserve"> </w:t>
      </w:r>
      <w:r>
        <w:t xml:space="preserve">the real-genome correction layer.</w:t>
      </w:r>
    </w:p>
    <w:bookmarkEnd w:id="29"/>
    <w:bookmarkStart w:id="30" w:name="Xb1eb0d0077db50146ab5cb7a6cc963413c0d2d3"/>
    <w:p>
      <w:pPr>
        <w:pStyle w:val="Heading2"/>
      </w:pPr>
      <w:r>
        <w:t xml:space="preserve">Supplementary Note 6 — Ridge calibration protocol details</w:t>
      </w:r>
    </w:p>
    <w:p>
      <w:pPr>
        <w:pStyle w:val="FirstParagraph"/>
      </w:pPr>
      <w:r>
        <w:t xml:space="preserve">The v5 calibration model is ridge regression on nine Syn2bANI-internal features:</w:t>
      </w:r>
      <w:r>
        <w:t xml:space="preserve"> </w:t>
      </w:r>
      <w:r>
        <w:rPr>
          <w:rStyle w:val="VerbatimChar"/>
        </w:rPr>
        <w:t xml:space="preserve">ani_gated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ani_uniform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af_reference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std_err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n_anchors</w:t>
      </w:r>
      <w:r>
        <w:t xml:space="preserve">,</w:t>
      </w:r>
      <w:r>
        <w:t xml:space="preserve"> </w:t>
      </w:r>
      <w:r>
        <w:rPr>
          <w:rStyle w:val="VerbatimChar"/>
        </w:rPr>
        <w:t xml:space="preserve">n_chains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n_tags_in_chains</w:t>
      </w:r>
      <w:r>
        <w:t xml:space="preserve">. Features are median-imputed and</w:t>
      </w:r>
      <w:r>
        <w:t xml:space="preserve"> </w:t>
      </w:r>
      <w:r>
        <w:t xml:space="preserve">standardized; regularization strength</w:t>
      </w:r>
      <w:r>
        <w:t xml:space="preserve"> </w:t>
      </w:r>
      <w:r>
        <w:rPr>
          <w:rStyle w:val="VerbatimChar"/>
        </w:rPr>
        <w:t xml:space="preserve">α = 10</w:t>
      </w:r>
      <w:r>
        <w:t xml:space="preserve"> </w:t>
      </w:r>
      <w:r>
        <w:t xml:space="preserve">is selected by inner</w:t>
      </w:r>
      <w:r>
        <w:t xml:space="preserve"> </w:t>
      </w:r>
      <w:r>
        <w:t xml:space="preserve">cross-validation with scikit-learn29.</w:t>
      </w:r>
    </w:p>
    <w:p>
      <w:pPr>
        <w:pStyle w:val="BodyText"/>
      </w:pPr>
      <w:r>
        <w:rPr>
          <w:b/>
          <w:bCs/>
        </w:rPr>
        <w:t xml:space="preserve">Training set.</w:t>
      </w:r>
      <w:r>
        <w:t xml:space="preserve"> </w:t>
      </w:r>
      <w:r>
        <w:t xml:space="preserve">2,520 ANIm-truth pairs (80–99.5% ANIm). This combines 2,053</w:t>
      </w:r>
      <w:r>
        <w:t xml:space="preserve"> </w:t>
      </w:r>
      <w:r>
        <w:t xml:space="preserve">finite pairs from a stratified 2,074-pair GTDB benchmark and 467 targeted</w:t>
      </w:r>
      <w:r>
        <w:t xml:space="preserve"> </w:t>
      </w:r>
      <w:r>
        <w:t xml:space="preserve">95.0–99.15% ANIm pairs selected by screening all 2.26 M same-genus GTDB-R207</w:t>
      </w:r>
      <w:r>
        <w:t xml:space="preserve"> </w:t>
      </w:r>
      <w:r>
        <w:t xml:space="preserve">representative pairs with skani and running dnadiff on 650 candidates. The</w:t>
      </w:r>
      <w:r>
        <w:t xml:space="preserve"> </w:t>
      </w:r>
      <w:r>
        <w:t xml:space="preserve">expanded set spans 607 species and 26 phyla and has zero genome-level overlap</w:t>
      </w:r>
      <w:r>
        <w:t xml:space="preserve"> </w:t>
      </w:r>
      <w:r>
        <w:t xml:space="preserve">with the original 2,074-pair set.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Band-holdout cross-validation: each of the four ANI bands</w:t>
      </w:r>
      <w:r>
        <w:t xml:space="preserve"> </w:t>
      </w:r>
      <w:r>
        <w:t xml:space="preserve">(80–85, 85–90, 90–95, 95–99) is predicted by a model trained on the other three</w:t>
      </w:r>
      <w:r>
        <w:t xml:space="preserve"> </w:t>
      </w:r>
      <w:r>
        <w:t xml:space="preserve">only. Training rows are shuffled with a fixed seed before CV because the inner</w:t>
      </w:r>
      <w:r>
        <w:t xml:space="preserve"> </w:t>
      </w:r>
      <w:r>
        <w:t xml:space="preserve">KFold of the ridge CV is order-sensitive.</w:t>
      </w:r>
    </w:p>
    <w:p>
      <w:pPr>
        <w:pStyle w:val="BodyText"/>
      </w:pPr>
      <w:r>
        <w:rPr>
          <w:b/>
          <w:bCs/>
        </w:rPr>
        <w:t xml:space="preserve">Model comparisons.</w:t>
      </w:r>
      <w:r>
        <w:t xml:space="preserve"> </w:t>
      </w:r>
      <w:r>
        <w:t xml:space="preserve">An expanded 18-feature variant and a gradient-boosted</w:t>
      </w:r>
      <w:r>
        <w:t xml:space="preserve"> </w:t>
      </w:r>
      <w:r>
        <w:t xml:space="preserve">regressor on the same features were evaluated and rejected: nonlinearity buys</w:t>
      </w:r>
      <w:r>
        <w:t xml:space="preserve"> </w:t>
      </w:r>
      <w:r>
        <w:t xml:space="preserve">nothing at</w:t>
      </w:r>
      <w:r>
        <w:t xml:space="preserve"> </w:t>
      </w:r>
      <w:r>
        <w:rPr>
          <w:rStyle w:val="VerbatimChar"/>
        </w:rPr>
        <w:t xml:space="preserve">n ≈ 2,500</w:t>
      </w:r>
      <w:r>
        <w:t xml:space="preserve">, and the expanded feature set degrades out-of-distribution</w:t>
      </w:r>
      <w:r>
        <w:t xml:space="preserve"> </w:t>
      </w:r>
      <w:r>
        <w:t xml:space="preserve">on near-clonal pairs. Seed spread over 5 seeds is ≤ 0.0015 MAE.</w:t>
      </w:r>
    </w:p>
    <w:p>
      <w:pPr>
        <w:pStyle w:val="BodyText"/>
      </w:pPr>
      <w:r>
        <w:rPr>
          <w:b/>
          <w:bCs/>
        </w:rPr>
        <w:t xml:space="preserve">Learning curve.</w:t>
      </w:r>
      <w:r>
        <w:t xml:space="preserve"> </w:t>
      </w:r>
      <w:r>
        <w:t xml:space="preserve">Subsampling the 2,520-pair training matrix at 492/984/1,476</w:t>
      </w:r>
      <w:r>
        <w:t xml:space="preserve"> </w:t>
      </w:r>
      <w:r>
        <w:t xml:space="preserve">and 1,969 pairs gives band-holdout CV MAE of 0.952, 0.902, 0.887, and 0.893,</w:t>
      </w:r>
      <w:r>
        <w:t xml:space="preserve"> </w:t>
      </w:r>
      <w:r>
        <w:t xml:space="preserve">respectively (Supplementary Note 2); the linear model plateaus at ~1,500 pairs.</w:t>
      </w:r>
    </w:p>
    <w:p>
      <w:pPr>
        <w:pStyle w:val="BodyText"/>
      </w:pPr>
      <w:r>
        <w:rPr>
          <w:b/>
          <w:bCs/>
        </w:rPr>
        <w:t xml:space="preserve">Deployment.</w:t>
      </w:r>
      <w:r>
        <w:t xml:space="preserve"> </w:t>
      </w:r>
      <w:r>
        <w:t xml:space="preserve">The model ships as a versioned JSON file containing ridge</w:t>
      </w:r>
      <w:r>
        <w:t xml:space="preserve"> </w:t>
      </w:r>
      <w:r>
        <w:t xml:space="preserve">weights, scaling parameters, and feature order; it is embedded in the binary and</w:t>
      </w:r>
      <w:r>
        <w:t xml:space="preserve"> </w:t>
      </w:r>
      <w:r>
        <w:t xml:space="preserve">evaluated at runtime in &lt; 1 µs. All feature matrices were regenerated with the</w:t>
      </w:r>
      <w:r>
        <w:t xml:space="preserve"> </w:t>
      </w:r>
      <w:r>
        <w:t xml:space="preserve">post-rescue binary before training, so there is no version skew between the</w:t>
      </w:r>
      <w:r>
        <w:t xml:space="preserve"> </w:t>
      </w:r>
      <w:r>
        <w:t xml:space="preserve">shipped estimator and the deployed model. Calibrated output is a separate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--calibrate</w:t>
      </w:r>
      <w:r>
        <w:t xml:space="preserve">); it returns no value on</w:t>
      </w:r>
      <w:r>
        <w:t xml:space="preserve"> </w:t>
      </w:r>
      <w:r>
        <w:rPr>
          <w:rStyle w:val="VerbatimChar"/>
        </w:rPr>
        <w:t xml:space="preserve">BELOW_DETECTION</w:t>
      </w:r>
      <w:r>
        <w:t xml:space="preserve"> </w:t>
      </w:r>
      <w:r>
        <w:t xml:space="preserve">pairs rather than</w:t>
      </w:r>
      <w:r>
        <w:t xml:space="preserve"> </w:t>
      </w:r>
      <w:r>
        <w:t xml:space="preserve">extrapolating.</w:t>
      </w:r>
    </w:p>
    <w:p>
      <w:pPr>
        <w:pStyle w:val="BodyText"/>
      </w:pPr>
      <w:r>
        <w:rPr>
          <w:b/>
          <w:bCs/>
        </w:rPr>
        <w:t xml:space="preserve">Hybrid estimator threshold.</w:t>
      </w:r>
      <w:r>
        <w:t xml:space="preserve"> </w:t>
      </w:r>
      <w:r>
        <w:t xml:space="preserve">The raw gated estimate is more accurate than the</w:t>
      </w:r>
      <w:r>
        <w:t xml:space="preserve"> </w:t>
      </w:r>
      <w:r>
        <w:t xml:space="preserve">calibrated estimate in the near-clonal regime, whereas calibration is essential</w:t>
      </w:r>
      <w:r>
        <w:t xml:space="preserve"> </w:t>
      </w:r>
      <w:r>
        <w:t xml:space="preserve">at lower ANI. A hybrid rule was therefore evaluated: report the raw gated</w:t>
      </w:r>
      <w:r>
        <w:t xml:space="preserve"> </w:t>
      </w:r>
      <w:r>
        <w:t xml:space="preserve">estimate when it exceeds a threshold</w:t>
      </w:r>
      <w:r>
        <w:t xml:space="preserve"> </w:t>
      </w:r>
      <w:r>
        <w:rPr>
          <w:rStyle w:val="VerbatimChar"/>
        </w:rPr>
        <w:t xml:space="preserve">t</w:t>
      </w:r>
      <w:r>
        <w:t xml:space="preserve">, otherwise report the calibrated</w:t>
      </w:r>
      <w:r>
        <w:t xml:space="preserve"> </w:t>
      </w:r>
      <w:r>
        <w:t xml:space="preserve">estimate. The threshold was chosen by overall MAE on the unified 80–100% ANIm</w:t>
      </w:r>
      <w:r>
        <w:t xml:space="preserve"> </w:t>
      </w:r>
      <w:r>
        <w:t xml:space="preserve">benchmark (43,334 held-out GTDB-R207 pairs plus 727 high-ANI test pairs,</w:t>
      </w:r>
      <w:r>
        <w:t xml:space="preserve"> </w:t>
      </w:r>
      <w:r>
        <w:t xml:space="preserve">n = 40,629 pairs with non-missing raw and calibrated values):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−0.1211</w:t>
            </w:r>
          </w:p>
        </w:tc>
      </w:tr>
    </w:tbl>
    <w:p>
      <w:pPr>
        <w:pStyle w:val="BodyText"/>
      </w:pPr>
      <w:r>
        <w:t xml:space="preserve">MAE decreases sharply from 95% to 97%, then plateaus; 98% was selected as the</w:t>
      </w:r>
      <w:r>
        <w:t xml:space="preserve"> </w:t>
      </w:r>
      <w:r>
        <w:t xml:space="preserve">operating threshold because it lies on the plateau while keeping the calibrated</w:t>
      </w:r>
      <w:r>
        <w:t xml:space="preserve"> </w:t>
      </w:r>
      <w:r>
        <w:t xml:space="preserve">estimate active for the broadest range of strain-level pairs. The hybrid rule is</w:t>
      </w:r>
      <w:r>
        <w:t xml:space="preserve"> </w:t>
      </w:r>
      <w:r>
        <w:t xml:space="preserve">not sensitive to the exact threshold in the 97–99% window.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2026-09-04T15:55:18Z</dcterms:created>
  <dcterms:modified xsi:type="dcterms:W3CDTF">2026-09-04T15:55:18Z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