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standard for prokaryotic species delineation, but alignment-free tools reduce a genome comparison to one divergence scalar and discard structural information. We introduce Syn2bANI, which uses in-silico Type IIB restriction-site tags as fixed positional anchors, chains shared anchors collinearly, and estimates ANI from tags inside trusted chains. An effect-size gate chooses rate models and a ridge calibration corrects real-genome rate heterogeneity. The same anchors yield aligned fraction, breakpoint counts, inversion/translocation calls and indel sizes in one pass. On exact-truth simulations, Syn2bANI attained MAE 0.073 ANI points versus 0.377 for skani and 0.742 for FastANI and remained accurate under simulated indels, accessory content and fragmentation. On 39,903 of 43,334 genome-disjoint held-out GTDB-R207 pairs returning calibrated values, MAE was 0.619 ANI points against ANIm, compared with 0.957 (skani) and 0.977 (FastANI); calibration brings comparators to 0.753 and 0.548, so the shipped-tool gain reflects bias removal. Complete-genome calibration is benchmark-only; the raw gated estimate is recommended for MAGs. Structural outputs localize loci invisible to ANI; in FDA-ARGOS</w:t>
      </w:r>
      <w:r>
        <w:t xml:space="preserve"> </w:t>
      </w:r>
      <w:r>
        <w:rPr>
          <w:i/>
          <w:iCs/>
        </w:rPr>
        <w:t xml:space="preserve">E. coli</w:t>
      </w:r>
      <w:r>
        <w:t xml:space="preserve">, 58% of ANI ≥ 99.9% pairs differ in resistance genotype and 98% structurally. Syn2bANI is implemented in Rust and freely available.</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close to unbiased (mean signed error +0.06 ANI points over the ladder)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has lower error than skani and FastANI as shipped at 80–90% ANI, an advantage that shrinks to parity with FastANI once the comparators receive the same calibration; skani is more accurate above 90% ANI, and a hybrid rule recovers skani-level accuracy at 97–100% ANI. The same pass additionally provides synteny and SV outputs that k-mer tools do not report.</w:t>
      </w:r>
    </w:p>
    <w:p>
      <w:r>
        <w:pict>
          <v:rect style="width:0;height:1.5pt" o:hralign="center" o:hrstd="t" o:hr="t"/>
        </w:pict>
      </w:r>
    </w:p>
    <w:bookmarkEnd w:id="11"/>
    <w:bookmarkStart w:id="27"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The deployed v5 calibration was trained on a 2,074-pair set across ANI bands (80–85%, 85–90%, 90–95%, 95–99%); a separate 467-pair expansion at 95.0–99.15% was added because the original top band was underpowered; this gave 2,520 v5 training pairs.</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Deployed calibration v5 attains band-holdout CV MAE</w:t>
      </w:r>
      <w:r>
        <w:t xml:space="preserve"> </w:t>
      </w:r>
      <w:r>
        <w:rPr>
          <w:b/>
          <w:bCs/>
        </w:rPr>
        <w:t xml:space="preserve">0.731</w:t>
      </w:r>
      <w:r>
        <w:t xml:space="preserve"> </w:t>
      </w:r>
      <w:r>
        <w:t xml:space="preserve">(bias +0.05, r = 0.963) on the 2,074-pair benchmark, ahead of skani (0.906) and FastANI (1.056) as shipped. Real-genome evaluation used benchmark calibration v6, which adds 1,614 usable high-ANI training pairs to the 2,520 v5 pairs (training n = 4,134) and is therefore distinct from the software snapshot’s embedded v5 model. The v6 model is benchmark-only; it is not the deployed embedded model. On the strictly held-out 43,334-pair set the v6-calibrated column is defined for 39,903 pairs — the remaining 3,431, almost all in the 80–85% band, are declined as</w:t>
      </w:r>
      <w:r>
        <w:t xml:space="preserve"> </w:t>
      </w:r>
      <w:r>
        <w:rPr>
          <w:rStyle w:val="VerbatimChar"/>
        </w:rPr>
        <w:t xml:space="preserve">BELOW_DETECTION</w:t>
      </w:r>
      <w:r>
        <w:t xml:space="preserve"> </w:t>
      </w:r>
      <w:r>
        <w:t xml:space="preserve">rather than estimated — and on those pairs it attains MAE</w:t>
      </w:r>
      <w:r>
        <w:t xml:space="preserve"> </w:t>
      </w:r>
      <w:r>
        <w:rPr>
          <w:b/>
          <w:bCs/>
        </w:rPr>
        <w:t xml:space="preserve">0.619 ANI points</w:t>
      </w:r>
      <w:r>
        <w:t xml:space="preserve"> </w:t>
      </w:r>
      <w:r>
        <w:t xml:space="preserve">(bias −0.12, r = 0.962) against 0.957 (skani) and 0.977 (FastANI) on the same pairs (Table 1). This is therefore a complete-case comparison within a skani-screenable representative-pair population, not an unconditioned all-pair population. In a 2,000-replicate genome-level bootstrap that retains all pairs sharing a resampled genome, the v6-minus-skani MAE difference was −0.338 ANI points (95% CI −0.360 to −0.317); we do not extend this interval to every band or phylum-level contrast. The raw gated estimate on the 3,431 declined pairs has MAE 1.33, against 1.90 (skani) and 1.84 (FastANI). A unified 80–100% benchmark that adds 727 high-ANI test pairs shows the hybrid rule (raw ≥ 98% / calibrated &lt; 98%) attaining complete-case MAE</w:t>
      </w:r>
      <w:r>
        <w:t xml:space="preserve"> </w:t>
      </w:r>
      <w:r>
        <w:rPr>
          <w:b/>
          <w:bCs/>
        </w:rPr>
        <w:t xml:space="preserve">0.615 on 40,629 pairs</w:t>
      </w:r>
      <w:r>
        <w:t xml:space="preserve">, recovering the raw gated performance in the 97–100% regime (MAE 0.23) without degrading 95–97% (Fig. 3); the corresponding hybrid-minus-skani genome-bootstrap interval was −0.337 (95% CI −0.359 to −0.315). The 98% threshold was selected by MAE on this same unified benchmark, so this row is an operational-threshold sensitivity analysis rather than an independent test of threshold selection. The one-sided upper bound covers ANIm truth on 99.4% of all 43,334 pairs. High-ANI training genomes were excluded bidirectionally from the 43,334-pair set and from the 727-pair test split. ANI error was also stable across truth-alignment tiers on the common complete-case subset: calibrated Syn2bANI MAE was 0.533 in 22,323 strict-AF pairs, 0.728 in 17,521 low-AF pairs and 1.154 in only 59 very-low-AF pairs (</w:t>
      </w:r>
      <w:r>
        <w:rPr>
          <w:rStyle w:val="VerbatimChar"/>
        </w:rPr>
        <w:t xml:space="preserve">results/revision/af_stratified_benchmark.tsv</w:t>
      </w:r>
      <w:r>
        <w:t xml:space="preserve">).</w:t>
      </w:r>
    </w:p>
    <w:p>
      <w:pPr>
        <w:pStyle w:val="BodyText"/>
      </w:pPr>
      <w:r>
        <w:t xml:space="preserve">Two qualifications are needed. First, the comparators’ error at 80–90% ANI is almost entirely a constant downward bias (−1.97 for skani and −1.83 for FastANI in the 80–85% band), and a bias can be removed by a similar post-hoc step. We therefore report three comparator tiers: shipped tools, separately band-holdout-calibrated outputs, and FastANI with two additional mapped-fragment features. The comparator calibrations are not identical to Syn2bANI v6 training in data, feature budget or failure rules. Giving each comparator a band-holdout linear calibration on its own outputs (</w:t>
      </w:r>
      <w:r>
        <w:rPr>
          <w:rStyle w:val="VerbatimChar"/>
        </w:rPr>
        <w:t xml:space="preserve">analysis/calibrated_comparators.py</w:t>
      </w:r>
      <w:r>
        <w:t xml:space="preserve">;</w:t>
      </w:r>
      <w:r>
        <w:t xml:space="preserve"> </w:t>
      </w:r>
      <w:r>
        <w:rPr>
          <w:rStyle w:val="VerbatimChar"/>
        </w:rPr>
        <w:t xml:space="preserve">results/gtdb50k/CALIBRATED_COMPARATORS.md</w:t>
      </w:r>
      <w:r>
        <w:t xml:space="preserve">) brings skani to MAE 0.753 and FastANI to 0.548 on the common 39,903 pairs (0.487 with FastANI’s mapped-fragment counts as additional features), against 0.619 for calibrated Syn2bANI. The calibrated Syn2bANI estimate is therefore more accurate than calibrated skani and less accurate than calibrated FastANI; the headline gain over the tools as shipped is mostly the removal of their bias. Second, within the 80–85% band the raw gated estimate is essentially uncorrelated with ANIm (r = −0.06 on the common subset) and the calibrated estimate reaches r = 0.41, against 0.66 (skani) and 0.81 (FastANI): at that divergence the four-enzyme panel leaves too few chained anchors for the likelihood to rank pairs, and the calibration’s low MAE there reflects regression toward the band mean rather than discrimination. Above 90% ANI skani is the more accurate of the three in every configuration.</w:t>
      </w:r>
    </w:p>
    <w:p>
      <w:pPr>
        <w:pStyle w:val="BodyText"/>
      </w:pPr>
      <w:r>
        <w:t xml:space="preserve">Computational efficiency was measured on ordered all-vs-all comparisons of Enterobacteriaceae subsets of 2–22 genomes (n² pairs, including the 22 self comparisons at n = 22) and on database-scale GTDB-R207 runs. The 3.7 s from FASTA and 2.8 s with sketch reuse for 484 comparisons report ANI plus anchor-derived structural columns; a separate SV-caller stage adds 4.36 s. The combined sketch ANI plus</w:t>
      </w:r>
      <w:r>
        <w:t xml:space="preserve"> </w:t>
      </w:r>
      <w:r>
        <w:rPr>
          <w:rStyle w:val="VerbatimChar"/>
        </w:rPr>
        <w:t xml:space="preserve">struct</w:t>
      </w:r>
      <w:r>
        <w:t xml:space="preserve"> </w:t>
      </w:r>
      <w:r>
        <w:t xml:space="preserve">workflow takes 7.6 s, against ~1,843 s for skani + dnadiff, a &gt;240-fold speedup (Fig. 4a–d). Peak RSS is 58 MB for sketch-reuse ANI, versus 185 MB (skani) and 912 MB (FastANI). At database scale, all-vs-all screen plus refinement on 5,000 GTDB-R207 representative genomes takes 406.7 s (6.8 min) on a 32-thread node; search of 100 queries against that database takes 22.0 s. The stage-1 screen that makes this scaling possible rejects 83–87% of random pairs while retaining all 500 validated true pairs (0% false-reject rate; stage-level decomposition and screen statistics in Supplementary Table S6 and</w:t>
      </w:r>
      <w:r>
        <w:t xml:space="preserve"> </w:t>
      </w:r>
      <w:r>
        <w:rPr>
          <w:rStyle w:val="VerbatimChar"/>
        </w:rPr>
        <w:t xml:space="preserve">results/efficiency_v8/MACHINE.md</w:t>
      </w:r>
      <w:r>
        <w:t xml:space="preserve">).</w:t>
      </w:r>
    </w:p>
    <w:bookmarkEnd w:id="14"/>
    <w:bookmarkStart w:id="15" w:name="X9fcec0604a6a727bb74fe6dfcf89c2d8d1644b7"/>
    <w:p>
      <w:pPr>
        <w:pStyle w:val="Heading3"/>
      </w:pPr>
      <w:r>
        <w:t xml:space="preserve">Database-scale search: one-to-all against GTDB-R207</w:t>
      </w:r>
    </w:p>
    <w:p>
      <w:pPr>
        <w:pStyle w:val="FirstParagraph"/>
      </w:pPr>
      <w:r>
        <w:t xml:space="preserve">To benchmark practical database search, seven case-study genomes (</w:t>
      </w:r>
      <w:r>
        <w:rPr>
          <w:i/>
          <w:iCs/>
        </w:rPr>
        <w:t xml:space="preserve">E. coli</w:t>
      </w:r>
      <w:r>
        <w:t xml:space="preserve">,</w:t>
      </w:r>
      <w:r>
        <w:t xml:space="preserve"> </w:t>
      </w:r>
      <w:r>
        <w:rPr>
          <w:i/>
          <w:iCs/>
        </w:rPr>
        <w:t xml:space="preserve">B. longum</w:t>
      </w:r>
      <w:r>
        <w:t xml:space="preserve">,</w:t>
      </w:r>
      <w:r>
        <w:t xml:space="preserve"> </w:t>
      </w:r>
      <w:r>
        <w:rPr>
          <w:i/>
          <w:iCs/>
        </w:rPr>
        <w:t xml:space="preserve">H. pylori</w:t>
      </w:r>
      <w:r>
        <w:t xml:space="preserve">,</w:t>
      </w:r>
      <w:r>
        <w:t xml:space="preserve"> </w:t>
      </w:r>
      <w:r>
        <w:rPr>
          <w:i/>
          <w:iCs/>
        </w:rPr>
        <w:t xml:space="preserve">S. aureus</w:t>
      </w:r>
      <w:r>
        <w:t xml:space="preserve">,</w:t>
      </w:r>
      <w:r>
        <w:t xml:space="preserve"> </w:t>
      </w:r>
      <w:r>
        <w:rPr>
          <w:i/>
          <w:iCs/>
        </w:rPr>
        <w:t xml:space="preserve">P. aeruginosa</w:t>
      </w:r>
      <w:r>
        <w:t xml:space="preserve">,</w:t>
      </w:r>
      <w:r>
        <w:t xml:space="preserve"> </w:t>
      </w:r>
      <w:r>
        <w:rPr>
          <w:i/>
          <w:iCs/>
        </w:rPr>
        <w:t xml:space="preserve">S. rimosus</w:t>
      </w:r>
      <w:r>
        <w:t xml:space="preserve">,</w:t>
      </w:r>
      <w:r>
        <w:t xml:space="preserve"> </w:t>
      </w:r>
      <w:r>
        <w:rPr>
          <w:i/>
          <w:iCs/>
        </w:rPr>
        <w:t xml:space="preserve">N. gonorrhoeae</w:t>
      </w:r>
      <w:r>
        <w:t xml:space="preserve">) were queried against all 65,703 GTDB R207 representative genomes. skani</w:t>
      </w:r>
      <w:r>
        <w:t xml:space="preserve"> </w:t>
      </w:r>
      <w:r>
        <w:rPr>
          <w:rStyle w:val="VerbatimChar"/>
        </w:rPr>
        <w:t xml:space="preserve">search</w:t>
      </w:r>
      <w:r>
        <w:t xml:space="preserve"> </w:t>
      </w:r>
      <w:r>
        <w:t xml:space="preserve">remained the fastest ANI-only option: warm queries finished in 7–45 s after a one-off 1,309-s index load, with a peak RSS of 4.5 GB. FastANI could not complete any query at this scale — it was killed at 128 GB (t=16), 300 GB (t=8), 511 GB (t=32), and even a single-threaded 64-GB attempt exceeded the limit (peak RSS 65.4 GB). Syn2bANI</w:t>
      </w:r>
      <w:r>
        <w:t xml:space="preserve"> </w:t>
      </w:r>
      <w:r>
        <w:rPr>
          <w:rStyle w:val="VerbatimChar"/>
        </w:rPr>
        <w:t xml:space="preserve">search</w:t>
      </w:r>
      <w:r>
        <w:t xml:space="preserve"> </w:t>
      </w:r>
      <w:r>
        <w:t xml:space="preserve">took a median 5,536 s (1.5 h) and 44 GB per query, slower than skani but returning both ANI and structural columns in one pass; its</w:t>
      </w:r>
      <w:r>
        <w:t xml:space="preserve"> </w:t>
      </w:r>
      <w:r>
        <w:rPr>
          <w:rStyle w:val="VerbatimChar"/>
        </w:rPr>
        <w:t xml:space="preserve">dist</w:t>
      </w:r>
      <w:r>
        <w:t xml:space="preserve"> </w:t>
      </w:r>
      <w:r>
        <w:t xml:space="preserve">mode from FASTA was digestion-bound at a median 13,643 s (~3.8 h). For the SV follow-up on the top non-self hit,</w:t>
      </w:r>
      <w:r>
        <w:t xml:space="preserve"> </w:t>
      </w:r>
      <w:r>
        <w:rPr>
          <w:rStyle w:val="VerbatimChar"/>
        </w:rPr>
        <w:t xml:space="preserve">syn2bani struct</w:t>
      </w:r>
      <w:r>
        <w:t xml:space="preserve"> </w:t>
      </w:r>
      <w:r>
        <w:t xml:space="preserve">took 0.10–0.54 s and ≤15 MB, versus dnadiff at 6.1–38.9 s and 79–327 MB — a ~60–90× wall-time speedup (Fig. 4e,f; Table 2). With an aligned-fraction floor (af_query ≥ 0.5) applied to Syn2bANI search output, Syn2bANI and skani agreed on the top non-self hit for 4/7 queries; the remaining three were taxonomically close (</w:t>
      </w:r>
      <w:r>
        <w:rPr>
          <w:i/>
          <w:iCs/>
        </w:rPr>
        <w:t xml:space="preserve">H. pylori</w:t>
      </w:r>
      <w:r>
        <w:t xml:space="preserve">: same species, different clades;</w:t>
      </w:r>
      <w:r>
        <w:t xml:space="preserve"> </w:t>
      </w:r>
      <w:r>
        <w:rPr>
          <w:i/>
          <w:iCs/>
        </w:rPr>
        <w:t xml:space="preserve">S. aureus</w:t>
      </w:r>
      <w:r>
        <w:t xml:space="preserve"> </w:t>
      </w:r>
      <w:r>
        <w:t xml:space="preserve">and</w:t>
      </w:r>
      <w:r>
        <w:t xml:space="preserve"> </w:t>
      </w:r>
      <w:r>
        <w:rPr>
          <w:i/>
          <w:iCs/>
        </w:rPr>
        <w:t xml:space="preserve">S. rimosus</w:t>
      </w:r>
      <w:r>
        <w:t xml:space="preserve">: same genus, different species).</w:t>
      </w:r>
    </w:p>
    <w:bookmarkEnd w:id="15"/>
    <w:bookmarkStart w:id="16"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6"/>
    <w:bookmarkStart w:id="17"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7"/>
    <w:bookmarkStart w:id="18"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8"/>
    <w:bookmarkStart w:id="19" w:name="X9ed22b9aacf635813ce0d715761180981ac3a7a"/>
    <w:p>
      <w:pPr>
        <w:pStyle w:val="Heading3"/>
      </w:pPr>
      <w:r>
        <w:t xml:space="preserve">High ANI does not guarantee conserved architecture</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af_query</w:t>
      </w:r>
      <w:r>
        <w:t xml:space="preserve">,</w:t>
      </w:r>
      <w:r>
        <w:t xml:space="preserve"> </w:t>
      </w:r>
      <w:r>
        <w:rPr>
          <w:rStyle w:val="VerbatimChar"/>
        </w:rPr>
        <w:t xml:space="preserve">anchor_adjacency</w:t>
      </w:r>
      <w:r>
        <w:t xml:space="preserve">,</w:t>
      </w:r>
      <w:r>
        <w:t xml:space="preserve"> </w:t>
      </w:r>
      <w:r>
        <w:rPr>
          <w:rStyle w:val="VerbatimChar"/>
        </w:rPr>
        <w:t xml:space="preserve">breakpoint_count</w:t>
      </w:r>
      <w:r>
        <w:t xml:space="preserve">,</w:t>
      </w:r>
      <w:r>
        <w:t xml:space="preserve"> </w:t>
      </w:r>
      <w:r>
        <w:rPr>
          <w:rStyle w:val="VerbatimChar"/>
        </w:rPr>
        <w:t xml:space="preserve">synteny_blocks</w:t>
      </w:r>
      <w:r>
        <w:t xml:space="preserve">, and inversion/translocation calls from the</w:t>
      </w:r>
      <w:r>
        <w:t xml:space="preserve"> </w:t>
      </w:r>
      <w:r>
        <w:rPr>
          <w:rStyle w:val="VerbatimChar"/>
        </w:rPr>
        <w:t xml:space="preserve">struct</w:t>
      </w:r>
      <w:r>
        <w:t xml:space="preserve"> </w:t>
      </w:r>
      <w:r>
        <w:t xml:space="preserve">subcommand. A further length-weighted signal,</w:t>
      </w:r>
      <w:r>
        <w:t xml:space="preserve"> </w:t>
      </w:r>
      <w:r>
        <w:rPr>
          <w:rStyle w:val="VerbatimChar"/>
        </w:rPr>
        <w:t xml:space="preserve">raw_inverted_fraction</w:t>
      </w:r>
      <w:r>
        <w:t xml:space="preserve">, is computed by the companion tool Syn2b (https://github.com/HuangShiLab/Syn2b) from the same Type IIB anchor definition and enzyme panel; it measures the fraction of the shared genome that maps in the reverse orientation and is invariant to assembly fragmentation. We report it alongside the Syn2bANI columns because it is the structural quantity that agrees most closely with alignment-based truth (below); the two tools digest the same genomes with the same enzymes but write separate anchor files (</w:t>
      </w:r>
      <w:r>
        <w:rPr>
          <w:rStyle w:val="VerbatimChar"/>
        </w:rPr>
        <w:t xml:space="preserve">.tgt</w:t>
      </w:r>
      <w:r>
        <w:t xml:space="preserve"> </w:t>
      </w:r>
      <w:r>
        <w:t xml:space="preserve">and</w:t>
      </w:r>
      <w:r>
        <w:t xml:space="preserve"> </w:t>
      </w:r>
      <w:r>
        <w:rPr>
          <w:rStyle w:val="VerbatimChar"/>
        </w:rPr>
        <w:t xml:space="preserve">.s2ba</w:t>
      </w:r>
      <w:r>
        <w:t xml:space="preserve"> </w:t>
      </w:r>
      <w:r>
        <w:t xml:space="preserve">respectively).</w:t>
      </w:r>
      <w:r>
        <w:t xml:space="preserve"> </w:t>
      </w:r>
      <w:r>
        <w:rPr>
          <w:rStyle w:val="VerbatimChar"/>
        </w:rPr>
        <w:t xml:space="preserve">breakpoint_count</w:t>
      </w:r>
      <w:r>
        <w:t xml:space="preserve"> </w:t>
      </w:r>
      <w:r>
        <w:t xml:space="preserve">is a count-based descriptor of reference-order and orientation violations between collinear blocks; assembly fragmentation no longer inflates it (a genome re-assembled into 50 contigs scores 0 against itself), but a fragmented assembly does lose sensitivity, because a rearrangement whose two flanks fall on different contigs leaves the reference with nothing to contradict.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rPr>
          <w:rStyle w:val="VerbatimChar"/>
        </w:rPr>
        <w:t xml:space="preserve">breakpoint_count</w:t>
      </w:r>
      <w:r>
        <w:t xml:space="preserve"> </w:t>
      </w:r>
      <w:r>
        <w:t xml:space="preserve">is an event count, and establishing that took three corrections to the statistic, each of which had inflated it by one to two orders of magnitude and each of which is detectable without any reference genome. Before Syn2bANI c974f5f a fragmented reference added one breakpoint per reference contig; before v0.1.1 chaining-rejected repeat anchors and collinear chain breaks were counted as well, so the</w:t>
      </w:r>
      <w:r>
        <w:t xml:space="preserve"> </w:t>
      </w:r>
      <w:r>
        <w:rPr>
          <w:i/>
          <w:iCs/>
        </w:rPr>
        <w:t xml:space="preserve">E. coli</w:t>
      </w:r>
      <w:r>
        <w:t xml:space="preserve"> </w:t>
      </w:r>
      <w:r>
        <w:t xml:space="preserve">O157:H7 EDL933 chromosome compared with itself reported 809 breakpoints and an</w:t>
      </w:r>
      <w:r>
        <w:t xml:space="preserve"> </w:t>
      </w:r>
      <w:r>
        <w:rPr>
          <w:i/>
          <w:iCs/>
        </w:rPr>
        <w:t xml:space="preserve">S. aureus</w:t>
      </w:r>
      <w:r>
        <w:t xml:space="preserve"> </w:t>
      </w:r>
      <w:r>
        <w:t xml:space="preserve">pair differing only in where its assembly begins reported 39. In the released statistic each primary chain contributes one block, a block transition along the query counts only when the reference does not place the two blocks consecutively in the query’s orientation, and a missing reference block is treated as absence of evidence rather than as a rearrangement (Online Methods, structural metrics). Every self-comparison, rotation and re-fragmentation then reports 0, and on in-silico</w:t>
      </w:r>
      <w:r>
        <w:t xml:space="preserve"> </w:t>
      </w:r>
      <w:r>
        <w:rPr>
          <w:i/>
          <w:iCs/>
        </w:rPr>
        <w:t xml:space="preserve">E. coli</w:t>
      </w:r>
      <w:r>
        <w:t xml:space="preserve"> </w:t>
      </w:r>
      <w:r>
        <w:t xml:space="preserve">MG1655 edits the count is exact: 2 per inversion at 500, 100 and 10 kb, 3 per translocation, 6 for three inversions, and 0 for 10-kb indels and for 1–3% substitution (</w:t>
      </w:r>
      <w:r>
        <w:rPr>
          <w:rStyle w:val="VerbatimChar"/>
        </w:rPr>
        <w:t xml:space="preserve">analysis/breakpoint_ladder.py</w:t>
      </w:r>
      <w:r>
        <w:t xml:space="preserve">,</w:t>
      </w:r>
      <w:r>
        <w:t xml:space="preserve"> </w:t>
      </w:r>
      <w:r>
        <w:rPr>
          <w:rStyle w:val="VerbatimChar"/>
        </w:rPr>
        <w:t xml:space="preserve">results/breakpoint_ladder.tsv</w:t>
      </w:r>
      <w:r>
        <w:t xml:space="preserve">). All structural numbers below were recomputed with that statistic; numbers from earlier builds, including those in previous versions of this manuscript, are withdrawn.</w:t>
      </w:r>
    </w:p>
    <w:p>
      <w:pPr>
        <w:pStyle w:val="BodyText"/>
      </w:pPr>
      <w:r>
        <w:t xml:space="preserve">On that footing the decoupling is real but modest in magnitude, and it is collection-dependent. In four published isolate collections from a synteny-based strain-tracking study10, scored through the companion Syn2b structural channel, the median pair carries 0 junctions in the hypermutator</w:t>
      </w:r>
      <w:r>
        <w:t xml:space="preserve"> </w:t>
      </w:r>
      <w:r>
        <w:rPr>
          <w:i/>
          <w:iCs/>
        </w:rPr>
        <w:t xml:space="preserve">E. coli</w:t>
      </w:r>
      <w:r>
        <w:t xml:space="preserve"> </w:t>
      </w:r>
      <w:r>
        <w:t xml:space="preserve">collection (whose divergence is predominantly sequence-level), 3 in</w:t>
      </w:r>
      <w:r>
        <w:t xml:space="preserve"> </w:t>
      </w:r>
      <w:r>
        <w:rPr>
          <w:i/>
          <w:iCs/>
        </w:rPr>
        <w:t xml:space="preserve">N. gonorrhoeae</w:t>
      </w:r>
      <w:r>
        <w:t xml:space="preserve">, 7 in</w:t>
      </w:r>
      <w:r>
        <w:t xml:space="preserve"> </w:t>
      </w:r>
      <w:r>
        <w:rPr>
          <w:i/>
          <w:iCs/>
        </w:rPr>
        <w:t xml:space="preserve">H. pylori</w:t>
      </w:r>
      <w:r>
        <w:t xml:space="preserve"> </w:t>
      </w:r>
      <w:r>
        <w:t xml:space="preserve">and 10 in</w:t>
      </w:r>
      <w:r>
        <w:t xml:space="preserve"> </w:t>
      </w:r>
      <w:r>
        <w:rPr>
          <w:i/>
          <w:iCs/>
        </w:rPr>
        <w:t xml:space="preserve">S. rimosus</w:t>
      </w:r>
      <w:r>
        <w:t xml:space="preserve"> </w:t>
      </w:r>
      <w:r>
        <w:t xml:space="preserve">(Fig. 6); within</w:t>
      </w:r>
      <w:r>
        <w:t xml:space="preserve"> </w:t>
      </w:r>
      <w:r>
        <w:rPr>
          <w:i/>
          <w:iCs/>
        </w:rPr>
        <w:t xml:space="preserve">H. pylori</w:t>
      </w:r>
      <w:r>
        <w:t xml:space="preserve">, pairs from one participant differ by a median of 0 junctions and pairs from different participants by 8 (Mann–Whitney p = 4.1 × 10⁻²²⁶). The same signal is reproduced through Syn2bANI’s own structural channel (</w:t>
      </w:r>
      <w:r>
        <w:rPr>
          <w:rStyle w:val="VerbatimChar"/>
        </w:rPr>
        <w:t xml:space="preserve">breakpoint_count</w:t>
      </w:r>
      <w:r>
        <w:t xml:space="preserve">, v0.1.1): cohort medians 0/1/5/3 for</w:t>
      </w:r>
      <w:r>
        <w:t xml:space="preserve"> </w:t>
      </w:r>
      <w:r>
        <w:rPr>
          <w:i/>
          <w:iCs/>
        </w:rPr>
        <w:t xml:space="preserve">E. coli</w:t>
      </w:r>
      <w:r>
        <w:t xml:space="preserve">/</w:t>
      </w:r>
      <w:r>
        <w:rPr>
          <w:i/>
          <w:iCs/>
        </w:rPr>
        <w:t xml:space="preserve">N. gonorrhoeae</w:t>
      </w:r>
      <w:r>
        <w:t xml:space="preserve">/</w:t>
      </w:r>
      <w:r>
        <w:rPr>
          <w:i/>
          <w:iCs/>
        </w:rPr>
        <w:t xml:space="preserve">H. pylori</w:t>
      </w:r>
      <w:r>
        <w:t xml:space="preserve">/</w:t>
      </w:r>
      <w:r>
        <w:rPr>
          <w:i/>
          <w:iCs/>
        </w:rPr>
        <w:t xml:space="preserve">S. rimosus</w:t>
      </w:r>
      <w:r>
        <w:t xml:space="preserve"> </w:t>
      </w:r>
      <w:r>
        <w:t xml:space="preserve">— systematically lower than the Syn2b count, as expected from its stricter evidence rules, but ranking the collections identically — and within-</w:t>
      </w:r>
      <w:r>
        <w:rPr>
          <w:i/>
          <w:iCs/>
        </w:rPr>
        <w:t xml:space="preserve">H. pylori</w:t>
      </w:r>
      <w:r>
        <w:t xml:space="preserve"> </w:t>
      </w:r>
      <w:r>
        <w:t xml:space="preserve">pairs again separate cleanly (median 0 within participants, 6 between; per-pair data in the Syn2b-paper repository,</w:t>
      </w:r>
      <w:r>
        <w:t xml:space="preserve"> </w:t>
      </w:r>
      <w:r>
        <w:rPr>
          <w:rStyle w:val="VerbatimChar"/>
        </w:rPr>
        <w:t xml:space="preserve">results/syntracker_validation/rerun_v032/</w:t>
      </w:r>
      <w:r>
        <w:t xml:space="preserve">). In 74 complete</w:t>
      </w:r>
      <w:r>
        <w:t xml:space="preserve"> </w:t>
      </w:r>
      <w:r>
        <w:rPr>
          <w:i/>
          <w:iCs/>
        </w:rPr>
        <w:t xml:space="preserve">E. coli</w:t>
      </w:r>
      <w:r>
        <w:t xml:space="preserve"> </w:t>
      </w:r>
      <w:r>
        <w:t xml:space="preserve">O157:H7 genomes whose pairwise ANI never falls below 99.886%, the median pair still differs by 7 breakpoints (IQR 4–9, max 19) and 74% of pairs by at least 5, over an ANI range only 0.11 points wide (Supplementary Fig. S9). The counterexample is equally informative: in 67 distinct FDA-ARGOS</w:t>
      </w:r>
      <w:r>
        <w:t xml:space="preserve"> </w:t>
      </w:r>
      <w:r>
        <w:rPr>
          <w:i/>
          <w:iCs/>
        </w:rPr>
        <w:t xml:space="preserve">S. aureus</w:t>
      </w:r>
      <w:r>
        <w:t xml:space="preserve"> </w:t>
      </w:r>
      <w:r>
        <w:t xml:space="preserve">assemblies spanning 93.6–100% ANI, 61% of pairs carry no breakpoints at all and the maximum over 2,211 pairs is 7 (Supplementary Fig. S10), so in that collection ANI and architecture are not decoupled. An ANI-only search can therefore return genomes that are nearly identical in average sequence yet differ by a handful to a few dozen rearrangements — enough to matter for strain tracking and for locus-level questions, and invisible to a scalar — but the size of the effect is species- and collection-specific and has to be measured rather than assumed.</w:t>
      </w:r>
    </w:p>
    <w:bookmarkEnd w:id="19"/>
    <w:bookmarkStart w:id="20" w:name="Xc81d0616db6a29eff1f82ce2802ab0dff03c387"/>
    <w:p>
      <w:pPr>
        <w:pStyle w:val="Heading3"/>
      </w:pPr>
      <w:r>
        <w:t xml:space="preserve">Structural outputs show metric-specific agreement with independent truth</w:t>
      </w:r>
    </w:p>
    <w:p>
      <w:pPr>
        <w:pStyle w:val="FirstParagraph"/>
      </w:pPr>
      <w:r>
        <w:t xml:space="preserve">To test whether the coverage metrics are reliable, we compared them with alignment-based truth on the GTDB-R207 held-out benchmark (43,334 pairs). The base-pair coverage metric</w:t>
      </w:r>
      <w:r>
        <w:t xml:space="preserve"> </w:t>
      </w:r>
      <w:r>
        <w:rPr>
          <w:rStyle w:val="VerbatimChar"/>
        </w:rPr>
        <w:t xml:space="preserve">af_query</w:t>
      </w:r>
      <w:r>
        <w:t xml:space="preserve"> </w:t>
      </w:r>
      <w:r>
        <w:t xml:space="preserve">correlates with dnadiff and minimap2 coverage scores (Spearman r = 0.39 and 0.26); this moderate-to-weak rank agreement is directionally consistent with its definition but does not by itself validate SV detection.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summarized in Supplementary Note 7 and derived in full in the companion Syn2b repository (</w:t>
      </w:r>
      <w:r>
        <w:rPr>
          <w:rStyle w:val="VerbatimChar"/>
        </w:rPr>
        <w:t xml:space="preserve">docs/MATH_REVIEW.md</w:t>
      </w:r>
      <w:r>
        <w:t xml:space="preserve">; https://github.com/HuangShiLab/Syn2b).</w:t>
      </w:r>
    </w:p>
    <w:p>
      <w:pPr>
        <w:pStyle w:val="BodyText"/>
      </w:pPr>
      <w:r>
        <w:t xml:space="preserve">The corresponding correlations for</w:t>
      </w:r>
      <w:r>
        <w:t xml:space="preserve"> </w:t>
      </w:r>
      <w:r>
        <w:rPr>
          <w:rStyle w:val="VerbatimChar"/>
        </w:rPr>
        <w:t xml:space="preserve">breakpoint_count</w:t>
      </w:r>
      <w:r>
        <w:t xml:space="preserve"> </w:t>
      </w:r>
      <w:r>
        <w:t xml:space="preserve">against dnadiff structural truth on this set have been recomputed with the released statistic over all 43,334 pairs (re-analysis archived in the companion Syn2b-paper repository,</w:t>
      </w:r>
      <w:r>
        <w:t xml:space="preserve"> </w:t>
      </w:r>
      <w:r>
        <w:rPr>
          <w:rStyle w:val="VerbatimChar"/>
        </w:rPr>
        <w:t xml:space="preserve">results/gtdb50k/sv_reanalysis_v011.md</w:t>
      </w:r>
      <w:r>
        <w:t xml:space="preserve">). The corrected agreement is moderate rather than near-exact: partial r = 0.411 against dnadiff breakpoints controlling for ANIm and contig count (the withdrawn pre-fix value was 0.414), with the raw correlation improving from 0.133 to 0.361 and no residual contig-count dependence (r = −0.05). The counter is therefore a detection statistic with known missed-event modes, not a complete rearrangement census; events whose flanking chains have fewer than four anchors, homologous replacements that preserve tag phase, and events hidden by unresolved repeats or contig breaks can be missed. The withdrawn values that do not survive were themselves artifacts of the inflated counter: against large indels the partial correlation drops from the withdrawn 0.453 to 0.327, and among ANIm ≥ 95% pairs the Spearman coefficient drops from 0.674 to 0.633. Beyond the aligner comparison, the released counter agrees at scale with the independent Syn2b adjacency implementation over the same pairs (Spearman ρ = 0.86, Pearson r = 0.84 on 43,312 pairs; the chain-based count reads systematically lower, median ratio 0.30, consistent with its stricter evidence rules). The released statistic is additionally validated by construction on in-silico edits, where it is exact (above), and on the closed-genome and isolate collections reported here.</w:t>
      </w:r>
    </w:p>
    <w:p>
      <w:pPr>
        <w:pStyle w:val="BodyText"/>
      </w:pPr>
      <w:r>
        <w:t xml:space="preserve">A length-weighted orientation metric,</w:t>
      </w:r>
      <w:r>
        <w:t xml:space="preserve"> </w:t>
      </w:r>
      <w:r>
        <w:rPr>
          <w:rStyle w:val="VerbatimChar"/>
        </w:rPr>
        <w:t xml:space="preserve">raw_inverted_fraction</w:t>
      </w:r>
      <w:r>
        <w:t xml:space="preserve"> </w:t>
      </w:r>
      <w:r>
        <w:t xml:space="preserve">— computed by the companion Syn2b implementation from the same anchor definition — avoids the fragmentation confounder by construction. In fixed-reference mode it agrees one-to-one with dnadiff on the 43,334-pair held-out set (Pearson r = 0.936; slope 1.004, intercept −0.002). That set does not sample the strain range, containing only two pairs at ANIm ≥ 97%; the strain range is instead covered by a separately sampled high-ANI set, in which agreement is near-exact over 3,826 pairs at ANIm ≥ 97% (r = 0.996, slope 1.006, intercept −0.004; Fig. 5a,b). Bias is zero in every divergence band from 80% ANIm upward, with only the spread changing, so the residual is a reportable standard error rather than a systematic error. Because the metric is reference-oriented, undirected all-vs-all comparisons require the mirror-corrected value</w:t>
      </w:r>
      <w:r>
        <w:t xml:space="preserve"> </w:t>
      </w:r>
      <w:r>
        <w:rPr>
          <w:rStyle w:val="VerbatimChar"/>
        </w:rPr>
        <w:t xml:space="preserve">min(raw, 1 − raw)</w:t>
      </w:r>
      <w:r>
        <w:t xml:space="preserve">: in a cohort of 701 closed GTDB-R207 genomes (61,537 conspecific pairs), the raw ratio has a biologically implausible median of 0.36, driven by arbitrary global strand and start-coordinate conventions — 38.9% of pairs are whole-genome reverse-complements of each other — whereas the corrected ratio has a median of 0.18 (Supplementary Fig. S14).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20"/>
    <w:bookmarkStart w:id="21"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treatment44,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1"/>
    <w:bookmarkStart w:id="22" w:name="Xe4b9fcd3ce29fd6452f25c9dece6c972655a1d2"/>
    <w:p>
      <w:pPr>
        <w:pStyle w:val="Heading3"/>
      </w:pPr>
      <w:r>
        <w:t xml:space="preserve">Very-high-ANI reference genomes differ in resistance cassettes and structure</w:t>
      </w:r>
    </w:p>
    <w:p>
      <w:pPr>
        <w:pStyle w:val="FirstParagraph"/>
      </w:pPr>
      <w:r>
        <w:t xml:space="preserve">The same limitation matters for public-health surveillance. In 129 FDA-ARGOS</w:t>
      </w:r>
      <w:r>
        <w:t xml:space="preserve"> </w:t>
      </w:r>
      <w:r>
        <w:rPr>
          <w:i/>
          <w:iCs/>
        </w:rPr>
        <w:t xml:space="preserve">E. coli</w:t>
      </w:r>
      <w:r>
        <w:t xml:space="preserve"> </w:t>
      </w:r>
      <w:r>
        <w:t xml:space="preserve">assemblies, skani reported 103 very-high-ANI reference-genome pairs at ANI ≥ 99.9; this numerical identity does not by itself establish outbreak or transmission identity. Minimap2 validation of</w:t>
      </w:r>
      <w:r>
        <w:t xml:space="preserve"> </w:t>
      </w:r>
      <w:r>
        <w:rPr>
          <w:rStyle w:val="VerbatimChar"/>
        </w:rPr>
        <w:t xml:space="preserve">syn2bani struct</w:t>
      </w:r>
      <w:r>
        <w:t xml:space="preserve"> </w:t>
      </w:r>
      <w:r>
        <w:t xml:space="preserve">calls showed that 101/103 pairs (98%) carry at least one genuine structural difference, including 16 pairs with genuine large inversions and 876 chromosomal indels ≥ 1 kb. Resistance genotypes differed in 60/103 pairs (58.3%), including 11/24 pairs at ANI ≥ 99.99 and one ANI = 100.0 pair (FDAARGOS_348/772) that differs by a tet(A)/tet(K) cassette and a 48 kb insertion (Supplementary Fig. S15 and Table S7). ANI therefore does not ensure interchangeable structural or acquired-resistance profiles in these reference genomes.</w:t>
      </w:r>
    </w:p>
    <w:bookmarkEnd w:id="22"/>
    <w:bookmarkStart w:id="23"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study41. The extended state was validated on an engineered eight-genome panel (wild-type, ΔcagPAI, inversion, translocation, and the same events on a ~1%-substituted background)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with an inversion or translocation call overlapping the cagPAI window (</w:t>
      </w:r>
      <w:r>
        <w:rPr>
          <w:rStyle w:val="VerbatimChar"/>
        </w:rPr>
        <w:t xml:space="preserve">complete_rearranged</w:t>
      </w:r>
      <w:r>
        <w:t xml:space="preserve">; Fig. 8a). The remaining 133 complete-marker genomes that were originally classified as rearranged carried a single genome-spanning translocation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Overlap with the window is, however, a weaker statement than rearrangement</w:t>
      </w:r>
      <w:r>
        <w:t xml:space="preserve"> </w:t>
      </w:r>
      <w:r>
        <w:rPr>
          <w:i/>
          <w:iCs/>
        </w:rPr>
        <w:t xml:space="preserve">of</w:t>
      </w:r>
      <w:r>
        <w:t xml:space="preserve"> </w:t>
      </w:r>
      <w:r>
        <w:t xml:space="preserve">the island. Splitting the 287 by where their calls break (</w:t>
      </w:r>
      <w:r>
        <w:rPr>
          <w:rStyle w:val="VerbatimChar"/>
        </w:rPr>
        <w:t xml:space="preserve">case_studies/h_pylori_cagpai/scripts/classify_locality.py</w:t>
      </w:r>
      <w:r>
        <w:t xml:space="preserve">), 53 genomes carry a call lying entirely inside the island (</w:t>
      </w:r>
      <w:r>
        <w:rPr>
          <w:rStyle w:val="VerbatimChar"/>
        </w:rPr>
        <w:t xml:space="preserve">island_internal</w:t>
      </w:r>
      <w:r>
        <w:t xml:space="preserve">), 101 carry a call with one endpoint inside it (</w:t>
      </w:r>
      <w:r>
        <w:rPr>
          <w:rStyle w:val="VerbatimChar"/>
        </w:rPr>
        <w:t xml:space="preserve">island_boundary</w:t>
      </w:r>
      <w:r>
        <w:t xml:space="preserve">), and 133 carry only calls that span the whole island — inversions or translocations of 100–600 kb in which the island is intact and merely lies on the other strand of a larger block (</w:t>
      </w:r>
      <w:r>
        <w:rPr>
          <w:rStyle w:val="VerbatimChar"/>
        </w:rPr>
        <w:t xml:space="preserve">island_spanned</w:t>
      </w:r>
      <w:r>
        <w:t xml:space="preserve">). Only the first two classes, 154 genomes or 29% of the collection, alter the island’s own architecture, and the</w:t>
      </w:r>
      <w:r>
        <w:t xml:space="preserve"> </w:t>
      </w:r>
      <w:r>
        <w:rPr>
          <w:rStyle w:val="VerbatimChar"/>
        </w:rPr>
        <w:t xml:space="preserve">complete_rearranged</w:t>
      </w:r>
      <w:r>
        <w:t xml:space="preserve"> </w:t>
      </w:r>
      <w:r>
        <w:t xml:space="preserve">label should be read with that in mind. A diagnostic check confirmed that this pattern is origin rotation (different start coordinate) rather than whole-genome reverse complement: among calls spanning ≥20% of the chromosome, 496/497 were translocations and only one was an inversion.</w:t>
      </w:r>
    </w:p>
    <w:p>
      <w:pPr>
        <w:pStyle w:val="BodyText"/>
      </w:pPr>
      <w:r>
        <w:t xml:space="preserve">The extended state remained strongly associated with FastBAPS lineage (χ² = 58.75, df = 12, p = 3.8 × 10⁻⁸). Disease-stage associations were evaluated with both crude 2×2 odds ratios and Cochran–Mantel–Haenszel tests stratified by FastBAPS lineage (Supplementary Table S4). Only cagPAI presence (GC vs NAG) showed a nominally significant crude association (OR = 2.16, 95% CI 1.13–4.13, p = 0.018); after lineage stratification the Mantel–Haenszel OR was 1.70 (CMH p = 0.12), and the Breslow–Day test indicated significant heterogeneity across lineages (p = 0.005). The other three contrasts were not significant even before stratification (rearrangement GC vs NAG crude p = 0.70; presence advanced vs early p = 0.58; rearrangement advanced vs early p = 0.93), and rearrangement associations remained non-significant across artifact-span thresholds from 0.20 to 0.50. In an exploratory locality analysis among the 432 complete-marker genomes, the four disease stages and four locality levels were associated (χ² = 19.75, df = 9, p = 0.020, q = 0.030 across the three locality tests; Supplementary Table S4). Collapsing locality to whether a call altered the island versus leaving it collinear or spanning, the advanced-versus-early contrast was nominally significant before stratification (OR = 1.61, 95% CI 1.08–2.39, p = 0.020, q = 0.030), but not after lineage stratification (Mantel–Haenszel OR = 1.36, 95% CI 0.90–2.06, CMH p = 0.14); the GC-versus-NAG contrast was null (crude p = 0.58). These locality tests are post hoc and partition the architecture signal rather than independently validating a disease association. Thus the architecture–disease signal in this collection is largely driven by lineage structure. The key biological result that survives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pPr>
        <w:pStyle w:val="BodyText"/>
      </w:pPr>
      <w:r>
        <w:t xml:space="preserve">The marker panel was further cross-validated against independent molecular typing generated by the study collaborators (cagA detection with EPIYA genotyping and genome-level rescue, vacA s/i/m typing). cagA detection agreed with cagPAI presence with near-perfect concordance — cagPAI-complete genomes were cagA-positive in 429/431 cases (OR = 783, 95% CI 179–3,421, p = 7 × 10⁻⁶⁸) — and the association was homogeneous across FastBAPS lineages (Mantel–Haenszel OR = 3,986, CMH p &lt; 10⁻¹⁶; Breslow–Day p = 0.96), so it is not driven by any single lineage. As expected for a presence/absence assay, the panel does not predict cagA EPIYA allele structure (χ² p = 0.52), and cagPAI presence tracked the toxigenic vacA s1/i1 genotypes (OR = 556 and 38), consistent with their known co-inheritance (Supplementary Table S5).</w:t>
      </w:r>
    </w:p>
    <w:p>
      <w:pPr>
        <w:pStyle w:val="BodyText"/>
      </w:pPr>
      <w:r>
        <w:t xml:space="preserve">To establish whether discordant isolates represent panel errors or biology, we reviewed all 26 genomes with disagreement between marker state and cagA typing at the assembly level, re-anchoring all 28 markers with minimap2, running a cagA-specific alignment, and measuring cagPAI-window coverage against reference 26695. None was caused by assembly incompleteness. Seventeen genomes had lost the island backbone but retained cagA sequence at the evacuated site — near full-length in 8 and fragmentary in 9 — including 11 of the 13 genomes classified as cagPAI-empty (the other two carry a clean, fully assembled island deletion with assembled flanks and struct-supported deletion calls). The two cagPAI-complete but cagA-negative genomes (both FastBAPS L3; Mexico and Honduras) carry a precise excision restricted to the cagA locus — 25–26 of 28 markers present, island identity 0.97, cagA-locus coverage dropping from 100% to 0% at 2-kb resolution — a genuine cagA-loss architecture for which the panel and the typing call are both correct. The remaining five disagreements were partial-state calls in high-divergence East-Asian and Latin-American backgrounds where cagA coverage fell just below the 80% marker threshold (0.77–0.79). The panel therefore made no empty-state errors among discordant genomes, and the discordant set itself yielded structural biology invisible to either assay alone: cagA-specific loss on an otherwise intact island, and full-length cagA retention at an evacuated insertion site.</w:t>
      </w:r>
    </w:p>
    <w:p>
      <w:pPr>
        <w:pStyle w:val="BodyText"/>
      </w:pPr>
      <w:r>
        <w:t xml:space="preserve">We finally tested whether structural burden marks antibiotic resistance, using genotype-based resistance markers (CARD; macrolide resistance defined by 23S rRNA A2146G/A2147G mutations, for which genotype–phenotype concordance is established). Above-median SV burden was associated with macrolide resistance in the crude analysis (OR = 2.81, 95% CI 1.71–4.62, q = 8.5 × 10⁻⁵) but did not survive lineage stratification (Mantel–Haenszel OR = 1.33, 95% CI 0.73–2.40, p = 0.35; Breslow–Day p = 0.90): FastBAPS L2 (hspEAsia) carries both the highest macrolide-resistance prevalence (28%) and the highest SV burden, so the crude signal reflects lineage structure rather than resistance biology (Supplementary Fig. S13). Fluoroquinolone, tetracycline, and nitroimidazole classes were untestable because CARD annotates the chromosomally intrinsic hp1181 efflux pump in 99.8% of genomes, leaving macrolides as the only discriminatory class in this collection. This negative result reinforces the methodological lesson of the case study: unstratified SV–phenotype correlations in structured bacterial collections are readily confounded by lineage, and structural hypotheses require lineage-aware tests.</w:t>
      </w:r>
    </w:p>
    <w:bookmarkEnd w:id="23"/>
    <w:bookmarkStart w:id="24" w:name="X531e4656ab52e3103c9c47f518dc79f6eb989bb"/>
    <w:p>
      <w:pPr>
        <w:pStyle w:val="Heading3"/>
      </w:pPr>
      <w:r>
        <w:t xml:space="preserve">A census separates sequence-divergent and structural-divergent species</w:t>
      </w:r>
    </w:p>
    <w:p>
      <w:pPr>
        <w:pStyle w:val="FirstParagraph"/>
      </w:pPr>
      <w:r>
        <w:t xml:space="preserve">To test whether the two output channels provide distinct population-level information, we performed a two-layer anchor-derived within-species census of the Human Reference Oral Microbiome database (HROM)45. The structural layer was generated by the companion Syn2b structural channel and joined by canonical genome pairs to an independent skani ANI layer; it is not an end-to-end Syn2bANI census. After restricting to species clusters with at least two non-empty genome digests, the census covered 142,277 genomes in 2,241 clusters and yielded 62,872,901 unique pairs with both structural and ANI measurements; no structural pair lacked ANI and no cluster had fewer pairs than its genome-level expectation. Overall, 17,535,013 pairs (27.89%) carried at least two detected breakpoints. The relationship between axes was non-monotonic: breakpoint prevalence decreased from 31.1% at ANI 95–97% to 20.8% at 97–98%, but rose to 31.6% at 98–99%, showing that high sequence identity alone does not imply architectural conservation. In a 2,000-replicate species-level bootstrap, tested-species fractions were 0.184 (95% CI 0.154–0.217) structural-similarity enriched, 0.307 (0.269–0.346) ANI-similarity enriched and 0.069 (0.048–0.092) both-set enriched.</w:t>
      </w:r>
    </w:p>
    <w:p>
      <w:pPr>
        <w:pStyle w:val="BodyText"/>
      </w:pPr>
      <w:r>
        <w:t xml:space="preserve">For each of the 521 species with at least 200 pairs passing evidence filters (≥250 shared tags and ≥0.50 observable fraction), we selected the top 5% of pairs independently by skani ANI and by Syn2b structural similarity — that is, the pairs each channel considers most similar — and tested species enrichment in each set with one-sided hypergeometric tests (BH q &lt; 0.05). This identified 96 structural-similarity-enriched, 160 ANI-similarity-enriched, and 36 both-similarity-enriched species; the remainder were not enriched. A species overrepresented among structurally similar but not ANI-similar pairs has an anchor-derived detection phenotype enriched for architecture-level differences, whereas overrepresentation among ANI-similar but not structurally similar pairs points disproportionately to sequence-level divergence. We therefore treat these labels as candidate anchor-statistic enrichment phenotypes rather than divergence modes. Examples retained in the high-quality subset included</w:t>
      </w:r>
      <w:r>
        <w:t xml:space="preserve"> </w:t>
      </w:r>
      <w:r>
        <w:rPr>
          <w:i/>
          <w:iCs/>
        </w:rPr>
        <w:t xml:space="preserve">Lautropia mirabilis</w:t>
      </w:r>
      <w:r>
        <w:t xml:space="preserve">,</w:t>
      </w:r>
      <w:r>
        <w:t xml:space="preserve"> </w:t>
      </w:r>
      <w:r>
        <w:rPr>
          <w:i/>
          <w:iCs/>
        </w:rPr>
        <w:t xml:space="preserve">Corynebacterium matruchotii</w:t>
      </w:r>
      <w:r>
        <w:t xml:space="preserve"> </w:t>
      </w:r>
      <w:r>
        <w:t xml:space="preserve">and</w:t>
      </w:r>
      <w:r>
        <w:t xml:space="preserve"> </w:t>
      </w:r>
      <w:r>
        <w:rPr>
          <w:i/>
          <w:iCs/>
        </w:rPr>
        <w:t xml:space="preserve">Porphyromonas endodontalis</w:t>
      </w:r>
      <w:r>
        <w:t xml:space="preserve"> </w:t>
      </w:r>
      <w:r>
        <w:t xml:space="preserve">in the structural-enrichment set, and</w:t>
      </w:r>
      <w:r>
        <w:t xml:space="preserve"> </w:t>
      </w:r>
      <w:r>
        <w:rPr>
          <w:i/>
          <w:iCs/>
        </w:rPr>
        <w:t xml:space="preserve">Prevotella pallens</w:t>
      </w:r>
      <w:r>
        <w:t xml:space="preserve">,</w:t>
      </w:r>
      <w:r>
        <w:t xml:space="preserve"> </w:t>
      </w:r>
      <w:r>
        <w:rPr>
          <w:i/>
          <w:iCs/>
        </w:rPr>
        <w:t xml:space="preserve">Porphyromonas gingivalis</w:t>
      </w:r>
      <w:r>
        <w:t xml:space="preserve">,</w:t>
      </w:r>
      <w:r>
        <w:t xml:space="preserve"> </w:t>
      </w:r>
      <w:r>
        <w:rPr>
          <w:i/>
          <w:iCs/>
        </w:rPr>
        <w:t xml:space="preserve">Streptococcus mutans</w:t>
      </w:r>
      <w:r>
        <w:t xml:space="preserve"> </w:t>
      </w:r>
      <w:r>
        <w:t xml:space="preserve">and</w:t>
      </w:r>
      <w:r>
        <w:t xml:space="preserve"> </w:t>
      </w:r>
      <w:r>
        <w:rPr>
          <w:i/>
          <w:iCs/>
        </w:rPr>
        <w:t xml:space="preserve">Tannerella forsythia</w:t>
      </w:r>
      <w:r>
        <w:t xml:space="preserve"> </w:t>
      </w:r>
      <w:r>
        <w:t xml:space="preserve">in the ANI-enrichment set (Fig. 9). These are not demonstrated hypermutator or hyper-recombinator states, because the screen does not measure mutation rates or recombination directly.</w:t>
      </w:r>
    </w:p>
    <w:p>
      <w:pPr>
        <w:pStyle w:val="BodyText"/>
      </w:pPr>
      <w:r>
        <w:t xml:space="preserve">Assembly quality changed species assignment; we therefore give the all-pair and high-quality sets equal analytical status. Restricting pairs to completeness ≥90% and contamination ≤5% reduced the tested set from 521 to 354 species and identified 60 structural-similarity-enriched, 93 ANI-similarity-enriched and 19 both-similarity-enriched species. Overlap between all-pair and high-quality analyses was moderate (Jaccard 0.515 for structural-similarity-enriched, 0.451 for ANI-similarity-enriched and 0.196 for both-similarity-enriched species), so examples above were restricted to labels retained after quality filtering. Across all pairs, SV detection was strongly associated with the minimum pair N50 (44.0% breakpoint-positive when both genomes had N50 ≥ 10 kb versus 19.3% otherwise), reinforcing that structural sensitivity is contiguity-dependent and that assembly quality is a plausible confounder of species-level labels. Species-level bootstrap intervals quantify composition uncertainty but do not remove pair dependence, shared ancestry or quality correlation. These labels are therefore screening candidates for follow-up, not measured mutation- or recombination-rate phenotypes.</w:t>
      </w:r>
    </w:p>
    <w:bookmarkEnd w:id="24"/>
    <w:bookmarkStart w:id="25" w:name="X2332fb5e1304bbc8c46777c31b85707faacefa6"/>
    <w:p>
      <w:pPr>
        <w:pStyle w:val="Heading3"/>
      </w:pPr>
      <w:r>
        <w:t xml:space="preserve">Oral-airway divergence is mainly sequence-level rather than breakpoint-level</w:t>
      </w:r>
    </w:p>
    <w:p>
      <w:pPr>
        <w:pStyle w:val="FirstParagraph"/>
      </w:pPr>
      <w:r>
        <w:t xml:space="preserve">We next asked whether the same two-layer framework can answer an ecological question in the Oral and Airway Prokaryotic Genome Catalog (OAPGC)46. The representative catalogue yielded 98,229 analysed genomes in 1,488 multi-genome SGB clusters and 30,559,312 informative pairs; 49.90% had at least two detected breakpoints. Public oral/airway site labels enabled within-species comparison of 1,264,327 oral-airway pairs with 16,067,030 within-habitat pairs (oral-oral or airway-airway) across 200 species satisfying at least 30 pairs in each group and at least 100 total pairs.</w:t>
      </w:r>
    </w:p>
    <w:p>
      <w:pPr>
        <w:pStyle w:val="BodyText"/>
      </w:pPr>
      <w:r>
        <w:t xml:space="preserve">Across species, oral-airway pairs had elevated ANI-derived sequence distance relative to within-habitat pairs (median species AUC 0.574; 143/200 species had AUC &gt; 0.5; sign-test p = 1.0 × 10⁻⁹), but not elevated breakpoints (median AUC 0.494; 93/200; p = 0.358). Species-level bootstrap medians were 0.574 (95% CI 0.555–0.582) for sequence distance and 0.494 (0.489–0.509) for breakpoints. With BH q &lt; 0.05, 73 species were sequence-distance enriched only, 19 were breakpoint enriched only and 46 were enriched on both axes (Fig. 10). The sequence signal persisted when pairs were restricted to minimum N50 ≥ 10 kb (median ANI-distance AUC 0.575) and ≥100 kb (0.635), whereas the breakpoint signal remained null in both strata. The estimand is an alignable-sequence ANI distance, not whole-genome substitution load: skani conditions on shared sequence, and assembly contiguity, aligned fraction, accessory content and ancestry can affect what is compared. These results therefore support a public-label-associated difference in ANI-derived distance among cross-site conspecifics, but not a habitat process, directional migration, or a consistent global excess of detectable structural rearrangement.</w:t>
      </w:r>
      <w:r>
        <w:t xml:space="preserve"> </w:t>
      </w:r>
      <w:r>
        <w:rPr>
          <w:rStyle w:val="VerbatimChar"/>
        </w:rPr>
        <w:t xml:space="preserve">100 − skani ANI</w:t>
      </w:r>
      <w:r>
        <w:t xml:space="preserve"> </w:t>
      </w:r>
      <w:r>
        <w:t xml:space="preserve">is an ANI-derived distance, not a counted base-level SNP distance. Because the recent-strain subset (ANI ≥ 99.9%) contained only 49 eligible oral-airway pairs, it does not support species-level migration claims or directional inference.</w:t>
      </w:r>
    </w:p>
    <w:bookmarkEnd w:id="25"/>
    <w:bookmarkStart w:id="26" w:name="X6164545028644527324244bd88ff63b98d823de"/>
    <w:p>
      <w:pPr>
        <w:pStyle w:val="Heading3"/>
      </w:pPr>
      <w:r>
        <w:t xml:space="preserve">GTDB extends the census to hundreds of millions of pairs</w:t>
      </w:r>
    </w:p>
    <w:p>
      <w:pPr>
        <w:pStyle w:val="FirstParagraph"/>
      </w:pPr>
      <w:r>
        <w:t xml:space="preserve">To test scale without restricting the analysis to representative genomes, we applied the same two-layer census to 261,737 effective GTDB-R207 genomes in 22,535 species clusters: structural calls came from the companion Syn2b structural channel and were joined to a separate skani ANI layer. Structural calls covered 651,961,758 of 653,584,719 planned unique pairs (99.75%); the shortfall was confined to</w:t>
      </w:r>
      <w:r>
        <w:t xml:space="preserve"> </w:t>
      </w:r>
      <w:r>
        <w:rPr>
          <w:i/>
          <w:iCs/>
        </w:rPr>
        <w:t xml:space="preserve">Escherichia coli</w:t>
      </w:r>
      <w:r>
        <w:t xml:space="preserve"> </w:t>
      </w:r>
      <w:r>
        <w:t xml:space="preserve">(99.52% of 338,793,465 planned pairs). After merging the ANI layer, 653,522,280 pairs (99.99% of the effective scope) had valid canonical skani ANI values, with no duplicate, self or cross-species pairs. The resulting joint table contained 21,973 usable species clusters: 21,968 had complete structural and ANI coverage, four lacked only structural calls and one lacked both layers. Among the 1,311 complete species with at least 100 expected pairs, the unweighted median fraction of reported pairs carrying at least two detected breakpoints was 61.3%; the pair-weighted fraction was 56.2% because large clusters differ in breakpoint prevalence. The fraction remained high at ANI 95–99% (median 61.3% for 1,309 species) but decreased with very close sequence identity (38.5% for 391 species at ANI ≥ 99%; 9.5% for 53 species at ANI ≥ 99.9%). This association was robust to cluster scope: all 1,316 clusters with at least 100 expected pairs, including the five partially covered clusters such as</w:t>
      </w:r>
      <w:r>
        <w:t xml:space="preserve"> </w:t>
      </w:r>
      <w:r>
        <w:rPr>
          <w:i/>
          <w:iCs/>
        </w:rPr>
        <w:t xml:space="preserve">E. coli</w:t>
      </w:r>
      <w:r>
        <w:t xml:space="preserve">, had an unweighted species median of 61.6% and a pair-weighted fraction of 77.9%. At ANI ≥ 99%, the corresponding unweighted median was 38.5% and the pair-weighted fraction was 67.6%; genus- and family-aggregated medians retained the same decrease (</w:t>
      </w:r>
      <w:r>
        <w:rPr>
          <w:rStyle w:val="VerbatimChar"/>
        </w:rPr>
        <w:t xml:space="preserve">results/revision/gtdb_cluster_scope_sensitivity.tsv</w:t>
      </w:r>
      <w:r>
        <w:t xml:space="preserve">). These are descriptive observational summaries, not estimates with hierarchical uncertainty, but they reproduce at catalog scale the decoupling between sequence divergence and genome architecture (Fig. 11).</w:t>
      </w:r>
    </w:p>
    <w:p>
      <w:pPr>
        <w:pStyle w:val="BodyText"/>
      </w:pPr>
      <w:r>
        <w:t xml:space="preserve">Quality stratification showed that the census-wide structural result was not driven by low-quality assemblies. Restricting pairs to CheckM completeness ≥ 90% and contamination ≤ 5% retained 645,271,663 pairs and gave breakpoint-positive fractions of 77.90% of reported pairs and 86.69% of breakpoint-informative pairs, versus 77.93% and 86.66% for all reported pairs. Requiring both genomes to have N50 ≥ 10 kb gave 78.02% and 86.78%, whereas the complete-HQ/N50 stratum gave 77.98% and 86.78%. The N50 ≥100 kb stratum was more conservative (75.05% and 86.00%), showing residual contiguity sensitivity. Of the reported pairs, 10.08% lacked a numeric breakpoint; both denominators are therefore shown in Fig. 11b. These analyses support GTDB as the scalability layer of the census rather than as a source of unsupported hypermutator labels, and the</w:t>
      </w:r>
      <w:r>
        <w:t xml:space="preserve"> </w:t>
      </w:r>
      <w:r>
        <w:rPr>
          <w:i/>
          <w:iCs/>
        </w:rPr>
        <w:t xml:space="preserve">E. coli</w:t>
      </w:r>
      <w:r>
        <w:t xml:space="preserve"> </w:t>
      </w:r>
      <w:r>
        <w:t xml:space="preserve">residual shortfall remains explicit rather than imputed.</w:t>
      </w:r>
    </w:p>
    <w:p>
      <w:r>
        <w:pict>
          <v:rect style="width:0;height:1.5pt" o:hralign="center" o:hrstd="t" o:hr="t"/>
        </w:pict>
      </w:r>
    </w:p>
    <w:bookmarkEnd w:id="26"/>
    <w:bookmarkEnd w:id="27"/>
    <w:bookmarkStart w:id="28"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providing synteny and structural information in the same computational pass. The chain-restricted likelihood cleanly separates divergence from shared content, and complete-genome calibration corrects the rate-heterogeneity bias that simulations alone fail to predict. Three boundaries are worth stating. First, skani remains faster for very large all-vs-all screens and is more accurate in the near-clonal 97–100% regime; the benchmark-selected hybrid rule is an operational way to recover the best raw estimate there, but its threshold was not independently re-estimated. Second, complete-genome calibrations should not be silently applied to MAGs or mid-ANI pairs — v5 is the deployed model, v6 is benchmark-only, and the raw gated estimate is preferred for draft inputs, with the consistency flag marking pairs at the identifiability boundary. Third, the structural outputs are a direct consequence of using coordinate-carrying anchors: in an era of strain-resolved metagenomics, ANI alone is insufficient to decide whether two genomes are truly equivalent — though the size of that insufficiency is collection-specific, from a median of 7 breakpoints between near-clonal</w:t>
      </w:r>
      <w:r>
        <w:t xml:space="preserve"> </w:t>
      </w:r>
      <w:r>
        <w:rPr>
          <w:i/>
          <w:iCs/>
        </w:rPr>
        <w:t xml:space="preserve">E. coli</w:t>
      </w:r>
      <w:r>
        <w:t xml:space="preserve"> </w:t>
      </w:r>
      <w:r>
        <w:t xml:space="preserve">O157:H7 genomes to 98% of FDA-ARGOS</w:t>
      </w:r>
      <w:r>
        <w:t xml:space="preserve"> </w:t>
      </w:r>
      <w:r>
        <w:rPr>
          <w:i/>
          <w:iCs/>
        </w:rPr>
        <w:t xml:space="preserve">E. coli</w:t>
      </w:r>
      <w:r>
        <w:t xml:space="preserve"> </w:t>
      </w:r>
      <w:r>
        <w:t xml:space="preserve">pairs at ANI ≥ 99.9 carrying a genuine structural difference, to none at all across most of a 67-assembly</w:t>
      </w:r>
      <w:r>
        <w:t xml:space="preserve"> </w:t>
      </w:r>
      <w:r>
        <w:rPr>
          <w:i/>
          <w:iCs/>
        </w:rPr>
        <w:t xml:space="preserve">S. aureus</w:t>
      </w:r>
      <w:r>
        <w:t xml:space="preserve"> </w:t>
      </w:r>
      <w:r>
        <w:t xml:space="preserve">collection. Syn2bANI reports count-based descriptors (</w:t>
      </w:r>
      <w:r>
        <w:rPr>
          <w:rStyle w:val="VerbatimChar"/>
        </w:rPr>
        <w:t xml:space="preserve">breakpoint_count</w:t>
      </w:r>
      <w:r>
        <w:t xml:space="preserve">, SV calls); the companion Syn2b tool adds a fragmentation-invariant length-weighted orientation ratio (</w:t>
      </w:r>
      <w:r>
        <w:rPr>
          <w:rStyle w:val="VerbatimChar"/>
        </w:rPr>
        <w:t xml:space="preserve">raw_inverted_fraction</w:t>
      </w:r>
      <w:r>
        <w:t xml:space="preserve">) from the same anchors. These are complementary and differ in validation strength: the inverted fraction tracks alignment truth closely, breakpoint counts show moderate rank agreement and are exact for constructed edits, and aligned fraction is a coverage descriptor rather than an SV concordance measure. Counts localize events and, in the released statistic, are no longer inflated by fragmentation, but a fragmented assembly costs them sensitivity, because a rearrangement whose flanks fall on different contigs leaves the reference with nothing to contradict; ratios are robust to fragmentation but do not report event number. The history of this count is itself a caution: three successive definitions of</w:t>
      </w:r>
      <w:r>
        <w:t xml:space="preserve"> </w:t>
      </w:r>
      <w:r>
        <w:rPr>
          <w:rStyle w:val="VerbatimChar"/>
        </w:rPr>
        <w:t xml:space="preserve">breakpoint_count</w:t>
      </w:r>
      <w:r>
        <w:t xml:space="preserve"> </w:t>
      </w:r>
      <w:r>
        <w:t xml:space="preserve">each reported hundreds of breakpoints for a genome compared with itself, and each was only obvious once a self-comparison, a rotation and a re-fragmentation of the same assembly were made routine controls. Any count-based structural statistic should be published with those three controls attached.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8"/>
    <w:bookmarkStart w:id="41" w:name="online-methods"/>
    <w:p>
      <w:pPr>
        <w:pStyle w:val="Heading2"/>
      </w:pPr>
      <w:r>
        <w:t xml:space="preserve">Online Methods</w:t>
      </w:r>
    </w:p>
    <w:bookmarkStart w:id="29"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9"/>
    <w:bookmarkStart w:id="30"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30"/>
    <w:bookmarkStart w:id="31"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31"/>
    <w:bookmarkStart w:id="32"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32"/>
    <w:bookmarkStart w:id="33"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33"/>
    <w:bookmarkStart w:id="34" w:name="ridge-calibration-protocol"/>
    <w:p>
      <w:pPr>
        <w:pStyle w:val="Heading3"/>
      </w:pPr>
      <w:r>
        <w:t xml:space="preserve">Ridge calibration protocol</w:t>
      </w:r>
    </w:p>
    <w:p>
      <w:pPr>
        <w:pStyle w:val="FirstParagraph"/>
      </w:pPr>
      <w:r>
        <w:t xml:space="preserve">Both calibration models are ridge regressions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Deployed</w:t>
      </w:r>
      <w:r>
        <w:t xml:space="preserve"> </w:t>
      </w:r>
      <w:r>
        <w:rPr>
          <w:b/>
          <w:bCs/>
        </w:rPr>
        <w:t xml:space="preserve">v5</w:t>
      </w:r>
      <w:r>
        <w:t xml:space="preserve"> </w:t>
      </w:r>
      <w:r>
        <w:t xml:space="preserve">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Benchmark</w:t>
      </w:r>
      <w:r>
        <w:t xml:space="preserve"> </w:t>
      </w:r>
      <w:r>
        <w:rPr>
          <w:b/>
          <w:bCs/>
        </w:rPr>
        <w:t xml:space="preserve">v6</w:t>
      </w:r>
      <w:r>
        <w:t xml:space="preserve"> </w:t>
      </w:r>
      <w:r>
        <w:t xml:space="preserve">uses the same protocol and feature-selection</w:t>
      </w:r>
      <w:r>
        <w:t xml:space="preserve"> </w:t>
      </w:r>
      <w:r>
        <w:t xml:space="preserve">rule after adding 1,614 usable pairs from the high-ANI training split (2,520 +</w:t>
      </w:r>
      <w:r>
        <w:t xml:space="preserve"> </w:t>
      </w:r>
      <w:r>
        <w:t xml:space="preserve">1,614 = 4,134 training rows). High-ANI candidates excluded all v5-training and</w:t>
      </w:r>
      <w:r>
        <w:t xml:space="preserve"> </w:t>
      </w:r>
      <w:r>
        <w:t xml:space="preserve">43,334-holdout genomes bidirectionally; genome-level assignment dropped mixed</w:t>
      </w:r>
      <w:r>
        <w:t xml:space="preserve"> </w:t>
      </w:r>
      <w:r>
        <w:t xml:space="preserve">train/test pairs. Thus the v6-heldout and high-ANI test evaluations contain no</w:t>
      </w:r>
      <w:r>
        <w:t xml:space="preserve"> </w:t>
      </w:r>
      <w:r>
        <w:t xml:space="preserve">genome in either training source. This control does not eliminate higher-rank</w:t>
      </w:r>
      <w:r>
        <w:t xml:space="preserve"> </w:t>
      </w:r>
      <w:r>
        <w:t xml:space="preserve">taxonomic similarity or GTDB-release structure; we therefore regard v6 as a</w:t>
      </w:r>
      <w:r>
        <w:t xml:space="preserve"> </w:t>
      </w:r>
      <w:r>
        <w:t xml:space="preserve">benchmark-only model rather than a new deployment model and do not claim a fully</w:t>
      </w:r>
      <w:r>
        <w:t xml:space="preserve"> </w:t>
      </w:r>
      <w:r>
        <w:t xml:space="preserve">independent external-release validation. Learning-curve, feature-expansion,</w:t>
      </w:r>
      <w:r>
        <w:t xml:space="preserve"> </w:t>
      </w:r>
      <w:r>
        <w:t xml:space="preserve">model-comparison and exact v5/v6 provenance are in Supplementary Notes 2 and 6</w:t>
      </w:r>
      <w:r>
        <w:t xml:space="preserve"> </w:t>
      </w:r>
      <w:r>
        <w:t xml:space="preserve">and</w:t>
      </w:r>
      <w:r>
        <w:t xml:space="preserve"> </w:t>
      </w:r>
      <w:r>
        <w:rPr>
          <w:rStyle w:val="VerbatimChar"/>
        </w:rPr>
        <w:t xml:space="preserve">results/gtdb50k/CALIBRATION_PROVENANCE.md</w:t>
      </w:r>
      <w:r>
        <w:t xml:space="preserve">.</w:t>
      </w:r>
    </w:p>
    <w:bookmarkEnd w:id="34"/>
    <w:bookmarkStart w:id="35"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5"/>
    <w:bookmarkStart w:id="36" w:name="within-species-catalog-censuses"/>
    <w:p>
      <w:pPr>
        <w:pStyle w:val="Heading3"/>
      </w:pPr>
      <w:r>
        <w:t xml:space="preserve">Within-species catalog censuses</w:t>
      </w:r>
    </w:p>
    <w:p>
      <w:pPr>
        <w:pStyle w:val="FirstParagraph"/>
      </w:pPr>
      <w:r>
        <w:t xml:space="preserve">The HROM, OAPGC and GTDB censuses are two-layer anchor-derived censuses, not end-to-end Syn2bANI runs. Structural features and breakpoint counts were produced by the companion Syn2b structural channel (snapshot</w:t>
      </w:r>
      <w:r>
        <w:t xml:space="preserve"> </w:t>
      </w:r>
      <w:r>
        <w:rPr>
          <w:rStyle w:val="VerbatimChar"/>
        </w:rPr>
        <w:t xml:space="preserve">64717ab</w:t>
      </w:r>
      <w:r>
        <w:t xml:space="preserve">, same four-enzyme anchor definition); ANI was computed independently by skani 0.3.2; layers were joined only on canonical unordered genome pairs. For HROM and OAPGC, species clusters with at least two non-empty four-enzyme digests were split into 500- or 250-genome blocks, respectively, and block-pair tasks were run with the Syn2b structural channel. Each task retained only pairs owned by that block pair, so tasks partition the unique unordered pairs exactly. Rows were canonicalized, globally deduplicated and checked against</w:t>
      </w:r>
      <w:r>
        <w:t xml:space="preserve"> </w:t>
      </w:r>
      <w:r>
        <w:rPr>
          <w:rStyle w:val="VerbatimChar"/>
        </w:rPr>
        <w:t xml:space="preserve">C(n,2)</w:t>
      </w:r>
      <w:r>
        <w:t xml:space="preserve"> </w:t>
      </w:r>
      <w:r>
        <w:t xml:space="preserve">for every species. HROM genome headers consisted of contig identifiers and were prefixed with the HROM genome accession before digestion. ANI was computed within each species by skani 0.3.2 triangle and joined to structural pairs on the canonical unordered genome key. HROM contributed 62,872,901 unique pairs, all with matched ANI; OAPGC contributed 30,559,312 informative pairs after excluding 935 pairs with missing breakpoint values. Review-response AF, cluster-scope and OAPGC terminology audits were generated by</w:t>
      </w:r>
      <w:r>
        <w:t xml:space="preserve"> </w:t>
      </w:r>
      <w:r>
        <w:rPr>
          <w:rStyle w:val="VerbatimChar"/>
        </w:rPr>
        <w:t xml:space="preserve">scripts/revision/review_response_sensitivity.py</w:t>
      </w:r>
      <w:r>
        <w:t xml:space="preserve">.</w:t>
      </w:r>
    </w:p>
    <w:p>
      <w:pPr>
        <w:pStyle w:val="BodyText"/>
      </w:pPr>
      <w:r>
        <w:t xml:space="preserve">The HROM mode analysis used pairs with at least 250 shared tags and observable fraction at least 0.50. Within each species with at least 200 qualifying pairs, the top 5% of pairs by skani ANI (most sequence-similar) and by the structural similarity score (most architecture-similar) were selected. Species enrichment in each top set was tested by a one-sided hypergeometric test against the species-specific fraction of all qualifying pairs; Benjamini–Hochberg q &lt; 0.05 was required. A structural-similarity-enriched species therefore has many pairs that rank highly by architecture despite relatively lower ANI, whereas an ANI-similarity-enriched species has many pairs that rank highly by sequence despite structural differences. CheckM completeness, contamination and N50 were converted to pair-level conservative summaries (minimum completeness and N50, maximum contamination) for sensitivity analyses.</w:t>
      </w:r>
      <w:r>
        <w:t xml:space="preserve"> </w:t>
      </w:r>
      <w:r>
        <w:t xml:space="preserve">Reported HROM category fractions were additionally resampled at the species level (2,000 replicates). This interval treats tested species as the resampling unit; it does not model correlations among pairs within a species, shared ancestry or assembly-quality correlation, all of which are retained as limitations.</w:t>
      </w:r>
    </w:p>
    <w:p>
      <w:pPr>
        <w:pStyle w:val="BodyText"/>
      </w:pPr>
      <w:r>
        <w:t xml:space="preserve">For OAPGC, genomes with public oral or airway labels were classified as oral-airway or within-habitat (oral-oral or airway-airway). A species entered the site test only with at least 30 oral-airway pairs, at least 30 within-habitat pairs and at least 100 total pairs. Sequence distance was</w:t>
      </w:r>
      <w:r>
        <w:t xml:space="preserve"> </w:t>
      </w:r>
      <w:r>
        <w:rPr>
          <w:rStyle w:val="VerbatimChar"/>
        </w:rPr>
        <w:t xml:space="preserve">100 − skani ANI</w:t>
      </w:r>
      <w:r>
        <w:t xml:space="preserve"> </w:t>
      </w:r>
      <w:r>
        <w:t xml:space="preserve">and is an alignable-sequence ANI-derived approximation rather than a base-level SNP count; the structural axis was the breakpoint count and the binary indicator for at least two detected breakpoints. Within each species, two-sided Mann–Whitney AUC tests compared oral-airway with within-habitat sequence distance and breakpoints, and Fisher’s exact test compared the binary breakpoint indicator. P values from each metric were corrected across species by Benjamini–Hochberg. Sensitivity analyses restricted pairs to minimum N50 ≥ 10 kb or ≥100 kb. Species-level bootstrap intervals resampled the 200 tested species 2,000 times; this quantifies species-composition uncertainty but does not remove within-species pair dependence, shared ancestry, public-label error, or differences in assembly provenance. The machine-readable alias</w:t>
      </w:r>
      <w:r>
        <w:t xml:space="preserve"> </w:t>
      </w:r>
      <w:r>
        <w:rPr>
          <w:rStyle w:val="VerbatimChar"/>
        </w:rPr>
        <w:t xml:space="preserve">species_effects_all_pairs_ani_distance.tsv</w:t>
      </w:r>
      <w:r>
        <w:t xml:space="preserve"> </w:t>
      </w:r>
      <w:r>
        <w:t xml:space="preserve">renames historical</w:t>
      </w:r>
      <w:r>
        <w:t xml:space="preserve"> </w:t>
      </w:r>
      <w:r>
        <w:rPr>
          <w:rStyle w:val="VerbatimChar"/>
        </w:rPr>
        <w:t xml:space="preserve">SNP_*</w:t>
      </w:r>
      <w:r>
        <w:t xml:space="preserve"> </w:t>
      </w:r>
      <w:r>
        <w:t xml:space="preserve">columns to</w:t>
      </w:r>
      <w:r>
        <w:t xml:space="preserve"> </w:t>
      </w:r>
      <w:r>
        <w:rPr>
          <w:rStyle w:val="VerbatimChar"/>
        </w:rPr>
        <w:t xml:space="preserve">ANI_distance_*</w:t>
      </w:r>
      <w:r>
        <w:t xml:space="preserve">. The recent-strain analysis (ANI ≥ 99.9%) was reported only as a power audit and not used for biological inference.</w:t>
      </w:r>
    </w:p>
    <w:p>
      <w:pPr>
        <w:pStyle w:val="BodyText"/>
      </w:pPr>
      <w:r>
        <w:t xml:space="preserve">For GTDB-R207, block-pair structural tasks were followed by per-species skani triangles for the four largest clusters and a chunked skani completion pass for all remaining clusters. Structural and ANI rows were canonicalized on unordered accession pairs, globally sorted and deduplicated. A species-level joint table required exact coverage of</w:t>
      </w:r>
      <w:r>
        <w:t xml:space="preserve"> </w:t>
      </w:r>
      <w:r>
        <w:rPr>
          <w:rStyle w:val="VerbatimChar"/>
        </w:rPr>
        <w:t xml:space="preserve">C(n,2)</w:t>
      </w:r>
      <w:r>
        <w:t xml:space="preserve"> </w:t>
      </w:r>
      <w:r>
        <w:t xml:space="preserve">within the effective scope; rows were classified as complete, structural-partial, ANI-partial or partial, and zero-genome taxonomy placeholders were excluded. Quality sensitivity used pair-wise conservative summaries (minimum completeness and N50, maximum contamination) and reported both all-reported and breakpoint-informative denominators. Species-level ANI–SV summaries were restricted to at least 100 expected pairs for distributional summaries. A second audit compared complete-only species, all clusters, partial clusters at coverage ≥0.99 or ≥0.95, analyses excluding</w:t>
      </w:r>
      <w:r>
        <w:t xml:space="preserve"> </w:t>
      </w:r>
      <w:r>
        <w:rPr>
          <w:i/>
          <w:iCs/>
        </w:rPr>
        <w:t xml:space="preserve">E. coli</w:t>
      </w:r>
      <w:r>
        <w:t xml:space="preserve">, unweighted medians, pair-weighted fractions and genus/family aggregation (</w:t>
      </w:r>
      <w:r>
        <w:rPr>
          <w:rStyle w:val="VerbatimChar"/>
        </w:rPr>
        <w:t xml:space="preserve">results/revision/gtdb_cluster_scope_sensitivity.tsv</w:t>
      </w:r>
      <w:r>
        <w:t xml:space="preserve">).</w:t>
      </w:r>
      <w:r>
        <w:t xml:space="preserve"> </w:t>
      </w:r>
      <w:r>
        <w:t xml:space="preserve">The sorted ANI merge audit initially reported</w:t>
      </w:r>
      <w:r>
        <w:t xml:space="preserve"> </w:t>
      </w:r>
      <w:r>
        <w:rPr>
          <w:rStyle w:val="VerbatimChar"/>
        </w:rPr>
        <w:t xml:space="preserve">header_ok: false</w:t>
      </w:r>
      <w:r>
        <w:t xml:space="preserve"> </w:t>
      </w:r>
      <w:r>
        <w:t xml:space="preserve">because lowercase schema keys sort after uppercase accession keys under C-locale ordering; the substantive audit found no duplicate, self, cross-species, invalid or unknown-genome rows (</w:t>
      </w:r>
      <w:r>
        <w:rPr>
          <w:rStyle w:val="VerbatimChar"/>
        </w:rPr>
        <w:t xml:space="preserve">results/census/gtdb/GTDB_ANI_MERGE_QC_NOTES.md</w:t>
      </w:r>
      <w:r>
        <w:t xml:space="preserve">). No census significance interval was assigned to the catalog-scale GTDB point estimates; the catalogue is treated as a large observational scope with explicit quality and coverage sensitivity rather than as an independent random sample.</w:t>
      </w:r>
    </w:p>
    <w:bookmarkEnd w:id="36"/>
    <w:bookmarkStart w:id="37"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This filter is opt-in and off by default, so it applies to the</w:t>
      </w:r>
      <w:r>
        <w:t xml:space="preserve"> </w:t>
      </w:r>
      <w:r>
        <w:rPr>
          <w:i/>
          <w:iCs/>
        </w:rPr>
        <w:t xml:space="preserve">H. pylori</w:t>
      </w:r>
      <w:r>
        <w:t xml:space="preserve"> </w:t>
      </w:r>
      <w:r>
        <w:t xml:space="preserve">cagPAI cohort, where it was passed explicitly, and not to any other analysis in this paper: the GTDB-R207,</w:t>
      </w:r>
      <w:r>
        <w:t xml:space="preserve"> </w:t>
      </w:r>
      <w:r>
        <w:rPr>
          <w:i/>
          <w:iCs/>
        </w:rPr>
        <w:t xml:space="preserve">E. coli</w:t>
      </w:r>
      <w:r>
        <w:t xml:space="preserve"> </w:t>
      </w:r>
      <w:r>
        <w:t xml:space="preserve">O157:H7 and</w:t>
      </w:r>
      <w:r>
        <w:t xml:space="preserve"> </w:t>
      </w:r>
      <w:r>
        <w:rPr>
          <w:i/>
          <w:iCs/>
        </w:rPr>
        <w:t xml:space="preserve">S. aureus</w:t>
      </w:r>
      <w:r>
        <w:t xml:space="preserve"> </w:t>
      </w:r>
      <w:r>
        <w:t xml:space="preserve">runs were made without it. Without the flag,</w:t>
      </w:r>
      <w:r>
        <w:t xml:space="preserve"> </w:t>
      </w:r>
      <w:r>
        <w:rPr>
          <w:rStyle w:val="VerbatimChar"/>
        </w:rPr>
        <w:t xml:space="preserve">struct</w:t>
      </w:r>
      <w:r>
        <w:t xml:space="preserve"> </w:t>
      </w:r>
      <w:r>
        <w:t xml:space="preserve">still warns on stderr when calls span most of a contig.</w:t>
      </w:r>
      <w:r>
        <w:t xml:space="preserve"> </w:t>
      </w:r>
      <w:r>
        <w:rPr>
          <w:rStyle w:val="VerbatimChar"/>
        </w:rPr>
        <w:t xml:space="preserve">breakpoint_count</w:t>
      </w:r>
      <w:r>
        <w:t xml:space="preserve"> </w:t>
      </w:r>
      <w:r>
        <w:t xml:space="preserve">is unaffected either way, because a rotation is not a reference-order violation between blocks.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primary</w:t>
      </w:r>
      <w:r>
        <w:t xml:space="preserve"> </w:t>
      </w:r>
      <w:r>
        <w:rPr>
          <w:i/>
          <w:iCs/>
        </w:rPr>
        <w:t xml:space="preserve">count-based</w:t>
      </w:r>
      <w:r>
        <w:t xml:space="preserve"> </w:t>
      </w:r>
      <w:r>
        <w:t xml:space="preserve">rearrangement statistic and is computed over blocks, not anchors. Chains are first reduced to a one-to-one</w:t>
      </w:r>
      <w:r>
        <w:t xml:space="preserve"> </w:t>
      </w:r>
      <w:r>
        <w:rPr>
          <w:i/>
          <w:iCs/>
        </w:rPr>
        <w:t xml:space="preserve">primary</w:t>
      </w:r>
      <w:r>
        <w:t xml:space="preserve"> </w:t>
      </w:r>
      <w:r>
        <w:t xml:space="preserve">set: taken longest first, a chain is kept only if neither its query span nor its reference span is more than half covered by a chain already kept, which excludes the paralogous chains (prophage families, IS copies) that interleave with the diagonal along the query. Each kept chain becomes one block with a query interval, a reference interval and an orientation. Two blocks consecutive along the query are conserved when they lie on the same reference contig in the same orientation and the reference places them consecutively in the query’s orientation; otherwise the transition is a breakpoint, but only if the reference in fact has a block where the query expects one — a reference contig end or contig break is an absence of evidence, not a rearrangement, and neither is a query contig break. A chain break that leaves its neighbour reference-consecutive (a large indel, a divergent stretch, a</w:t>
      </w:r>
      <w:r>
        <w:t xml:space="preserve"> </w:t>
      </w:r>
      <w:r>
        <w:rPr>
          <w:rStyle w:val="VerbatimChar"/>
        </w:rPr>
        <w:t xml:space="preserve">max_gap</w:t>
      </w:r>
      <w:r>
        <w:t xml:space="preserve"> </w:t>
      </w:r>
      <w:r>
        <w:t xml:space="preserve">split) is therefore not counted. The statistic is validated by construction rather than by correlation:</w:t>
      </w:r>
      <w:r>
        <w:t xml:space="preserve"> </w:t>
      </w:r>
      <w:r>
        <w:rPr>
          <w:rStyle w:val="VerbatimChar"/>
        </w:rPr>
        <w:t xml:space="preserve">analysis/breakpoint_ladder.py</w:t>
      </w:r>
      <w:r>
        <w:t xml:space="preserve"> </w:t>
      </w:r>
      <w:r>
        <w:t xml:space="preserve">edits one genome in place and asserts the expected count for each edit (2 per inversion, 3 per translocation, 0 for indels and substitutions, 0 for self-comparisons, rotations and re-fragmentations), and it is the regression test for the two inflations described in Results. The fragmentation-invariant length-weighted counterpart,</w:t>
      </w:r>
      <w:r>
        <w:t xml:space="preserve"> </w:t>
      </w:r>
      <w:r>
        <w:rPr>
          <w:rStyle w:val="VerbatimChar"/>
        </w:rPr>
        <w:t xml:space="preserve">raw_inverted_fraction</w:t>
      </w:r>
      <w:r>
        <w:t xml:space="preserve">, is not a Syn2bANI output and is computed by the companion Syn2b tool (Code availability).</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7"/>
    <w:bookmarkStart w:id="38"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8"/>
    <w:bookmarkStart w:id="39"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under</w:t>
      </w:r>
      <w:r>
        <w:t xml:space="preserve"> </w:t>
      </w:r>
      <w:r>
        <w:rPr>
          <w:i/>
          <w:iCs/>
        </w:rPr>
        <w:t xml:space="preserve">Simulation framework with exact truth</w:t>
      </w:r>
      <w:r>
        <w:t xml:space="preserve"> </w:t>
      </w:r>
      <w:r>
        <w:t xml:space="preserve">above.</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w:t>
      </w:r>
      <w:r>
        <w:t xml:space="preserve"> </w:t>
      </w:r>
      <w:r>
        <w:rPr>
          <w:i/>
          <w:iCs/>
        </w:rPr>
        <w:t xml:space="preserve">The spatial-model negative result</w:t>
      </w:r>
      <w:r>
        <w:t xml:space="preserve"> </w:t>
      </w:r>
      <w:r>
        <w:t xml:space="preserve">above);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High-ANI training set (v6 only).</w:t>
      </w:r>
      <w:r>
        <w:t xml:space="preserve"> </w:t>
      </w:r>
      <w:r>
        <w:t xml:space="preserve">1,615 sampled non-representative pairs at ANIm 95–100%; 1,614 had finite model features and entered benchmark calibration v6. Candidate genomes were excluded bidirectionally from the v5 calibration set and from all 43,334 held-out genomes before genome-level train/test assignment. This set is never used for v5 evaluation.</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Reads were assembled and every pair was scored with the Syn2b structural channel (</w:t>
      </w:r>
      <w:r>
        <w:rPr>
          <w:rStyle w:val="VerbatimChar"/>
        </w:rPr>
        <w:t xml:space="preserve">syn2b synteny</w:t>
      </w:r>
      <w:r>
        <w:t xml:space="preserve">, four-enzyme panel;</w:t>
      </w:r>
      <w:r>
        <w:t xml:space="preserve"> </w:t>
      </w:r>
      <w:r>
        <w:rPr>
          <w:rStyle w:val="VerbatimChar"/>
        </w:rPr>
        <w:t xml:space="preserve">data/syntracker_validation/syn2b_structural_raw/</w:t>
      </w:r>
      <w:r>
        <w:t xml:space="preserve">), with a self-comparison of every assembly as the fragmentation control;</w:t>
      </w:r>
      <w:r>
        <w:t xml:space="preserve"> </w:t>
      </w:r>
      <w:r>
        <w:rPr>
          <w:rStyle w:val="VerbatimChar"/>
        </w:rPr>
        <w:t xml:space="preserve">results/syntracker_validation/SYNTRACKER_STRUCTURAL_REANALYSIS.md</w:t>
      </w:r>
      <w:r>
        <w:t xml:space="preserve"> </w:t>
      </w:r>
      <w:r>
        <w:t xml:space="preserve">gives the cohort summary. An earlier pass with</w:t>
      </w:r>
      <w:r>
        <w:t xml:space="preserve"> </w:t>
      </w:r>
      <w:r>
        <w:rPr>
          <w:rStyle w:val="VerbatimChar"/>
        </w:rPr>
        <w:t xml:space="preserve">syn2bani ani</w:t>
      </w:r>
      <w:r>
        <w:t xml:space="preserve"> </w:t>
      </w:r>
      <w:r>
        <w:t xml:space="preserve">built before c974f5f produced</w:t>
      </w:r>
      <w:r>
        <w:t xml:space="preserve"> </w:t>
      </w:r>
      <w:r>
        <w:rPr>
          <w:rStyle w:val="VerbatimChar"/>
        </w:rPr>
        <w:t xml:space="preserve">breakpoint_count</w:t>
      </w:r>
      <w:r>
        <w:t xml:space="preserve"> </w:t>
      </w:r>
      <w:r>
        <w:t xml:space="preserve">values of ~900 for self-comparisons of these draft assemblies; those outputs (</w:t>
      </w:r>
      <w:r>
        <w:rPr>
          <w:rStyle w:val="VerbatimChar"/>
        </w:rPr>
        <w:t xml:space="preserve">data/syntracker_validation/syn2bani/</w:t>
      </w:r>
      <w:r>
        <w:t xml:space="preserve">,</w:t>
      </w:r>
      <w:r>
        <w:t xml:space="preserve"> </w:t>
      </w:r>
      <w:r>
        <w:rPr>
          <w:rStyle w:val="VerbatimChar"/>
        </w:rPr>
        <w:t xml:space="preserve">results/syntracker_validation/syntracker_summary_pre_fix.tsv</w:t>
      </w:r>
      <w:r>
        <w:t xml:space="preserve">) are retained for the record and are not used.</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 matched ~1%-substitution control (mut1), and the same three events on the mut1 background.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(2026)41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minimap2 -cx asm20</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(CMH) tests stratified by FastBAPS lineage. Independent isolate metadata generated by the study collaborators were merged by GCA accession: cagA detection with EPIYA genotyping and genome-level rescue, vacA s/i/m typing, and CARD resistance hits (Perfect/Strict only; macrolide resistance defined by 23S rRNA A2146G/A2147G mutations). Cross-validation and SV–resistance associations used Fisher exact tests with Woolf odds ratios, CMH stratification by FastBAPS lineage, Breslow–Day homogeneity tests, and Benjamini–Hochberg FDR across executed tests. The 26 genomes discordant between marker state and cagA typing were reviewed at assembly level: all 28 markers were re-anchored with</w:t>
      </w:r>
      <w:r>
        <w:t xml:space="preserve"> </w:t>
      </w:r>
      <w:r>
        <w:rPr>
          <w:rStyle w:val="VerbatimChar"/>
        </w:rPr>
        <w:t xml:space="preserve">minimap2 -cx asm20</w:t>
      </w:r>
      <w:r>
        <w:t xml:space="preserve"> </w:t>
      </w:r>
      <w:r>
        <w:t xml:space="preserve">and an</w:t>
      </w:r>
      <w:r>
        <w:t xml:space="preserve"> </w:t>
      </w:r>
      <w:r>
        <w:rPr>
          <w:rStyle w:val="VerbatimChar"/>
        </w:rPr>
        <w:t xml:space="preserve">asm5</w:t>
      </w:r>
      <w:r>
        <w:t xml:space="preserve"> </w:t>
      </w:r>
      <w:r>
        <w:t xml:space="preserve">confirmation pass, cagA presence was assayed by marker alignment and 19-mer positional coverage, and cagPAI-window coverage was measured from the minimap2 alignment against reference 26695 (</w:t>
      </w:r>
      <w:r>
        <w:rPr>
          <w:rStyle w:val="VerbatimChar"/>
        </w:rPr>
        <w:t xml:space="preserve">case_studies/h_pylori_cagpai/</w:t>
      </w:r>
      <w:r>
        <w:t xml:space="preserve">). Finally, complete-marker genomes were split by locality relative to the island window — entirely inside it (</w:t>
      </w:r>
      <w:r>
        <w:rPr>
          <w:rStyle w:val="VerbatimChar"/>
        </w:rPr>
        <w:t xml:space="preserve">island_internal</w:t>
      </w:r>
      <w:r>
        <w:t xml:space="preserve">), one endpoint inside it (</w:t>
      </w:r>
      <w:r>
        <w:rPr>
          <w:rStyle w:val="VerbatimChar"/>
        </w:rPr>
        <w:t xml:space="preserve">island_boundary</w:t>
      </w:r>
      <w:r>
        <w:t xml:space="preserve">), spanning the whole window (</w:t>
      </w:r>
      <w:r>
        <w:rPr>
          <w:rStyle w:val="VerbatimChar"/>
        </w:rPr>
        <w:t xml:space="preserve">island_spanned</w:t>
      </w:r>
      <w:r>
        <w:t xml:space="preserve">), or</w:t>
      </w:r>
      <w:r>
        <w:t xml:space="preserve"> </w:t>
      </w:r>
      <w:r>
        <w:rPr>
          <w:rStyle w:val="VerbatimChar"/>
        </w:rPr>
        <w:t xml:space="preserve">complete_collinear</w:t>
      </w:r>
      <w:r>
        <w:t xml:space="preserve"> </w:t>
      </w:r>
      <w:r>
        <w:t xml:space="preserve">— by</w:t>
      </w:r>
      <w:r>
        <w:t xml:space="preserve"> </w:t>
      </w:r>
      <w:r>
        <w:rPr>
          <w:rStyle w:val="VerbatimChar"/>
        </w:rPr>
        <w:t xml:space="preserve">case_studies/h_pylori_cagpai/scripts/classify_locality.py</w:t>
      </w:r>
      <w:r>
        <w:t xml:space="preserve">. In an exploratory post hoc analysis, we tested the global disease-stage × locality table and a binary island-altering definition (</w:t>
      </w:r>
      <w:r>
        <w:rPr>
          <w:rStyle w:val="VerbatimChar"/>
        </w:rPr>
        <w:t xml:space="preserve">island_internal</w:t>
      </w:r>
      <w:r>
        <w:t xml:space="preserve"> </w:t>
      </w:r>
      <w:r>
        <w:t xml:space="preserve">or</w:t>
      </w:r>
      <w:r>
        <w:t xml:space="preserve"> </w:t>
      </w:r>
      <w:r>
        <w:rPr>
          <w:rStyle w:val="VerbatimChar"/>
        </w:rPr>
        <w:t xml:space="preserve">island_boundary</w:t>
      </w:r>
      <w:r>
        <w:t xml:space="preserve"> </w:t>
      </w:r>
      <w:r>
        <w:t xml:space="preserve">versus</w:t>
      </w:r>
      <w:r>
        <w:t xml:space="preserve"> </w:t>
      </w:r>
      <w:r>
        <w:rPr>
          <w:rStyle w:val="VerbatimChar"/>
        </w:rPr>
        <w:t xml:space="preserve">island_spanned</w:t>
      </w:r>
      <w:r>
        <w:t xml:space="preserve"> </w:t>
      </w:r>
      <w:r>
        <w:t xml:space="preserve">or</w:t>
      </w:r>
      <w:r>
        <w:t xml:space="preserve"> </w:t>
      </w:r>
      <w:r>
        <w:rPr>
          <w:rStyle w:val="VerbatimChar"/>
        </w:rPr>
        <w:t xml:space="preserve">complete_collinear</w:t>
      </w:r>
      <w:r>
        <w:t xml:space="preserve">) in GC versus NAG and advanced (GC/IM) versus early (AG/NAG) comparisons using Fisher exact tests, CMH stratification by FastBAPS lineage and Benjamini–Hochberg FDR across the three locality tests (</w:t>
      </w:r>
      <w:r>
        <w:rPr>
          <w:rStyle w:val="VerbatimChar"/>
        </w:rPr>
        <w:t xml:space="preserve">analyze_locality_association.py</w:t>
      </w:r>
      <w:r>
        <w:t xml:space="preserve">; Python 3.9, SciPy 1.13.1, statsmodels 0.14.6).</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 complete</w:t>
      </w:r>
      <w:r>
        <w:t xml:space="preserve"> </w:t>
      </w:r>
      <w:r>
        <w:rPr>
          <w:i/>
          <w:iCs/>
        </w:rPr>
        <w:t xml:space="preserve">E. coli</w:t>
      </w:r>
      <w:r>
        <w:t xml:space="preserve"> </w:t>
      </w:r>
      <w:r>
        <w:t xml:space="preserve">O157:H7 genomes from Fitzgerald et al. (2021)42 were compared all-vs-all with</w:t>
      </w:r>
      <w:r>
        <w:t xml:space="preserve"> </w:t>
      </w:r>
      <w:r>
        <w:rPr>
          <w:rStyle w:val="VerbatimChar"/>
        </w:rPr>
        <w:t xml:space="preserve">syn2bani triangle --edge-list --verbose</w:t>
      </w:r>
      <w:r>
        <w:t xml:space="preserve"> </w:t>
      </w:r>
      <w:r>
        <w:t xml:space="preserve">(2,701 pairs). Host source and lineage assignments were taken from the original publication; lineages were grouped as I/II, II, Ia, and Ic. Genomes were re-downloaded from NCBI and the comparison re-run with v0.1.1 by</w:t>
      </w:r>
      <w:r>
        <w:t xml:space="preserve"> </w:t>
      </w:r>
      <w:r>
        <w:rPr>
          <w:rStyle w:val="VerbatimChar"/>
        </w:rPr>
        <w:t xml:space="preserve">case_studies/rerun_breakpoints.py --study ecoli_o157_fitzgerald_2021</w:t>
      </w:r>
      <w:r>
        <w:t xml:space="preserve"> </w:t>
      </w:r>
      <w:r>
        <w:t xml:space="preserve">(</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E. coli</w:t>
      </w:r>
      <w:r>
        <w:rPr>
          <w:b/>
          <w:bCs/>
        </w:rPr>
        <w:t xml:space="preserve"> </w:t>
      </w:r>
      <w:r>
        <w:rPr>
          <w:b/>
          <w:bCs/>
        </w:rPr>
        <w:t xml:space="preserve">AMR genotypes.</w:t>
      </w:r>
      <w:r>
        <w:t xml:space="preserve"> </w:t>
      </w:r>
      <w:r>
        <w:t xml:space="preserve">The 129 assemblies were compared with Syn2bANI, and structural calls were validated with minimap2. Core AMR genotypes were obtained from</w:t>
      </w:r>
      <w:r>
        <w:t xml:space="preserve"> </w:t>
      </w:r>
      <w:r>
        <w:rPr>
          <w:rStyle w:val="VerbatimChar"/>
        </w:rPr>
        <w:t xml:space="preserve">case_studies/fda_argos/metadata_ecoli.tsv</w:t>
      </w:r>
      <w:r>
        <w:t xml:space="preserve">, downloaded from NCBI Pathogen Detection with AMRFinderPlus applied, and joined by assembly accession; analysis used the</w:t>
      </w:r>
      <w:r>
        <w:t xml:space="preserve"> </w:t>
      </w:r>
      <w:r>
        <w:rPr>
          <w:rStyle w:val="VerbatimChar"/>
        </w:rPr>
        <w:t xml:space="preserve">AMR_genotypes_core</w:t>
      </w:r>
      <w:r>
        <w:t xml:space="preserve"> </w:t>
      </w:r>
      <w:r>
        <w:t xml:space="preserve">field. This core field contains acquired genes plus AMRFinderPlus-called resistance point mutations. Genotype discordance was the measured outcome; phenotypic susceptibility and expression were not tested. For pair discordance, genes present in at least half of the 129 genomes were treated as prevalent/intrinsic and removed; the remaining symmetric difference defined a core-AMR discordant pair (</w:t>
      </w:r>
      <w:r>
        <w:rPr>
          <w:rStyle w:val="VerbatimChar"/>
        </w:rPr>
        <w:t xml:space="preserve">amr_discordance.py</w:t>
      </w:r>
      <w:r>
        <w:t xml:space="preserve">). The curated</w:t>
      </w:r>
      <w:r>
        <w:t xml:space="preserve"> </w:t>
      </w:r>
      <w:r>
        <w:rPr>
          <w:i/>
          <w:iCs/>
        </w:rPr>
        <w:t xml:space="preserve">H. pylori</w:t>
      </w:r>
      <w:r>
        <w:t xml:space="preserve"> </w:t>
      </w:r>
      <w:r>
        <w:t xml:space="preserve">CARD metadata used for Fig. 8 is a separate collaborator dataset and is not the source for FDA-ARGOS.</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The 122</w:t>
      </w:r>
      <w:r>
        <w:t xml:space="preserve"> </w:t>
      </w:r>
      <w:r>
        <w:rPr>
          <w:i/>
          <w:iCs/>
        </w:rPr>
        <w:t xml:space="preserve">Staphylococcus aureus</w:t>
      </w:r>
      <w:r>
        <w:t xml:space="preserve"> </w:t>
      </w:r>
      <w:r>
        <w:t xml:space="preserve">accessions in the FDA-ARGOS repository43 resolve to 67 distinct assemblies: 54 are the GenBank copy, or a superseded version, of another accession in the list, and comparing both copies would compare a genome with itself under two names. One accession per assembly stem was kept (RefSeq preferred, then the highest version), giving 67 genomes and 2,211 pairs, compared all-vs-all with</w:t>
      </w:r>
      <w:r>
        <w:t xml:space="preserve"> </w:t>
      </w:r>
      <w:r>
        <w:rPr>
          <w:rStyle w:val="VerbatimChar"/>
        </w:rPr>
        <w:t xml:space="preserve">syn2bani triangle --edge-list --verbose</w:t>
      </w:r>
      <w:r>
        <w:t xml:space="preserve">. Country and isolation-source metadata were taken from NCBI assembly records; 351 of the 2,211 pairs have no country on either side. Re-run with v0.1.1 by</w:t>
      </w:r>
      <w:r>
        <w:t xml:space="preserve"> </w:t>
      </w:r>
      <w:r>
        <w:rPr>
          <w:rStyle w:val="VerbatimChar"/>
        </w:rPr>
        <w:t xml:space="preserve">case_studies/rerun_breakpoints.py --study fda_argos_s_aureus --dedup-stem</w:t>
      </w:r>
      <w:r>
        <w:t xml:space="preserve"> </w:t>
      </w:r>
      <w:r>
        <w:t xml:space="preserve">(</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study44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embedded calibration v5; benchmark calibration v6 in</w:t>
      </w:r>
      <w:r>
        <w:t xml:space="preserve"> </w:t>
      </w:r>
      <w:r>
        <w:rPr>
          <w:rStyle w:val="VerbatimChar"/>
        </w:rPr>
        <w:t xml:space="preserve">results/panel_by_band/linear_cal_v6.json</w:t>
      </w:r>
      <w:r>
        <w:t xml:space="preserve">), skani 0.3.2, FastANI 1.33/1.34, MUMmer/dnadiff 3.23. Companion Syn2b census/structural calls used snapshot</w:t>
      </w:r>
      <w:r>
        <w:t xml:space="preserve"> </w:t>
      </w:r>
      <w:r>
        <w:rPr>
          <w:rStyle w:val="VerbatimChar"/>
        </w:rPr>
        <w:t xml:space="preserve">64717ab</w:t>
      </w:r>
      <w:r>
        <w:t xml:space="preserve">. Software/model hashes and result-to-artifact mappings are in</w:t>
      </w:r>
      <w:r>
        <w:t xml:space="preserve"> </w:t>
      </w:r>
      <w:r>
        <w:rPr>
          <w:rStyle w:val="VerbatimChar"/>
        </w:rPr>
        <w:t xml:space="preserve">REPRODUCIBILITY_MANIFEST.md</w:t>
      </w:r>
      <w:r>
        <w:t xml:space="preserve">. All ANI comparisons used skani 0.3.2, including the simulation ladder, Enterobacteriaceae small subset, SynTracker cohorts, GTDB-R207 pre-screen and database-scale runs. skani was run with default parameters throughout; this is the shipped-default tier, not a vendor-recommended low-AF tier. Per-pair efficiency was measured on a Mac Studio (Apple M4 Max, 16 cores, 128 GB RAM; 3 repetitions, medians reported); database-scale screen/refinement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9"/>
    <w:bookmarkStart w:id="40"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(120 tests at the time of writing, including rescue-pass, geometry, screen, and synteny-statistics regressions) is green in release mode.</w:t>
      </w:r>
    </w:p>
    <w:p>
      <w:r>
        <w:pict>
          <v:rect style="width:0;height:1.5pt" o:hralign="center" o:hrstd="t" o:hr="t"/>
        </w:pict>
      </w:r>
    </w:p>
    <w:bookmarkEnd w:id="40"/>
    <w:bookmarkEnd w:id="41"/>
    <w:bookmarkStart w:id="42"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results/anim_truth_hi95_v9rescue.tsv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the Syntracker isolate re-analysis (</w:t>
      </w:r>
      <w:r>
        <w:rPr>
          <w:rStyle w:val="VerbatimChar"/>
        </w:rPr>
        <w:t xml:space="preserve">results/syntracker_validation/</w:t>
      </w:r>
      <w:r>
        <w:t xml:space="preserve">), the</w:t>
      </w:r>
      <w:r>
        <w:t xml:space="preserve"> </w:t>
      </w:r>
      <w:r>
        <w:rPr>
          <w:i/>
          <w:iCs/>
        </w:rPr>
        <w:t xml:space="preserve">H. pylori</w:t>
      </w:r>
      <w:r>
        <w:t xml:space="preserve"> </w:t>
      </w:r>
      <w:r>
        <w:t xml:space="preserve">cagPAI cohort including locality and association tables (</w:t>
      </w:r>
      <w:r>
        <w:rPr>
          <w:rStyle w:val="VerbatimChar"/>
        </w:rPr>
        <w:t xml:space="preserve">case_studies/h_pylori_cagpai/results/</w:t>
      </w:r>
      <w:r>
        <w:t xml:space="preserve">), and the species-level census summaries, QC reports, sensitivity analyses and figure files for GTDB-R207, HROM and OAPGC (</w:t>
      </w:r>
      <w:r>
        <w:rPr>
          <w:rStyle w:val="VerbatimChar"/>
        </w:rPr>
        <w:t xml:space="preserve">results/census/</w:t>
      </w:r>
      <w:r>
        <w:t xml:space="preserve">). Revision-specific outputs include calibration v5/v6 provenance (</w:t>
      </w:r>
      <w:r>
        <w:rPr>
          <w:rStyle w:val="VerbatimChar"/>
        </w:rPr>
        <w:t xml:space="preserve">results/gtdb50k/CALIBRATION_PROVENANCE.md</w:t>
      </w:r>
      <w:r>
        <w:t xml:space="preserve">), AF-stratified benchmark metrics (</w:t>
      </w:r>
      <w:r>
        <w:rPr>
          <w:rStyle w:val="VerbatimChar"/>
        </w:rPr>
        <w:t xml:space="preserve">results/revision/af_stratified_benchmark.tsv</w:t>
      </w:r>
      <w:r>
        <w:t xml:space="preserve">), GTDB cluster-scope sensitivity (</w:t>
      </w:r>
      <w:r>
        <w:rPr>
          <w:rStyle w:val="VerbatimChar"/>
        </w:rPr>
        <w:t xml:space="preserve">results/revision/gtdb_cluster_scope_sensitivity.tsv</w:t>
      </w:r>
      <w:r>
        <w:t xml:space="preserve">), dependence-aware uncertainty intervals (</w:t>
      </w:r>
      <w:r>
        <w:rPr>
          <w:rStyle w:val="VerbatimChar"/>
        </w:rPr>
        <w:t xml:space="preserve">results/revision/dependence_aware_uncertainty.tsv</w:t>
      </w:r>
      <w:r>
        <w:t xml:space="preserve"> </w:t>
      </w:r>
      <w:r>
        <w:t xml:space="preserve">and</w:t>
      </w:r>
      <w:r>
        <w:t xml:space="preserve"> </w:t>
      </w:r>
      <w:r>
        <w:rPr>
          <w:rStyle w:val="VerbatimChar"/>
        </w:rPr>
        <w:t xml:space="preserve">results/revision/DEPENDENCE_AWARE_UNCERTAINTY_REPORT.md</w:t>
      </w:r>
      <w:r>
        <w:t xml:space="preserve">), an OAPGC ANI-distance column alias (</w:t>
      </w:r>
      <w:r>
        <w:rPr>
          <w:rStyle w:val="VerbatimChar"/>
        </w:rPr>
        <w:t xml:space="preserve">results/census/oapgc/site_effects/species_effects_all_pairs_ani_distance.tsv</w:t>
      </w:r>
      <w:r>
        <w:t xml:space="preserve">), and GTDB ANI merge QC (</w:t>
      </w:r>
      <w:r>
        <w:rPr>
          <w:rStyle w:val="VerbatimChar"/>
        </w:rPr>
        <w:t xml:space="preserve">results/census/gtdb/GTDB_ANI_MERGE_QC_NOTES.md</w:t>
      </w:r>
      <w:r>
        <w:t xml:space="preserve">); Supplementary Notes 4–7 and Tables S4–S7 are in the Supplementary Information package. For review,</w:t>
      </w:r>
      <w:r>
        <w:t xml:space="preserve"> </w:t>
      </w:r>
      <w:r>
        <w:rPr>
          <w:rStyle w:val="VerbatimChar"/>
        </w:rPr>
        <w:t xml:space="preserve">REPRODUCIBILITY_MANIFEST.md</w:t>
      </w:r>
      <w:r>
        <w:t xml:space="preserve"> </w:t>
      </w:r>
      <w:r>
        <w:t xml:space="preserve">maps each major result to software commits, model hashes, scripts and checksummed outputs. A reduced but sufficient review-stage verification set is therefore available now; the complete pair-level census tables and their checksums/accession manifests will be deposited as an immutable Zenodo archive before acceptance. The curated</w:t>
      </w:r>
      <w:r>
        <w:t xml:space="preserve"> </w:t>
      </w:r>
      <w:r>
        <w:rPr>
          <w:i/>
          <w:iCs/>
        </w:rPr>
        <w:t xml:space="preserve">H. pylori</w:t>
      </w:r>
      <w:r>
        <w:t xml:space="preserve"> </w:t>
      </w:r>
      <w:r>
        <w:t xml:space="preserve">collaborator metadata (cagA, vacA and CARD fields) are available from the corresponding author for research use under the collaborator agreement; the analysis code and aggregate outputs are released and do not require the restricted metadata for reuse. GTDB release R207 is available from https://gtdb.ecogenomic.org; HROM is described by Cha et al.45; and OAPGC is described by Zou et al.46. The reference for exact-truth simulations is</w:t>
      </w:r>
      <w:r>
        <w:t xml:space="preserve"> </w:t>
      </w:r>
      <w:r>
        <w:rPr>
          <w:i/>
          <w:iCs/>
        </w:rPr>
        <w:t xml:space="preserve">E. coli</w:t>
      </w:r>
      <w:r>
        <w:t xml:space="preserve"> </w:t>
      </w:r>
      <w:r>
        <w:t xml:space="preserve">K-12 MG1655, ENA accession U00096.3.</w:t>
      </w:r>
    </w:p>
    <w:bookmarkEnd w:id="42"/>
    <w:bookmarkStart w:id="43"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deployed snapshot is 0.1.0 with calibration model v5 (commit</w:t>
      </w:r>
      <w:r>
        <w:t xml:space="preserve"> </w:t>
      </w:r>
      <w:r>
        <w:rPr>
          <w:rStyle w:val="VerbatimChar"/>
        </w:rPr>
        <w:t xml:space="preserve">fe0f36c</w:t>
      </w:r>
      <w:r>
        <w:t xml:space="preserve">); the fragmentation fix is</w:t>
      </w:r>
      <w:r>
        <w:t xml:space="preserve"> </w:t>
      </w:r>
      <w:r>
        <w:rPr>
          <w:rStyle w:val="VerbatimChar"/>
        </w:rPr>
        <w:t xml:space="preserve">c974f5f</w:t>
      </w:r>
      <w:r>
        <w:t xml:space="preserve">, and the 0.1.1 event-count snapshot is</w:t>
      </w:r>
      <w:r>
        <w:t xml:space="preserve"> </w:t>
      </w:r>
      <w:r>
        <w:rPr>
          <w:rStyle w:val="VerbatimChar"/>
        </w:rPr>
        <w:t xml:space="preserve">40b7795</w:t>
      </w:r>
      <w:r>
        <w:t xml:space="preserve">. The larger real-genome evaluation uses archived benchmark calibration v6 (</w:t>
      </w:r>
      <w:r>
        <w:rPr>
          <w:rStyle w:val="VerbatimChar"/>
        </w:rPr>
        <w:t xml:space="preserve">results/panel_by_band/linear_cal_v6.json</w:t>
      </w:r>
      <w:r>
        <w:t xml:space="preserve">); v5 and v6 are not interchangeable labels, and their training provenance is stated in Online Methods and</w:t>
      </w:r>
      <w:r>
        <w:t xml:space="preserve"> </w:t>
      </w:r>
      <w:r>
        <w:rPr>
          <w:rStyle w:val="VerbatimChar"/>
        </w:rPr>
        <w:t xml:space="preserve">REPRODUCIBILITY_MANIFEST.md</w:t>
      </w:r>
      <w:r>
        <w:t xml:space="preserve">.</w:t>
      </w:r>
    </w:p>
    <w:p>
      <w:pPr>
        <w:pStyle w:val="BodyText"/>
      </w:pPr>
      <w:r>
        <w:t xml:space="preserve">The</w:t>
      </w:r>
      <w:r>
        <w:t xml:space="preserve"> </w:t>
      </w:r>
      <w:r>
        <w:rPr>
          <w:rStyle w:val="VerbatimChar"/>
        </w:rPr>
        <w:t xml:space="preserve">raw_inverted_fraction</w:t>
      </w:r>
      <w:r>
        <w:t xml:space="preserve"> </w:t>
      </w:r>
      <w:r>
        <w:t xml:space="preserve">values in Fig. 5a,b are produced by the companion tool Syn2b (MIT License, https://github.com/HuangShiLab/Syn2b), which digests the same genomes with the same Type IIB enzyme panel and writes its own anchor file (</w:t>
      </w:r>
      <w:r>
        <w:rPr>
          <w:rStyle w:val="VerbatimChar"/>
        </w:rPr>
        <w:t xml:space="preserve">.tgt</w:t>
      </w:r>
      <w:r>
        <w:t xml:space="preserve">). Syn2b also hosts the derivation of the count-versus-ratio distinction under assembly fragmentation (</w:t>
      </w:r>
      <w:r>
        <w:rPr>
          <w:rStyle w:val="VerbatimChar"/>
        </w:rPr>
        <w:t xml:space="preserve">docs/MATH_REVIEW.md</w:t>
      </w:r>
      <w:r>
        <w:t xml:space="preserve">) and the detection-power analysis (</w:t>
      </w:r>
      <w:r>
        <w:rPr>
          <w:rStyle w:val="VerbatimChar"/>
        </w:rPr>
        <w:t xml:space="preserve">docs/PHASE2_DETECTION_POWER.md</w:t>
      </w:r>
      <w:r>
        <w:t xml:space="preserve">). All other structural columns reported here are Syn2bANI outputs.</w:t>
      </w:r>
    </w:p>
    <w:bookmarkEnd w:id="43"/>
    <w:bookmarkStart w:id="44" w:name="acknowledgements"/>
    <w:p>
      <w:pPr>
        <w:pStyle w:val="Heading2"/>
      </w:pPr>
      <w:r>
        <w:t xml:space="preserve">Acknowledgements</w:t>
      </w:r>
    </w:p>
    <w:p>
      <w:pPr>
        <w:pStyle w:val="FirstParagraph"/>
      </w:pPr>
      <w:r>
        <w:t xml:space="preserve">[To be determined.]</w:t>
      </w:r>
    </w:p>
    <w:bookmarkEnd w:id="44"/>
    <w:bookmarkStart w:id="45"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45"/>
    <w:bookmarkStart w:id="46" w:name="competing-interests"/>
    <w:p>
      <w:pPr>
        <w:pStyle w:val="Heading2"/>
      </w:pPr>
      <w:r>
        <w:t xml:space="preserve">Competing interests</w:t>
      </w:r>
    </w:p>
    <w:p>
      <w:pPr>
        <w:pStyle w:val="FirstParagraph"/>
      </w:pPr>
      <w:r>
        <w:t xml:space="preserve">The authors declare no competing interests.</w:t>
      </w:r>
    </w:p>
    <w:bookmarkEnd w:id="46"/>
    <w:bookmarkStart w:id="47"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pPr>
        <w:pStyle w:val="Compact"/>
        <w:numPr>
          <w:ilvl w:val="0"/>
          <w:numId w:val="1001"/>
        </w:numPr>
      </w:pPr>
      <w:r>
        <w:t xml:space="preserve">Song, X. et al. Risk prediction of</w:t>
      </w:r>
      <w:r>
        <w:t xml:space="preserve"> </w:t>
      </w:r>
      <w:r>
        <w:rPr>
          <w:i/>
          <w:iCs/>
        </w:rPr>
        <w:t xml:space="preserve">Helicobacter pylori</w:t>
      </w:r>
      <w:r>
        <w:t xml:space="preserve"> </w:t>
      </w:r>
      <w:r>
        <w:t xml:space="preserve">strains across Correa’s cascade via intelligent analysis of genome-wide SNPs.</w:t>
      </w:r>
      <w:r>
        <w:t xml:space="preserve"> </w:t>
      </w:r>
      <w:r>
        <w:rPr>
          <w:i/>
          <w:iCs/>
        </w:rPr>
        <w:t xml:space="preserve">Proc. Natl. Acad. Sci. USA</w:t>
      </w:r>
      <w:r>
        <w:t xml:space="preserve"> </w:t>
      </w:r>
      <w:r>
        <w:rPr>
          <w:b/>
          <w:bCs/>
        </w:rPr>
        <w:t xml:space="preserve">123</w:t>
      </w:r>
      <w:r>
        <w:t xml:space="preserve">, e2603926123 (2026).</w:t>
      </w:r>
    </w:p>
    <w:p>
      <w:pPr>
        <w:pStyle w:val="Compact"/>
        <w:numPr>
          <w:ilvl w:val="0"/>
          <w:numId w:val="1001"/>
        </w:numPr>
      </w:pPr>
      <w:r>
        <w:t xml:space="preserve">Fitzgerald, S. F. et al. Genome structural variation in</w:t>
      </w:r>
      <w:r>
        <w:t xml:space="preserve"> </w:t>
      </w:r>
      <w:r>
        <w:rPr>
          <w:i/>
          <w:iCs/>
        </w:rPr>
        <w:t xml:space="preserve">Escherichia coli</w:t>
      </w:r>
      <w:r>
        <w:t xml:space="preserve"> </w:t>
      </w:r>
      <w:r>
        <w:t xml:space="preserve">O157:H7.</w:t>
      </w:r>
      <w:r>
        <w:t xml:space="preserve"> </w:t>
      </w:r>
      <w:r>
        <w:rPr>
          <w:i/>
          <w:iCs/>
        </w:rPr>
        <w:t xml:space="preserve">Microb. Genom.</w:t>
      </w:r>
      <w:r>
        <w:t xml:space="preserve"> </w:t>
      </w:r>
      <w:r>
        <w:rPr>
          <w:b/>
          <w:bCs/>
        </w:rPr>
        <w:t xml:space="preserve">7</w:t>
      </w:r>
      <w:r>
        <w:t xml:space="preserve">, 000682 (2021).</w:t>
      </w:r>
    </w:p>
    <w:p>
      <w:pPr>
        <w:pStyle w:val="Compact"/>
        <w:numPr>
          <w:ilvl w:val="0"/>
          <w:numId w:val="1001"/>
        </w:numPr>
      </w:pPr>
      <w:r>
        <w:t xml:space="preserve">Sichtig, H. et al. FDA-ARGOS is a database with public quality-controlled reference genomes for diagnostic use and regulatory science.</w:t>
      </w:r>
      <w:r>
        <w:t xml:space="preserve"> </w:t>
      </w:r>
      <w:r>
        <w:rPr>
          <w:i/>
          <w:iCs/>
        </w:rPr>
        <w:t xml:space="preserve">Nat. Commun.</w:t>
      </w:r>
      <w:r>
        <w:t xml:space="preserve"> </w:t>
      </w:r>
      <w:r>
        <w:rPr>
          <w:b/>
          <w:bCs/>
        </w:rPr>
        <w:t xml:space="preserve">10</w:t>
      </w:r>
      <w:r>
        <w:t xml:space="preserve">, 3313 (2019).</w:t>
      </w:r>
    </w:p>
    <w:p>
      <w:pPr>
        <w:pStyle w:val="Compact"/>
        <w:numPr>
          <w:ilvl w:val="0"/>
          <w:numId w:val="1001"/>
        </w:numPr>
      </w:pPr>
      <w:r>
        <w:t xml:space="preserve">Yu, L. et al. A key genetic factor governing arabinan utilization in the gut microbiome alleviates constipation.</w:t>
      </w:r>
      <w:r>
        <w:t xml:space="preserve"> </w:t>
      </w:r>
      <w:r>
        <w:rPr>
          <w:i/>
          <w:iCs/>
        </w:rPr>
        <w:t xml:space="preserve">Cell Host Microbe</w:t>
      </w:r>
      <w:r>
        <w:t xml:space="preserve"> </w:t>
      </w:r>
      <w:r>
        <w:rPr>
          <w:b/>
          <w:bCs/>
        </w:rPr>
        <w:t xml:space="preserve">31</w:t>
      </w:r>
      <w:r>
        <w:t xml:space="preserve">, 1989–2006.e8 (2023).</w:t>
      </w:r>
    </w:p>
    <w:p>
      <w:pPr>
        <w:pStyle w:val="Compact"/>
        <w:numPr>
          <w:ilvl w:val="0"/>
          <w:numId w:val="1001"/>
        </w:numPr>
      </w:pPr>
      <w:r>
        <w:t xml:space="preserve">Cha, J. H., Kim, N., Ma, J., Lee, S., Koh, G., Yang, S., Beck, S., Byeon, I., Lee, B. &amp; Lee, I. A high-quality genomic catalog of the human oral microbiome broadens its phylogeny and clinical insights.</w:t>
      </w:r>
      <w:r>
        <w:t xml:space="preserve"> </w:t>
      </w:r>
      <w:r>
        <w:rPr>
          <w:i/>
          <w:iCs/>
        </w:rPr>
        <w:t xml:space="preserve">Cell Host Microbe</w:t>
      </w:r>
      <w:r>
        <w:t xml:space="preserve"> </w:t>
      </w:r>
      <w:r>
        <w:rPr>
          <w:b/>
          <w:bCs/>
        </w:rPr>
        <w:t xml:space="preserve">33</w:t>
      </w:r>
      <w:r>
        <w:t xml:space="preserve">, 1977–1994.e8 (2025).</w:t>
      </w:r>
    </w:p>
    <w:p>
      <w:pPr>
        <w:pStyle w:val="Compact"/>
        <w:numPr>
          <w:ilvl w:val="0"/>
          <w:numId w:val="1001"/>
        </w:numPr>
      </w:pPr>
      <w:r>
        <w:t xml:space="preserve">Zou, X. et al. OAPGC: a high-quality oral and airway prokaryotic genome catalog for enhanced ecological resolution and disease inference.</w:t>
      </w:r>
      <w:r>
        <w:t xml:space="preserve"> </w:t>
      </w:r>
      <w:r>
        <w:rPr>
          <w:i/>
          <w:iCs/>
        </w:rPr>
        <w:t xml:space="preserve">npj Biofilms Microbiomes</w:t>
      </w:r>
      <w:r>
        <w:t xml:space="preserve"> </w:t>
      </w:r>
      <w:r>
        <w:rPr>
          <w:b/>
          <w:bCs/>
        </w:rPr>
        <w:t xml:space="preserve">12</w:t>
      </w:r>
      <w:r>
        <w:t xml:space="preserve">, 182 (2026).</w:t>
      </w:r>
    </w:p>
    <w:p>
      <w:r>
        <w:pict>
          <v:rect style="width:0;height:1.5pt" o:hralign="center" o:hrstd="t" o:hr="t"/>
        </w:pict>
      </w:r>
    </w:p>
    <w:p>
      <w:pPr>
        <w:pStyle w:val="FirstParagraph"/>
      </w:pPr>
      <w:r>
        <w:rPr>
          <w:i/>
          <w:iCs/>
        </w:rPr>
        <w:t xml:space="preserve">Manuscript draft — Nature Methods format. Main-text target: ~3,000–5,000 words; abstract: ≤200 words (currently 196 words, excluding the heading).</w:t>
      </w:r>
      <w:r>
        <w:t xml:space="preserve"> </w:t>
      </w:r>
      <w:r>
        <w:rPr>
          <w:i/>
          <w:iCs/>
        </w:rPr>
        <w:t xml:space="preserve">Corresponding author: Shi Huang (shihuang@hku.hk)</w:t>
      </w:r>
    </w:p>
    <w:p>
      <w:r>
        <w:pict>
          <v:rect style="width:0;height:1.5pt" o:hralign="center" o:hrstd="t" o:hr="t"/>
        </w:pict>
      </w:r>
    </w:p>
    <w:bookmarkEnd w:id="47"/>
    <w:bookmarkStart w:id="48"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(e) Contrast with k-mer tools: skani and FastANI perform an analogous seed-and-chain step, but regress the chains into a single ANI scalar and discard the coordinates; because Syn2bANI’s anchors carry fixed genomic positions, the same pass reports structural information at no extra cost.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The source cohorts contain 43,334 held-out same-genus pairs plus 727 high-ANI test pairs; the plotted complete-case hybrid analysis contains 40,629 pairs with non-missing raw and calibrated values. (a) Estimated vs ANIm truth for the benchmark-selected hybrid rule (raw ≥98% / v6-calibrated &lt;98%), skani, and FastANI. Raw and v6-calibrated Syn2bANI variants are shown in Supplementary Figs. S2–S3. (b) Per-band MAE. (c) Signed-error distributions. (d) High-ANI zoom. The hybrid threshold was selected on this benchmark and is therefore an operational sensitivity analysis.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small subsets and at GTDB-R207 database scale.</w:t>
      </w:r>
      <w:r>
        <w:t xml:space="preserve"> </w:t>
      </w:r>
      <w:r>
        <w:t xml:space="preserve">(a) All-vs-all ANI wall time versus number of pairs. (b) One-to-all ANI search wall time versus number of reference genomes. (c) Peak memory for all-vs-all comparison. (d) SV-inclusive workflow wall time, comparing dnadiff alone, skani followed by dnadiff, and Syn2bANI (struct alone or combined ANI+SV from FASTA or pre-built sketches). Panels a–d are medians of three replicates on a Mac Studio (M4 Max, 16 cores) for a–c and on a 16-core HPC node for d. (e) One-to-all wall time per query against all 65,703 GTDB R207 representative genomes, comparing skani search, Syn2bANI search, Syn2bANI dist, and FastANI (all failed; memory bars show peak RSS before OOM). (f) SV-follow-up speedup:</w:t>
      </w:r>
      <w:r>
        <w:t xml:space="preserve"> </w:t>
      </w:r>
      <w:r>
        <w:rPr>
          <w:rStyle w:val="VerbatimChar"/>
        </w:rPr>
        <w:t xml:space="preserve">syn2bani struct</w:t>
      </w:r>
      <w:r>
        <w:t xml:space="preserve"> </w:t>
      </w:r>
      <w:r>
        <w:t xml:space="preserve">versus dnadiff on the top non-self hit from panel e. Source:</w:t>
      </w:r>
      <w:r>
        <w:t xml:space="preserve"> </w:t>
      </w:r>
      <w:r>
        <w:rPr>
          <w:rStyle w:val="VerbatimChar"/>
        </w:rPr>
        <w:t xml:space="preserve">paper/figures/main/fig4_efficiency.png</w:t>
      </w:r>
      <w:r>
        <w:t xml:space="preserve"> </w:t>
      </w:r>
      <w:r>
        <w:t xml:space="preserve">(panels a–d) and</w:t>
      </w:r>
      <w:r>
        <w:t xml:space="preserve"> </w:t>
      </w:r>
      <w:r>
        <w:rPr>
          <w:rStyle w:val="VerbatimChar"/>
        </w:rPr>
        <w:t xml:space="preserve">results/one_to_all/ONE_TO_ALL_BENCHMARK.md</w:t>
      </w:r>
      <w:r>
        <w:t xml:space="preserve"> </w:t>
      </w:r>
      <w:r>
        <w:t xml:space="preserve">(panels e–f).</w:t>
      </w:r>
    </w:p>
    <w:p>
      <w:pPr>
        <w:pStyle w:val="BodyText"/>
      </w:pPr>
      <w:r>
        <w:rPr>
          <w:b/>
          <w:bCs/>
        </w:rPr>
        <w:t xml:space="preserve">Figure 5 | Structural outputs show metric-specific agreement with alignment-based truth.</w:t>
      </w:r>
      <w:r>
        <w:t xml:space="preserve"> </w:t>
      </w:r>
      <w:r>
        <w:t xml:space="preserve">(a)</w:t>
      </w:r>
      <w:r>
        <w:t xml:space="preserve"> </w:t>
      </w:r>
      <w:r>
        <w:rPr>
          <w:rStyle w:val="VerbatimChar"/>
        </w:rPr>
        <w:t xml:space="preserve">raw_inverted_fraction</w:t>
      </w:r>
      <w:r>
        <w:t xml:space="preserve">, computed by the companion Syn2b tool from the same anchor definition, vs dnadiff inverted fraction across the 43,334 held-out GTDB-R207 pairs (Pearson r = 0.936, slope 1.004). (b) Strain-range zoom on the separately sampled high-ANI set (n = 3,826 at ANIm ≥ 97%; r = 0.996, slope 1.006, intercept −0.004). The held-out set contains only two pairs at ANIm ≥ 97% and does not support this panel. (c) Partial correlation of</w:t>
      </w:r>
      <w:r>
        <w:t xml:space="preserve"> </w:t>
      </w:r>
      <w:r>
        <w:rPr>
          <w:rStyle w:val="VerbatimChar"/>
        </w:rPr>
        <w:t xml:space="preserve">breakpoint_count</w:t>
      </w:r>
      <w:r>
        <w:t xml:space="preserve"> </w:t>
      </w:r>
      <w:r>
        <w:t xml:space="preserve">vs dnadiff breakpoints after controlling for ANIm and contig count; this detection statistic shows moderate rather than near-exact agreement. (d)</w:t>
      </w:r>
      <w:r>
        <w:t xml:space="preserve"> </w:t>
      </w:r>
      <w:r>
        <w:rPr>
          <w:rStyle w:val="VerbatimChar"/>
        </w:rPr>
        <w:t xml:space="preserve">af_query</w:t>
      </w:r>
      <w:r>
        <w:t xml:space="preserve"> </w:t>
      </w:r>
      <w:r>
        <w:t xml:space="preserve">vs dnadiff aligned fraction; this is a coverage descriptor and not an SV-concordance metric. (e) Wall time for SV-only or ANI+SV workflows at n = 22 genomes (484 ordered comparisons, including self). (f) Speedup of Syn2bANI (ANI+SV, sketch workflow) over dnadiff across subset sizes. Source:</w:t>
      </w:r>
      <w:r>
        <w:t xml:space="preserve"> </w:t>
      </w:r>
      <w:r>
        <w:rPr>
          <w:rStyle w:val="VerbatimChar"/>
        </w:rPr>
        <w:t xml:space="preserve">paper/figures/main/fig5_sv_validation.png</w:t>
      </w:r>
      <w:r>
        <w:t xml:space="preserve">.</w:t>
      </w:r>
    </w:p>
    <w:p>
      <w:pPr>
        <w:pStyle w:val="BodyText"/>
      </w:pPr>
      <w:r>
        <w:rPr>
          <w:b/>
          <w:bCs/>
        </w:rPr>
        <w:t xml:space="preserve">Figure 6 | Structural divergence at near-clonal ANI in four published isolate collections.</w:t>
      </w:r>
      <w:r>
        <w:t xml:space="preserve"> </w:t>
      </w:r>
      <w:r>
        <w:t xml:space="preserve">Junctions per pair from the Syn2b structural channel (four-enzyme panel) against skani ANI, for the four SynTracker isolate collections10; every assembly scores 0 against itself, so the floor is a true zero. Medians: hypermutator</w:t>
      </w:r>
      <w:r>
        <w:t xml:space="preserve"> </w:t>
      </w:r>
      <w:r>
        <w:rPr>
          <w:i/>
          <w:iCs/>
        </w:rPr>
        <w:t xml:space="preserve">E. coli</w:t>
      </w:r>
      <w:r>
        <w:t xml:space="preserve"> </w:t>
      </w:r>
      <w:r>
        <w:t xml:space="preserve">0 (divergence predominantly sequence-level),</w:t>
      </w:r>
      <w:r>
        <w:t xml:space="preserve"> </w:t>
      </w:r>
      <w:r>
        <w:rPr>
          <w:i/>
          <w:iCs/>
        </w:rPr>
        <w:t xml:space="preserve">N. gonorrhoeae</w:t>
      </w:r>
      <w:r>
        <w:t xml:space="preserve"> </w:t>
      </w:r>
      <w:r>
        <w:t xml:space="preserve">3,</w:t>
      </w:r>
      <w:r>
        <w:t xml:space="preserve"> </w:t>
      </w:r>
      <w:r>
        <w:rPr>
          <w:i/>
          <w:iCs/>
        </w:rPr>
        <w:t xml:space="preserve">H. pylori</w:t>
      </w:r>
      <w:r>
        <w:t xml:space="preserve"> </w:t>
      </w:r>
      <w:r>
        <w:t xml:space="preserve">7,</w:t>
      </w:r>
      <w:r>
        <w:t xml:space="preserve"> </w:t>
      </w:r>
      <w:r>
        <w:rPr>
          <w:i/>
          <w:iCs/>
        </w:rPr>
        <w:t xml:space="preserve">S. rimosus</w:t>
      </w:r>
      <w:r>
        <w:t xml:space="preserve"> </w:t>
      </w:r>
      <w:r>
        <w:t xml:space="preserve">10 (greater architecture-level divergence). Within</w:t>
      </w:r>
      <w:r>
        <w:t xml:space="preserve"> </w:t>
      </w:r>
      <w:r>
        <w:rPr>
          <w:i/>
          <w:iCs/>
        </w:rPr>
        <w:t xml:space="preserve">H. pylori</w:t>
      </w:r>
      <w:r>
        <w:t xml:space="preserve">, pairs from one participant differ by a median of 0 junctions and pairs from different participants by 8 (Supplementary Fig. S8); the same ordering and within-participant floor reproduce through Syn2bANI’s own</w:t>
      </w:r>
      <w:r>
        <w:t xml:space="preserve"> </w:t>
      </w:r>
      <w:r>
        <w:rPr>
          <w:rStyle w:val="VerbatimChar"/>
        </w:rPr>
        <w:t xml:space="preserve">breakpoint_count</w:t>
      </w:r>
      <w:r>
        <w:t xml:space="preserve"> </w:t>
      </w:r>
      <w:r>
        <w:t xml:space="preserve">(medians 0/1/5/3; within- vs between-participant 0 vs 6). Source:</w:t>
      </w:r>
      <w:r>
        <w:t xml:space="preserve"> </w:t>
      </w:r>
      <w:r>
        <w:rPr>
          <w:rStyle w:val="VerbatimChar"/>
        </w:rPr>
        <w:t xml:space="preserve">paper/figures/main/fig6_syntracker_structure.png</w:t>
      </w:r>
      <w:r>
        <w:t xml:space="preserve">;</w:t>
      </w:r>
      <w:r>
        <w:t xml:space="preserve"> </w:t>
      </w:r>
      <w:r>
        <w:rPr>
          <w:rStyle w:val="VerbatimChar"/>
        </w:rPr>
        <w:t xml:space="preserve">results/syntracker_validation/SYNTRACKER_STRUCTURAL_REANALYSIS.md</w:t>
      </w:r>
      <w:r>
        <w:t xml:space="preserve"> </w:t>
      </w:r>
      <w:r>
        <w:t xml:space="preserve">and</w:t>
      </w:r>
      <w:r>
        <w:t xml:space="preserve"> </w:t>
      </w:r>
      <w:r>
        <w:rPr>
          <w:rStyle w:val="VerbatimChar"/>
        </w:rPr>
        <w:t xml:space="preserve">results/syntracker_validation/rerun_v032/</w:t>
      </w:r>
      <w:r>
        <w:t xml:space="preserve"> </w:t>
      </w:r>
      <w:r>
        <w:t xml:space="preserve">(dual-channel rerun). The previous version of this figure (GTDB-R207 pairs with 61–989 SV calls) was produced with a pre-c974f5f binary and is withdrawn; the GTDB-R207 discordance analysis is superseded by the genome-wide within-species census in the companion Syn2b paper.</w:t>
      </w:r>
    </w:p>
    <w:p>
      <w:pPr>
        <w:pStyle w:val="BodyText"/>
      </w:pPr>
      <w:r>
        <w:rPr>
          <w:b/>
          <w:bCs/>
        </w:rPr>
        <w:t xml:space="preserve">Supplementary Figure S8 |</w:t>
      </w:r>
      <w:r>
        <w:rPr>
          <w:b/>
          <w:bCs/>
        </w:rPr>
        <w:t xml:space="preserve"> </w:t>
      </w:r>
      <w:r>
        <w:rPr>
          <w:b/>
          <w:bCs/>
          <w:i/>
          <w:iCs/>
        </w:rPr>
        <w:t xml:space="preserve">H. pylori</w:t>
      </w:r>
      <w:r>
        <w:rPr>
          <w:b/>
          <w:bCs/>
        </w:rPr>
        <w:t xml:space="preserve"> </w:t>
      </w:r>
      <w:r>
        <w:rPr>
          <w:b/>
          <w:bCs/>
        </w:rPr>
        <w:t xml:space="preserve">junction counts resolve by participant.</w:t>
      </w:r>
      <w:r>
        <w:t xml:space="preserve"> </w:t>
      </w:r>
      <w:r>
        <w:t xml:space="preserve">The</w:t>
      </w:r>
      <w:r>
        <w:t xml:space="preserve"> </w:t>
      </w:r>
      <w:r>
        <w:rPr>
          <w:i/>
          <w:iCs/>
        </w:rPr>
        <w:t xml:space="preserve">H. pylori</w:t>
      </w:r>
      <w:r>
        <w:t xml:space="preserve"> </w:t>
      </w:r>
      <w:r>
        <w:t xml:space="preserve">panel of Fig. 6 coloured by the participant each isolate came from, 2,926 pairs. Same-participant pairs sit at the zero floor (median 0 junctions); different-participant pairs carry a median of 8 (Mann–Whitney p = 4.1 × 10⁻²²⁶). Source:</w:t>
      </w:r>
      <w:r>
        <w:t xml:space="preserve"> </w:t>
      </w:r>
      <w:r>
        <w:rPr>
          <w:rStyle w:val="VerbatimChar"/>
        </w:rPr>
        <w:t xml:space="preserve">paper/figures/supplementary/fig_s8_syntracker_h_pylori_by_host.png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cross-validates against independent cagA typing, and is invisible to ANI.</w:t>
      </w:r>
      <w:r>
        <w:t xml:space="preserve"> </w:t>
      </w:r>
      <w:r>
        <w:t xml:space="preserve">(a) Engineered control validation: wild-type and matched-control, ΔcagPAI, inversion, translocation, and the same events on a matched ~1%-substituted background.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(e) Cross-validation against independent cagA molecular typing (collaborator data): cagPAI presence fraction by cagA detection status (OR = 783; lineage-stratified OR = 3,986; Breslow–Day p = 0.96). (f) SV-call burden by CARD macrolide-resistance genotype (23S rRNA); the crude association (OR = 2.81) does not survive FastBAPS-lineage stratification (OR = 1.33). FastBAPS lineage is strongly associated with extended state (χ² = 58.75, df = 12, p = 3.8 × 10⁻⁸), but the primary prespecified disease-stage associations are not significant after lineage stratification (CMH p ≥ 0.21); the separate exploratory locality analysis is reported in Supplementary Table S4. Full association statistics in Supplementary Table S5; lineage-stratified forest plot in Supplementary Fig. S13; assembly-level review of the 26 discordant genomes in the text.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Figure 9 | HROM dual-axis census separates candidate divergence modes.</w:t>
      </w:r>
      <w:r>
        <w:t xml:space="preserve"> </w:t>
      </w:r>
      <w:r>
        <w:t xml:space="preserve">(a) Joint distribution of Syn2b structural similarity and skani ANI for 60,014,738 pairs passing evidence filters, highlighting the mutually exclusive top 5% by each similarity axis and their overlap. (b) Species-level enrichment in the structural-similarity and ANI-similarity sets. Species above the dashed null are enriched in the structural-similarity set (candidate sequence-level divergence); species to the right of the dashed null are enriched in the ANI-similarity set (candidate architecture-level divergence). Candidate mode labels do not imply direct mutation-rate or recombination-rate measurements. Source:</w:t>
      </w:r>
      <w:r>
        <w:t xml:space="preserve"> </w:t>
      </w:r>
      <w:r>
        <w:rPr>
          <w:rStyle w:val="VerbatimChar"/>
        </w:rPr>
        <w:t xml:space="preserve">results/census/hrom/hypermodes/fig_hrom_hypermodes.pdf</w:t>
      </w:r>
      <w:r>
        <w:t xml:space="preserve">; enrichment statistics in</w:t>
      </w:r>
      <w:r>
        <w:t xml:space="preserve"> </w:t>
      </w:r>
      <w:r>
        <w:rPr>
          <w:rStyle w:val="VerbatimChar"/>
        </w:rPr>
        <w:t xml:space="preserve">hypermode_species_enrichment.tsv</w:t>
      </w:r>
      <w:r>
        <w:t xml:space="preserve">.</w:t>
      </w:r>
    </w:p>
    <w:p>
      <w:pPr>
        <w:pStyle w:val="BodyText"/>
      </w:pPr>
      <w:r>
        <w:rPr>
          <w:b/>
          <w:bCs/>
        </w:rPr>
        <w:t xml:space="preserve">Figure 10 | Oral-airway conspecifics show sequence-distance enrichment without a global breakpoint excess.</w:t>
      </w:r>
      <w:r>
        <w:t xml:space="preserve"> </w:t>
      </w:r>
      <w:r>
        <w:t xml:space="preserve">(a) Species-level AUCs for detecting oral-airway versus within-habitat (oral–oral or airway–airway) pairs using ANI-derived sequence distance (x axis) and breakpoint count (y axis) among 200 eligible OAPGC species; categories require BH q &lt; 0.05 and AUC &gt; 0.5. (b) Fraction of OAPGC structural pairs with at least two breakpoints across all informative pairs and two minimum pair-level contig-N50 strata. The increase with N50 demonstrates contiguity sensitivity; the null-to-modest breakpoint AUC in a contrasts with the consistent ANI-derived sequence-distance enrichment. Source:</w:t>
      </w:r>
      <w:r>
        <w:t xml:space="preserve"> </w:t>
      </w:r>
      <w:r>
        <w:rPr>
          <w:rStyle w:val="VerbatimChar"/>
        </w:rPr>
        <w:t xml:space="preserve">results/census/oapgc/figures/fig_oapgc_site_axes.pdf</w:t>
      </w:r>
      <w:r>
        <w:t xml:space="preserve">; statistics in</w:t>
      </w:r>
      <w:r>
        <w:t xml:space="preserve"> </w:t>
      </w:r>
      <w:r>
        <w:rPr>
          <w:rStyle w:val="VerbatimChar"/>
        </w:rPr>
        <w:t xml:space="preserve">results/census/oapgc/site_effects/</w:t>
      </w:r>
      <w:r>
        <w:t xml:space="preserve">.</w:t>
      </w:r>
    </w:p>
    <w:p>
      <w:pPr>
        <w:pStyle w:val="BodyText"/>
      </w:pPr>
      <w:r>
        <w:rPr>
          <w:b/>
          <w:bCs/>
        </w:rPr>
        <w:t xml:space="preserve">Figure 11 | GTDB catalog-scale ANI–structural census.</w:t>
      </w:r>
      <w:r>
        <w:t xml:space="preserve"> </w:t>
      </w:r>
      <w:r>
        <w:t xml:space="preserve">(a) Species-level relationship between mean skani ANI and the fraction of within-species pairs with at least two breakpoints for 1,311 complete GTDB-R207 species with at least 100 expected pairs; colour gives the number of species in each hexagonal bin. (b) Breakpoint-positive fraction across all effective pairs and CheckM/N50 quality strata. For each stratum, paired bars show the fraction among all reported structural pairs (first bar) and the fraction among breakpoint-informative pairs with a numeric breakpoint value (second bar; numeric breakpoint-positive fractions are printed above the bars). The informative denominator excludes the 10.08% of reported pairs without a numeric breakpoint. Source:</w:t>
      </w:r>
      <w:r>
        <w:t xml:space="preserve"> </w:t>
      </w:r>
      <w:r>
        <w:rPr>
          <w:rStyle w:val="VerbatimChar"/>
        </w:rPr>
        <w:t xml:space="preserve">results/census/gtdb/figures/fig_gtdb_ani_sv_census.pdf</w:t>
      </w:r>
      <w:r>
        <w:t xml:space="preserve">; joint table in</w:t>
      </w:r>
      <w:r>
        <w:t xml:space="preserve"> </w:t>
      </w:r>
      <w:r>
        <w:rPr>
          <w:rStyle w:val="VerbatimChar"/>
        </w:rPr>
        <w:t xml:space="preserve">results/census/gtdb/gtdb_species_ani_sv_joint.tsv</w:t>
      </w:r>
      <w:r>
        <w:t xml:space="preserve">; sensitivity in</w:t>
      </w:r>
      <w:r>
        <w:t xml:space="preserve"> </w:t>
      </w:r>
      <w:r>
        <w:rPr>
          <w:rStyle w:val="VerbatimChar"/>
        </w:rPr>
        <w:t xml:space="preserve">results/census/gtdb/effective_quality_sensitivity.tsv</w:t>
      </w:r>
      <w:r>
        <w:t xml:space="preserve">.</w:t>
      </w:r>
    </w:p>
    <w:p>
      <w:pPr>
        <w:pStyle w:val="BodyText"/>
      </w:pPr>
      <w:r>
        <w:rPr>
          <w:b/>
          <w:bCs/>
        </w:rPr>
        <w:t xml:space="preserve">Supplementary Figure S9 | Near-clonal</w:t>
      </w:r>
      <w:r>
        <w:rPr>
          <w:b/>
          <w:bCs/>
        </w:rPr>
        <w:t xml:space="preserve"> </w:t>
      </w:r>
      <w:r>
        <w:rPr>
          <w:b/>
          <w:bCs/>
          <w:i/>
          <w:iCs/>
        </w:rPr>
        <w:t xml:space="preserve">E. coli</w:t>
      </w:r>
      <w:r>
        <w:rPr>
          <w:b/>
          <w:bCs/>
        </w:rPr>
        <w:t xml:space="preserve"> </w:t>
      </w:r>
      <w:r>
        <w:rPr>
          <w:b/>
          <w:bCs/>
        </w:rPr>
        <w:t xml:space="preserve">O157:H7 pairs still differ structurally.</w:t>
      </w:r>
      <w:r>
        <w:t xml:space="preserve"> </w:t>
      </w:r>
      <w:r>
        <w:t xml:space="preserve">Seventy-four complete genomes from Fitzgerald et al. (2021)42, 2,701 non-self pairs, re-run with Syn2bANI v0.1.1. (a) ANI vs</w:t>
      </w:r>
      <w:r>
        <w:t xml:space="preserve"> </w:t>
      </w:r>
      <w:r>
        <w:rPr>
          <w:rStyle w:val="VerbatimChar"/>
        </w:rPr>
        <w:t xml:space="preserve">breakpoint_count</w:t>
      </w:r>
      <w:r>
        <w:t xml:space="preserve">, coloured by lineage when both members share one (I/II, II, Ia, Ic; grey = different lineages). (b) The same by host category (bovine, human, other/unknown). Every pairwise ANI exceeds 99.886%, yet the median pair differs by 7 breakpoints (IQR 4–9, max 19) and only 7.1% of pairs are structurally identical. Source:</w:t>
      </w:r>
      <w:r>
        <w:t xml:space="preserve"> </w:t>
      </w:r>
      <w:r>
        <w:rPr>
          <w:rStyle w:val="VerbatimChar"/>
        </w:rPr>
        <w:t xml:space="preserve">case_studies/ecoli_o157_fitzgerald_2021/results/triangle_rerun.tsv</w:t>
      </w:r>
      <w:r>
        <w:t xml:space="preserve">,</w:t>
      </w:r>
      <w:r>
        <w:t xml:space="preserve"> </w:t>
      </w:r>
      <w:r>
        <w:rPr>
          <w:rStyle w:val="VerbatimChar"/>
        </w:rPr>
        <w:t xml:space="preserve">rerun_summary.md</w:t>
      </w:r>
      <w:r>
        <w:t xml:space="preserve">.</w:t>
      </w:r>
    </w:p>
    <w:p>
      <w:pPr>
        <w:pStyle w:val="BodyText"/>
      </w:pPr>
      <w:r>
        <w:rPr>
          <w:b/>
          <w:bCs/>
        </w:rPr>
        <w:t xml:space="preserve">Supplementary Figure S10 | The FDA-ARGOS</w:t>
      </w:r>
      <w:r>
        <w:rPr>
          <w:b/>
          <w:bCs/>
        </w:rPr>
        <w:t xml:space="preserve"> </w:t>
      </w:r>
      <w:r>
        <w:rPr>
          <w:b/>
          <w:bCs/>
          <w:i/>
          <w:iCs/>
        </w:rPr>
        <w:t xml:space="preserve">Staphylococcus aureus</w:t>
      </w:r>
      <w:r>
        <w:rPr>
          <w:b/>
          <w:bCs/>
        </w:rPr>
        <w:t xml:space="preserve"> </w:t>
      </w:r>
      <w:r>
        <w:rPr>
          <w:b/>
          <w:bCs/>
        </w:rPr>
        <w:t xml:space="preserve">collection is structurally conserved — a negative control.</w:t>
      </w:r>
      <w:r>
        <w:t xml:space="preserve"> </w:t>
      </w:r>
      <w:r>
        <w:t xml:space="preserve">Sixty-seven distinct assemblies43 (the 122 accessions include 54 GenBank/RefSeq or superseded-version twins of one another, which were deduplicated), 2,211 non-self pairs, ANI 93.6–100%, re-run with Syn2bANI v0.1.1. (a) ANI vs</w:t>
      </w:r>
      <w:r>
        <w:t xml:space="preserve"> </w:t>
      </w:r>
      <w:r>
        <w:rPr>
          <w:rStyle w:val="VerbatimChar"/>
        </w:rPr>
        <w:t xml:space="preserve">breakpoint_count</w:t>
      </w:r>
      <w:r>
        <w:t xml:space="preserve"> </w:t>
      </w:r>
      <w:r>
        <w:t xml:space="preserve">by country of isolation (grey = different countries; 351/2,211 pairs have no country on either side). (b) Breakpoint-count distribution: 60.5% of pairs carry none and the maximum is 7. In this collection ANI and architecture are not decoupled. Source:</w:t>
      </w:r>
      <w:r>
        <w:t xml:space="preserve"> </w:t>
      </w:r>
      <w:r>
        <w:rPr>
          <w:rStyle w:val="VerbatimChar"/>
        </w:rPr>
        <w:t xml:space="preserve">case_studies/fda_argos_s_aureus/results/triangle_rerun.tsv</w:t>
      </w:r>
      <w:r>
        <w:t xml:space="preserve">,</w:t>
      </w:r>
      <w:r>
        <w:t xml:space="preserve"> </w:t>
      </w:r>
      <w:r>
        <w:rPr>
          <w:rStyle w:val="VerbatimChar"/>
        </w:rPr>
        <w:t xml:space="preserve">rerun_summary.md</w:t>
      </w:r>
      <w:r>
        <w:t xml:space="preserve">.</w:t>
      </w:r>
    </w:p>
    <w:bookmarkEnd w:id="48"/>
    <w:bookmarkStart w:id="49" w:name="X81fb71449b1430ddbb32a42e5e2ec228172046d"/>
    <w:p>
      <w:pPr>
        <w:pStyle w:val="Heading2"/>
      </w:pPr>
      <w:r>
        <w:rPr>
          <w:b/>
          <w:bCs/>
        </w:rPr>
        <w:t xml:space="preserve">Supplementary Figure S15 | FDA-ARGOS</w:t>
      </w:r>
      <w:r>
        <w:rPr>
          <w:b/>
          <w:bCs/>
        </w:rPr>
        <w:t xml:space="preserve"> </w:t>
      </w:r>
      <w:r>
        <w:rPr>
          <w:b/>
          <w:bCs/>
          <w:i/>
          <w:iCs/>
        </w:rPr>
        <w:t xml:space="preserve">E. coli</w:t>
      </w:r>
      <w:r>
        <w:rPr>
          <w:b/>
          <w:bCs/>
        </w:rPr>
        <w:t xml:space="preserve">: structural and resistance discordance among very-high-ANI reference-genome pairs.</w:t>
      </w:r>
      <w:r>
        <w:t xml:space="preserve"> </w:t>
      </w:r>
      <w:r>
        <w:t xml:space="preserve">One hundred and twenty-nine FDA-ARGOS</w:t>
      </w:r>
      <w:r>
        <w:t xml:space="preserve"> </w:t>
      </w:r>
      <w:r>
        <w:rPr>
          <w:i/>
          <w:iCs/>
        </w:rPr>
        <w:t xml:space="preserve">E. coli</w:t>
      </w:r>
      <w:r>
        <w:t xml:space="preserve"> </w:t>
      </w:r>
      <w:r>
        <w:t xml:space="preserve">assemblies; 103 pairs at skani ANI ≥ 99.9. (a) ANI distribution of the 103 pairs. (b) Structural classes from minimap2 validation: global flip/rotation convention artifacts (41 pairs), partial inversions confirmed by minus-strand blocks (16 pairs), and collinear/local events (46 pairs). (c) Core AMR genotype discordance by ANI band; 60/103 pairs (58.3%) differ, including 11/24 at ANI ≥ 99.99. (d) Minimap2 chromosome alignment blocks of at least 100 kb for the ANI = 100.0 pair FDAARGOS_348/772, which differs by tet(A)/tet(K) and a 48 kb insertion. Source:</w:t>
      </w:r>
      <w:r>
        <w:t xml:space="preserve"> </w:t>
      </w:r>
      <w:r>
        <w:rPr>
          <w:rStyle w:val="VerbatimChar"/>
        </w:rPr>
        <w:t xml:space="preserve">paper/figures/supplementary/fig_s15_fda_argos_ecoli.png</w:t>
      </w:r>
      <w:r>
        <w:t xml:space="preserve">;</w:t>
      </w:r>
      <w:r>
        <w:t xml:space="preserve"> </w:t>
      </w:r>
      <w:r>
        <w:rPr>
          <w:rStyle w:val="VerbatimChar"/>
        </w:rPr>
        <w:t xml:space="preserve">case_studies/fda_argos/ANALYSIS.md</w:t>
      </w:r>
      <w:r>
        <w:t xml:space="preserve">,</w:t>
      </w:r>
      <w:r>
        <w:t xml:space="preserve"> </w:t>
      </w:r>
      <w:r>
        <w:rPr>
          <w:rStyle w:val="VerbatimChar"/>
        </w:rPr>
        <w:t xml:space="preserve">validate/VALIDATION.md</w:t>
      </w:r>
      <w:r>
        <w:t xml:space="preserve">,</w:t>
      </w:r>
      <w:r>
        <w:t xml:space="preserve"> </w:t>
      </w:r>
      <w:r>
        <w:rPr>
          <w:rStyle w:val="VerbatimChar"/>
        </w:rPr>
        <w:t xml:space="preserve">amr_discordance.tsv</w:t>
      </w:r>
      <w:r>
        <w:t xml:space="preserve">.</w:t>
      </w:r>
    </w:p>
    <w:bookmarkEnd w:id="49"/>
    <w:bookmarkStart w:id="50"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using deployed v5; FastANI is shown only for the 363 pairs with an available call, and non-calls were not imputed. Lower panel: held-out 43,334-pair evaluation and unified 80–100% benchmark using benchmark calibration v6. Raw rows are post-rescue gated estimates; v6 is trained on the 2,520 v5 pairs plus 1,614 usable high-ANI pairs and is benchmark-only. Hybrid uses raw ≥98% ANI and v6-calibrated &lt;98%; its threshold was selected on the unified benchmark, so that row is an operational-threshold sensitivity analysis rather than independent validation. Unless a row is explicitly labelled raw (gated), calibrated, or hybrid,</w:t>
      </w:r>
      <w:r>
        <w:t xml:space="preserve"> </w:t>
      </w:r>
      <w:r>
        <w:t xml:space="preserve">“ANI”</w:t>
      </w:r>
      <w:r>
        <w:t xml:space="preserve"> </w:t>
      </w:r>
      <w:r>
        <w:t xml:space="preserve">refers to the method’s direct output in that row. Held-out rows for calibrated Syn2bANI and the skani/FastANI comparators are on the same 39,903 complete-case pairs. Unified rows are complete-case over 40,629 pairs with non-missing raw and calibrated values; their high-ANI column is blank because the source 95–100% pairs are split at 97% and summarized in the all column. The last three held-out rows are separate comparator recalibrations, not identical retraining of Syn2bANI v6 (</w:t>
      </w:r>
      <w:r>
        <w:rPr>
          <w:rStyle w:val="VerbatimChar"/>
        </w:rPr>
        <w:t xml:space="preserve">results/gtdb50k/CALIBRATED_COMPARATORS.md</w:t>
      </w:r>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v6,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r>
        <w:tc>
          <w:tcPr/>
          <w:p>
            <w:pPr>
              <w:pStyle w:val="Compact"/>
            </w:pPr>
            <w:r>
              <w:t xml:space="preserve">skani + band-holdout linear calibration, held-out (39,903)</w:t>
            </w:r>
          </w:p>
        </w:tc>
        <w:tc>
          <w:tcPr/>
          <w:p>
            <w:pPr>
              <w:pStyle w:val="Compact"/>
            </w:pPr>
            <w:r>
              <w:t xml:space="preserve">0.83</w:t>
            </w:r>
          </w:p>
        </w:tc>
        <w:tc>
          <w:tcPr/>
          <w:p>
            <w:pPr>
              <w:pStyle w:val="Compact"/>
            </w:pPr>
            <w:r>
              <w:t xml:space="preserve">0.65</w:t>
            </w:r>
          </w:p>
        </w:tc>
        <w:tc>
          <w:tcPr/>
          <w:p>
            <w:pPr>
              <w:pStyle w:val="Compact"/>
            </w:pPr>
            <w:r>
              <w:t xml:space="preserve">0.82</w:t>
            </w:r>
          </w:p>
        </w:tc>
        <w:tc>
          <w:tcPr/>
          <w:p>
            <w:pPr>
              <w:pStyle w:val="Compact"/>
            </w:pPr>
            <w:r>
              <w:t xml:space="preserve">0.56</w:t>
            </w:r>
          </w:p>
        </w:tc>
        <w:tc>
          <w:tcPr/>
          <w:p>
            <w:pPr>
              <w:pStyle w:val="Compact"/>
            </w:pPr>
            <w:r>
              <w:t xml:space="preserve">0.753</w:t>
            </w:r>
          </w:p>
        </w:tc>
        <w:tc>
          <w:tcPr/>
          <w:p>
            <w:pPr>
              <w:pStyle w:val="Compact"/>
            </w:pPr>
            <w:r>
              <w:t xml:space="preserve">—</w:t>
            </w:r>
          </w:p>
        </w:tc>
        <w:tc>
          <w:tcPr/>
          <w:p>
            <w:pPr>
              <w:pStyle w:val="Compact"/>
            </w:pPr>
            <w:r>
              <w:t xml:space="preserve">0.955</w:t>
            </w:r>
          </w:p>
        </w:tc>
      </w:tr>
      <w:tr>
        <w:tc>
          <w:tcPr/>
          <w:p>
            <w:pPr>
              <w:pStyle w:val="Compact"/>
            </w:pPr>
            <w:r>
              <w:t xml:space="preserve">FastANI + band-holdout linear calibration, held-out (39,903)</w:t>
            </w:r>
          </w:p>
        </w:tc>
        <w:tc>
          <w:tcPr/>
          <w:p>
            <w:pPr>
              <w:pStyle w:val="Compact"/>
            </w:pPr>
            <w:r>
              <w:t xml:space="preserve">0.46</w:t>
            </w:r>
          </w:p>
        </w:tc>
        <w:tc>
          <w:tcPr/>
          <w:p>
            <w:pPr>
              <w:pStyle w:val="Compact"/>
            </w:pPr>
            <w:r>
              <w:t xml:space="preserve">0.53</w:t>
            </w:r>
          </w:p>
        </w:tc>
        <w:tc>
          <w:tcPr/>
          <w:p>
            <w:pPr>
              <w:pStyle w:val="Compact"/>
            </w:pPr>
            <w:r>
              <w:t xml:space="preserve">0.62</w:t>
            </w:r>
          </w:p>
        </w:tc>
        <w:tc>
          <w:tcPr/>
          <w:p>
            <w:pPr>
              <w:pStyle w:val="Compact"/>
            </w:pPr>
            <w:r>
              <w:t xml:space="preserve">0.55</w:t>
            </w:r>
          </w:p>
        </w:tc>
        <w:tc>
          <w:tcPr/>
          <w:p>
            <w:pPr>
              <w:pStyle w:val="Compact"/>
            </w:pPr>
            <w:r>
              <w:t xml:space="preserve">0.548</w:t>
            </w:r>
          </w:p>
        </w:tc>
        <w:tc>
          <w:tcPr/>
          <w:p>
            <w:pPr>
              <w:pStyle w:val="Compact"/>
            </w:pPr>
            <w:r>
              <w:t xml:space="preserve">—</w:t>
            </w:r>
          </w:p>
        </w:tc>
        <w:tc>
          <w:tcPr/>
          <w:p>
            <w:pPr>
              <w:pStyle w:val="Compact"/>
            </w:pPr>
            <w:r>
              <w:t xml:space="preserve">0.974</w:t>
            </w:r>
          </w:p>
        </w:tc>
      </w:tr>
      <w:tr>
        <w:tc>
          <w:tcPr/>
          <w:p>
            <w:pPr>
              <w:pStyle w:val="Compact"/>
            </w:pPr>
            <w:r>
              <w:t xml:space="preserve">FastANI + linear calibration (ani, mapped, total), held-out (39,903)</w:t>
            </w:r>
          </w:p>
        </w:tc>
        <w:tc>
          <w:tcPr/>
          <w:p>
            <w:pPr>
              <w:pStyle w:val="Compact"/>
            </w:pPr>
            <w:r>
              <w:t xml:space="preserve">0.44</w:t>
            </w:r>
          </w:p>
        </w:tc>
        <w:tc>
          <w:tcPr/>
          <w:p>
            <w:pPr>
              <w:pStyle w:val="Compact"/>
            </w:pPr>
            <w:r>
              <w:t xml:space="preserve">0.47</w:t>
            </w:r>
          </w:p>
        </w:tc>
        <w:tc>
          <w:tcPr/>
          <w:p>
            <w:pPr>
              <w:pStyle w:val="Compact"/>
            </w:pPr>
            <w:r>
              <w:t xml:space="preserve">0.53</w:t>
            </w:r>
          </w:p>
        </w:tc>
        <w:tc>
          <w:tcPr/>
          <w:p>
            <w:pPr>
              <w:pStyle w:val="Compact"/>
            </w:pPr>
            <w:r>
              <w:t xml:space="preserve">0.53</w:t>
            </w:r>
          </w:p>
        </w:tc>
        <w:tc>
          <w:tcPr/>
          <w:p>
            <w:pPr>
              <w:pStyle w:val="Compact"/>
            </w:pPr>
            <w:r>
              <w:t xml:space="preserve">0.487</w:t>
            </w:r>
          </w:p>
        </w:tc>
        <w:tc>
          <w:tcPr/>
          <w:p>
            <w:pPr>
              <w:pStyle w:val="Compact"/>
            </w:pPr>
            <w:r>
              <w:t xml:space="preserve">—</w:t>
            </w:r>
          </w:p>
        </w:tc>
        <w:tc>
          <w:tcPr/>
          <w:p>
            <w:pPr>
              <w:pStyle w:val="Compact"/>
            </w:pPr>
            <w:r>
              <w:t xml:space="preserve">0.979</w:t>
            </w:r>
          </w:p>
        </w:tc>
      </w:tr>
    </w:tbl>
    <w:p>
      <w:pPr>
        <w:pStyle w:val="BodyText"/>
      </w:pPr>
      <w:r>
        <w:rPr>
          <w:b/>
          <w:bCs/>
        </w:rPr>
        <w:t xml:space="preserve">Table 2 | Computational efficiency summary.</w:t>
      </w:r>
      <w:r>
        <w:t xml:space="preserve"> </w:t>
      </w:r>
      <w:r>
        <w:t xml:space="preserve">Timings are median wall-clock seconds per query or per run; memory is peak RSS. Small-subset numbers are from 484 ordered comparisons of 22 genomes (including 22 self comparisons) on a Mac Studio (M4 Max, 16 cores). Syn2bANI</w:t>
      </w:r>
      <w:r>
        <w:t xml:space="preserve"> </w:t>
      </w:r>
      <w:r>
        <w:rPr>
          <w:rStyle w:val="VerbatimChar"/>
        </w:rPr>
        <w:t xml:space="preserve">dist</w:t>
      </w:r>
      <w:r>
        <w:t xml:space="preserve"> </w:t>
      </w:r>
      <w:r>
        <w:t xml:space="preserve">rows report ANI plus anchor-derived structural columns; the SV-inclusive workflow row additionally includes a separate</w:t>
      </w:r>
      <w:r>
        <w:t xml:space="preserve"> </w:t>
      </w:r>
      <w:r>
        <w:rPr>
          <w:rStyle w:val="VerbatimChar"/>
        </w:rPr>
        <w:t xml:space="preserve">syn2bani struct</w:t>
      </w:r>
      <w:r>
        <w:t xml:space="preserve"> </w:t>
      </w:r>
      <w:r>
        <w:t xml:space="preserve">stage. Database-scale one-to-all numbers are from a 16-core/64 GB HPC node against all 65,703 GTDB R207 representative genomes; the 5,000-genome screen/refinement run in the text used 32 threads.</w:t>
      </w:r>
      <w:r>
        <w:t xml:space="preserve"> </w:t>
      </w:r>
      <w:r>
        <w:t xml:space="preserve">“SV follow-up”</w:t>
      </w:r>
      <w:r>
        <w:t xml:space="preserve"> </w:t>
      </w:r>
      <w:r>
        <w:t xml:space="preserve">compares</w:t>
      </w:r>
      <w:r>
        <w:t xml:space="preserve"> </w:t>
      </w:r>
      <w:r>
        <w:rPr>
          <w:rStyle w:val="VerbatimChar"/>
        </w:rPr>
        <w:t xml:space="preserve">syn2bani struct</w:t>
      </w:r>
      <w:r>
        <w:t xml:space="preserve"> </w:t>
      </w:r>
      <w:r>
        <w:t xml:space="preserve">with dnadiff on the same top non-self hit; its peak memory was not retained in the archived timing record. skani</w:t>
      </w:r>
      <w:r>
        <w:t xml:space="preserve"> </w:t>
      </w:r>
      <w:r>
        <w:rPr>
          <w:rStyle w:val="VerbatimChar"/>
        </w:rPr>
        <w:t xml:space="preserve">search</w:t>
      </w:r>
      <w:r>
        <w:t xml:space="preserve"> </w:t>
      </w:r>
      <w:r>
        <w:t xml:space="preserve">cold-start includes a one-off 1,309-s sketch-index load; subsequent warm queries are 7–45 s.</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Task</w:t>
            </w:r>
          </w:p>
        </w:tc>
        <w:tc>
          <w:tcPr/>
          <w:p>
            <w:pPr>
              <w:pStyle w:val="Compact"/>
            </w:pPr>
            <w:r>
              <w:t xml:space="preserve">Tool / mode</w:t>
            </w:r>
          </w:p>
        </w:tc>
        <w:tc>
          <w:tcPr/>
          <w:p>
            <w:pPr>
              <w:pStyle w:val="Compact"/>
              <w:jc w:val="right"/>
            </w:pPr>
            <w:r>
              <w:t xml:space="preserve">n queries / pairs</w:t>
            </w:r>
          </w:p>
        </w:tc>
        <w:tc>
          <w:tcPr/>
          <w:p>
            <w:pPr>
              <w:pStyle w:val="Compact"/>
              <w:jc w:val="right"/>
            </w:pPr>
            <w:r>
              <w:t xml:space="preserve">Wall time (s)</w:t>
            </w:r>
          </w:p>
        </w:tc>
        <w:tc>
          <w:tcPr/>
          <w:p>
            <w:pPr>
              <w:pStyle w:val="Compact"/>
              <w:jc w:val="right"/>
            </w:pPr>
            <w:r>
              <w:t xml:space="preserve">Peak memory (GB)</w:t>
            </w:r>
          </w:p>
        </w:tc>
        <w:tc>
          <w:tcPr/>
          <w:p>
            <w:pPr>
              <w:pStyle w:val="Compact"/>
            </w:pPr>
            <w:r>
              <w:t xml:space="preserve">Notes</w:t>
            </w:r>
          </w:p>
        </w:tc>
      </w:tr>
      <w:tr>
        <w:tc>
          <w:tcPr/>
          <w:p>
            <w:pPr>
              <w:pStyle w:val="Compact"/>
            </w:pPr>
            <w:r>
              <w:t xml:space="preserve">All-vs-all ANI + structural columns (22 genomes)</w:t>
            </w:r>
          </w:p>
        </w:tc>
        <w:tc>
          <w:tcPr/>
          <w:p>
            <w:pPr>
              <w:pStyle w:val="Compact"/>
            </w:pPr>
            <w:r>
              <w:t xml:space="preserve">Syn2bANI dist (FASTA)</w:t>
            </w:r>
          </w:p>
        </w:tc>
        <w:tc>
          <w:tcPr/>
          <w:p>
            <w:pPr>
              <w:pStyle w:val="Compact"/>
              <w:jc w:val="right"/>
            </w:pPr>
            <w:r>
              <w:t xml:space="preserve">484</w:t>
            </w:r>
          </w:p>
        </w:tc>
        <w:tc>
          <w:tcPr/>
          <w:p>
            <w:pPr>
              <w:pStyle w:val="Compact"/>
              <w:jc w:val="right"/>
            </w:pPr>
            <w:r>
              <w:t xml:space="preserve">3.7</w:t>
            </w:r>
          </w:p>
        </w:tc>
        <w:tc>
          <w:tcPr/>
          <w:p>
            <w:pPr>
              <w:pStyle w:val="Compact"/>
              <w:jc w:val="right"/>
            </w:pPr>
            <w:r>
              <w:t xml:space="preserve">0.058</w:t>
            </w:r>
          </w:p>
        </w:tc>
        <w:tc>
          <w:tcPr/>
          <w:p>
            <w:pPr>
              <w:pStyle w:val="Compact"/>
            </w:pPr>
            <w:r>
              <w:t xml:space="preserve">ordered n² including self</w:t>
            </w:r>
          </w:p>
        </w:tc>
      </w:tr>
      <w:tr>
        <w:tc>
          <w:tcPr/>
          <w:p>
            <w:pPr>
              <w:pStyle w:val="Compact"/>
            </w:pPr>
            <w:r>
              <w:t xml:space="preserve">All-vs-all ANI + structural columns (22 genomes)</w:t>
            </w:r>
          </w:p>
        </w:tc>
        <w:tc>
          <w:tcPr/>
          <w:p>
            <w:pPr>
              <w:pStyle w:val="Compact"/>
            </w:pPr>
            <w:r>
              <w:t xml:space="preserve">Syn2bANI dist (sketch reuse)</w:t>
            </w:r>
          </w:p>
        </w:tc>
        <w:tc>
          <w:tcPr/>
          <w:p>
            <w:pPr>
              <w:pStyle w:val="Compact"/>
              <w:jc w:val="right"/>
            </w:pPr>
            <w:r>
              <w:t xml:space="preserve">484</w:t>
            </w:r>
          </w:p>
        </w:tc>
        <w:tc>
          <w:tcPr/>
          <w:p>
            <w:pPr>
              <w:pStyle w:val="Compact"/>
              <w:jc w:val="right"/>
            </w:pPr>
            <w:r>
              <w:t xml:space="preserve">2.8</w:t>
            </w:r>
          </w:p>
        </w:tc>
        <w:tc>
          <w:tcPr/>
          <w:p>
            <w:pPr>
              <w:pStyle w:val="Compact"/>
              <w:jc w:val="right"/>
            </w:pPr>
            <w:r>
              <w:t xml:space="preserve">0.058</w:t>
            </w:r>
          </w:p>
        </w:tc>
        <w:tc>
          <w:tcPr/>
          <w:p>
            <w:pPr>
              <w:pStyle w:val="Compact"/>
            </w:pPr>
            <w:r>
              <w:t xml:space="preserve">ordered n² including self</w:t>
            </w:r>
          </w:p>
        </w:tc>
      </w:tr>
      <w:tr>
        <w:tc>
          <w:tcPr/>
          <w:p>
            <w:pPr>
              <w:pStyle w:val="Compact"/>
            </w:pPr>
            <w:r>
              <w:t xml:space="preserve">All-vs-all ANI (22 genomes)</w:t>
            </w:r>
          </w:p>
        </w:tc>
        <w:tc>
          <w:tcPr/>
          <w:p>
            <w:pPr>
              <w:pStyle w:val="Compact"/>
            </w:pPr>
            <w:r>
              <w:t xml:space="preserve">skani dist</w:t>
            </w:r>
          </w:p>
        </w:tc>
        <w:tc>
          <w:tcPr/>
          <w:p>
            <w:pPr>
              <w:pStyle w:val="Compact"/>
              <w:jc w:val="right"/>
            </w:pPr>
            <w:r>
              <w:t xml:space="preserve">302/484 reported</w:t>
            </w:r>
          </w:p>
        </w:tc>
        <w:tc>
          <w:tcPr/>
          <w:p>
            <w:pPr>
              <w:pStyle w:val="Compact"/>
              <w:jc w:val="right"/>
            </w:pPr>
            <w:r>
              <w:t xml:space="preserve">0.15</w:t>
            </w:r>
          </w:p>
        </w:tc>
        <w:tc>
          <w:tcPr/>
          <w:p>
            <w:pPr>
              <w:pStyle w:val="Compact"/>
              <w:jc w:val="right"/>
            </w:pPr>
            <w:r>
              <w:t xml:space="preserve">0.185</w:t>
            </w:r>
          </w:p>
        </w:tc>
        <w:tc>
          <w:tcPr/>
          <w:p>
            <w:pPr>
              <w:pStyle w:val="Compact"/>
            </w:pPr>
            <w:r>
              <w:t xml:space="preserve">excludes sketching; AF filter drops 182 pairs</w:t>
            </w:r>
          </w:p>
        </w:tc>
      </w:tr>
      <w:tr>
        <w:tc>
          <w:tcPr/>
          <w:p>
            <w:pPr>
              <w:pStyle w:val="Compact"/>
            </w:pPr>
            <w:r>
              <w:t xml:space="preserve">All-vs-all ANI (22 genomes)</w:t>
            </w:r>
          </w:p>
        </w:tc>
        <w:tc>
          <w:tcPr/>
          <w:p>
            <w:pPr>
              <w:pStyle w:val="Compact"/>
            </w:pPr>
            <w:r>
              <w:t xml:space="preserve">FastANI</w:t>
            </w:r>
          </w:p>
        </w:tc>
        <w:tc>
          <w:tcPr/>
          <w:p>
            <w:pPr>
              <w:pStyle w:val="Compact"/>
              <w:jc w:val="right"/>
            </w:pPr>
            <w:r>
              <w:t xml:space="preserve">484</w:t>
            </w:r>
          </w:p>
        </w:tc>
        <w:tc>
          <w:tcPr/>
          <w:p>
            <w:pPr>
              <w:pStyle w:val="Compact"/>
              <w:jc w:val="right"/>
            </w:pPr>
            <w:r>
              <w:t xml:space="preserve">17.7</w:t>
            </w:r>
          </w:p>
        </w:tc>
        <w:tc>
          <w:tcPr/>
          <w:p>
            <w:pPr>
              <w:pStyle w:val="Compact"/>
              <w:jc w:val="right"/>
            </w:pPr>
            <w:r>
              <w:t xml:space="preserve">0.912</w:t>
            </w:r>
          </w:p>
        </w:tc>
        <w:tc>
          <w:tcPr/>
          <w:p>
            <w:pPr>
              <w:pStyle w:val="Compact"/>
            </w:pPr>
          </w:p>
        </w:tc>
      </w:tr>
      <w:tr>
        <w:tc>
          <w:tcPr/>
          <w:p>
            <w:pPr>
              <w:pStyle w:val="Compact"/>
            </w:pPr>
            <w:r>
              <w:t xml:space="preserve">SV-inclusive workflow (22 genomes)</w:t>
            </w:r>
          </w:p>
        </w:tc>
        <w:tc>
          <w:tcPr/>
          <w:p>
            <w:pPr>
              <w:pStyle w:val="Compact"/>
            </w:pPr>
            <w:r>
              <w:t xml:space="preserve">skani + dnadiff</w:t>
            </w:r>
          </w:p>
        </w:tc>
        <w:tc>
          <w:tcPr/>
          <w:p>
            <w:pPr>
              <w:pStyle w:val="Compact"/>
              <w:jc w:val="right"/>
            </w:pPr>
            <w:r>
              <w:t xml:space="preserve">484</w:t>
            </w:r>
          </w:p>
        </w:tc>
        <w:tc>
          <w:tcPr/>
          <w:p>
            <w:pPr>
              <w:pStyle w:val="Compact"/>
              <w:jc w:val="right"/>
            </w:pPr>
            <w:r>
              <w:t xml:space="preserve">~1,843</w:t>
            </w:r>
          </w:p>
        </w:tc>
        <w:tc>
          <w:tcPr/>
          <w:p>
            <w:pPr>
              <w:pStyle w:val="Compact"/>
              <w:jc w:val="right"/>
            </w:pPr>
            <w:r>
              <w:t xml:space="preserve">—</w:t>
            </w:r>
          </w:p>
        </w:tc>
        <w:tc>
          <w:tcPr/>
          <w:p>
            <w:pPr>
              <w:pStyle w:val="Compact"/>
            </w:pPr>
            <w:r>
              <w:t xml:space="preserve">ANI then SV caller</w:t>
            </w:r>
          </w:p>
        </w:tc>
      </w:tr>
      <w:tr>
        <w:tc>
          <w:tcPr/>
          <w:p>
            <w:pPr>
              <w:pStyle w:val="Compact"/>
            </w:pPr>
            <w:r>
              <w:t xml:space="preserve">SV-inclusive workflow (22 genomes)</w:t>
            </w:r>
          </w:p>
        </w:tc>
        <w:tc>
          <w:tcPr/>
          <w:p>
            <w:pPr>
              <w:pStyle w:val="Compact"/>
            </w:pPr>
            <w:r>
              <w:t xml:space="preserve">Syn2bANI (sketch reuse)</w:t>
            </w:r>
          </w:p>
        </w:tc>
        <w:tc>
          <w:tcPr/>
          <w:p>
            <w:pPr>
              <w:pStyle w:val="Compact"/>
              <w:jc w:val="right"/>
            </w:pPr>
            <w:r>
              <w:t xml:space="preserve">484</w:t>
            </w:r>
          </w:p>
        </w:tc>
        <w:tc>
          <w:tcPr/>
          <w:p>
            <w:pPr>
              <w:pStyle w:val="Compact"/>
              <w:jc w:val="right"/>
            </w:pPr>
            <w:r>
              <w:t xml:space="preserve">7.6</w:t>
            </w:r>
          </w:p>
        </w:tc>
        <w:tc>
          <w:tcPr/>
          <w:p>
            <w:pPr>
              <w:pStyle w:val="Compact"/>
              <w:jc w:val="right"/>
            </w:pPr>
            <w:r>
              <w:t xml:space="preserve">0.058</w:t>
            </w:r>
          </w:p>
        </w:tc>
        <w:tc>
          <w:tcPr/>
          <w:p>
            <w:pPr>
              <w:pStyle w:val="Compact"/>
            </w:pPr>
            <w:r>
              <w:t xml:space="preserve">ANI + SV, &gt;240× faster than skani + dnadiff</w:t>
            </w:r>
          </w:p>
        </w:tc>
      </w:tr>
      <w:tr>
        <w:tc>
          <w:tcPr/>
          <w:p>
            <w:pPr>
              <w:pStyle w:val="Compact"/>
            </w:pPr>
            <w:r>
              <w:t xml:space="preserve">Database one-to-all ANI</w:t>
            </w:r>
          </w:p>
        </w:tc>
        <w:tc>
          <w:tcPr/>
          <w:p>
            <w:pPr>
              <w:pStyle w:val="Compact"/>
            </w:pPr>
            <w:r>
              <w:t xml:space="preserve">skani search (warm)</w:t>
            </w:r>
          </w:p>
        </w:tc>
        <w:tc>
          <w:tcPr/>
          <w:p>
            <w:pPr>
              <w:pStyle w:val="Compact"/>
              <w:jc w:val="right"/>
            </w:pPr>
            <w:r>
              <w:t xml:space="preserve">7</w:t>
            </w:r>
          </w:p>
        </w:tc>
        <w:tc>
          <w:tcPr/>
          <w:p>
            <w:pPr>
              <w:pStyle w:val="Compact"/>
              <w:jc w:val="right"/>
            </w:pPr>
            <w:r>
              <w:t xml:space="preserve">7–45</w:t>
            </w:r>
          </w:p>
        </w:tc>
        <w:tc>
          <w:tcPr/>
          <w:p>
            <w:pPr>
              <w:pStyle w:val="Compact"/>
              <w:jc w:val="right"/>
            </w:pPr>
            <w:r>
              <w:t xml:space="preserve">4.5</w:t>
            </w:r>
          </w:p>
        </w:tc>
        <w:tc>
          <w:tcPr/>
          <w:p>
            <w:pPr>
              <w:pStyle w:val="Compact"/>
            </w:pPr>
            <w:r>
              <w:t xml:space="preserve">persistent sketch index</w:t>
            </w:r>
          </w:p>
        </w:tc>
      </w:tr>
      <w:tr>
        <w:tc>
          <w:tcPr/>
          <w:p>
            <w:pPr>
              <w:pStyle w:val="Compact"/>
            </w:pPr>
            <w:r>
              <w:t xml:space="preserve">Database one-to-all ANI</w:t>
            </w:r>
          </w:p>
        </w:tc>
        <w:tc>
          <w:tcPr/>
          <w:p>
            <w:pPr>
              <w:pStyle w:val="Compact"/>
            </w:pPr>
            <w:r>
              <w:t xml:space="preserve">skani search (cold)</w:t>
            </w:r>
          </w:p>
        </w:tc>
        <w:tc>
          <w:tcPr/>
          <w:p>
            <w:pPr>
              <w:pStyle w:val="Compact"/>
              <w:jc w:val="right"/>
            </w:pPr>
            <w:r>
              <w:t xml:space="preserve">7</w:t>
            </w:r>
          </w:p>
        </w:tc>
        <w:tc>
          <w:tcPr/>
          <w:p>
            <w:pPr>
              <w:pStyle w:val="Compact"/>
              <w:jc w:val="right"/>
            </w:pPr>
            <w:r>
              <w:t xml:space="preserve">1,309</w:t>
            </w:r>
          </w:p>
        </w:tc>
        <w:tc>
          <w:tcPr/>
          <w:p>
            <w:pPr>
              <w:pStyle w:val="Compact"/>
              <w:jc w:val="right"/>
            </w:pPr>
            <w:r>
              <w:t xml:space="preserve">4.5</w:t>
            </w:r>
          </w:p>
        </w:tc>
        <w:tc>
          <w:tcPr/>
          <w:p>
            <w:pPr>
              <w:pStyle w:val="Compact"/>
            </w:pPr>
            <w:r>
              <w:t xml:space="preserve">index-load dominated</w:t>
            </w:r>
          </w:p>
        </w:tc>
      </w:tr>
      <w:tr>
        <w:tc>
          <w:tcPr/>
          <w:p>
            <w:pPr>
              <w:pStyle w:val="Compact"/>
            </w:pPr>
            <w:r>
              <w:t xml:space="preserve">Database one-to-all ANI</w:t>
            </w:r>
          </w:p>
        </w:tc>
        <w:tc>
          <w:tcPr/>
          <w:p>
            <w:pPr>
              <w:pStyle w:val="Compact"/>
            </w:pPr>
            <w:r>
              <w:t xml:space="preserve">Syn2bANI search</w:t>
            </w:r>
          </w:p>
        </w:tc>
        <w:tc>
          <w:tcPr/>
          <w:p>
            <w:pPr>
              <w:pStyle w:val="Compact"/>
              <w:jc w:val="right"/>
            </w:pPr>
            <w:r>
              <w:t xml:space="preserve">7</w:t>
            </w:r>
          </w:p>
        </w:tc>
        <w:tc>
          <w:tcPr/>
          <w:p>
            <w:pPr>
              <w:pStyle w:val="Compact"/>
              <w:jc w:val="right"/>
            </w:pPr>
            <w:r>
              <w:t xml:space="preserve">5,536</w:t>
            </w:r>
          </w:p>
        </w:tc>
        <w:tc>
          <w:tcPr/>
          <w:p>
            <w:pPr>
              <w:pStyle w:val="Compact"/>
              <w:jc w:val="right"/>
            </w:pPr>
            <w:r>
              <w:t xml:space="preserve">44.0</w:t>
            </w:r>
          </w:p>
        </w:tc>
        <w:tc>
          <w:tcPr/>
          <w:p>
            <w:pPr>
              <w:pStyle w:val="Compact"/>
            </w:pPr>
            <w:r>
              <w:t xml:space="preserve">ANI + structural columns</w:t>
            </w:r>
          </w:p>
        </w:tc>
      </w:tr>
      <w:tr>
        <w:tc>
          <w:tcPr/>
          <w:p>
            <w:pPr>
              <w:pStyle w:val="Compact"/>
            </w:pPr>
            <w:r>
              <w:t xml:space="preserve">Database one-to-all ANI</w:t>
            </w:r>
          </w:p>
        </w:tc>
        <w:tc>
          <w:tcPr/>
          <w:p>
            <w:pPr>
              <w:pStyle w:val="Compact"/>
            </w:pPr>
            <w:r>
              <w:t xml:space="preserve">Syn2bANI dist (FASTA)</w:t>
            </w:r>
          </w:p>
        </w:tc>
        <w:tc>
          <w:tcPr/>
          <w:p>
            <w:pPr>
              <w:pStyle w:val="Compact"/>
              <w:jc w:val="right"/>
            </w:pPr>
            <w:r>
              <w:t xml:space="preserve">7</w:t>
            </w:r>
          </w:p>
        </w:tc>
        <w:tc>
          <w:tcPr/>
          <w:p>
            <w:pPr>
              <w:pStyle w:val="Compact"/>
              <w:jc w:val="right"/>
            </w:pPr>
            <w:r>
              <w:t xml:space="preserve">13,643</w:t>
            </w:r>
          </w:p>
        </w:tc>
        <w:tc>
          <w:tcPr/>
          <w:p>
            <w:pPr>
              <w:pStyle w:val="Compact"/>
              <w:jc w:val="right"/>
            </w:pPr>
            <w:r>
              <w:t xml:space="preserve">51.6</w:t>
            </w:r>
          </w:p>
        </w:tc>
        <w:tc>
          <w:tcPr/>
          <w:p>
            <w:pPr>
              <w:pStyle w:val="Compact"/>
            </w:pPr>
            <w:r>
              <w:t xml:space="preserve">digestion-bound</w:t>
            </w:r>
          </w:p>
        </w:tc>
      </w:tr>
      <w:tr>
        <w:tc>
          <w:tcPr/>
          <w:p>
            <w:pPr>
              <w:pStyle w:val="Compact"/>
            </w:pPr>
            <w:r>
              <w:t xml:space="preserve">Database one-to-all ANI</w:t>
            </w:r>
          </w:p>
        </w:tc>
        <w:tc>
          <w:tcPr/>
          <w:p>
            <w:pPr>
              <w:pStyle w:val="Compact"/>
            </w:pPr>
            <w:r>
              <w:t xml:space="preserve">FastANI</w:t>
            </w:r>
          </w:p>
        </w:tc>
        <w:tc>
          <w:tcPr/>
          <w:p>
            <w:pPr>
              <w:pStyle w:val="Compact"/>
              <w:jc w:val="right"/>
            </w:pPr>
            <w:r>
              <w:t xml:space="preserve">7</w:t>
            </w:r>
          </w:p>
        </w:tc>
        <w:tc>
          <w:tcPr/>
          <w:p>
            <w:pPr>
              <w:pStyle w:val="Compact"/>
              <w:jc w:val="right"/>
            </w:pPr>
            <w:r>
              <w:t xml:space="preserve">did not finish</w:t>
            </w:r>
          </w:p>
        </w:tc>
        <w:tc>
          <w:tcPr/>
          <w:p>
            <w:pPr>
              <w:pStyle w:val="Compact"/>
              <w:jc w:val="right"/>
            </w:pPr>
            <w:r>
              <w:t xml:space="preserve">&gt;65–511</w:t>
            </w:r>
          </w:p>
        </w:tc>
        <w:tc>
          <w:tcPr/>
          <w:p>
            <w:pPr>
              <w:pStyle w:val="Compact"/>
            </w:pPr>
            <w:r>
              <w:t xml:space="preserve">OOM at t=1–32</w:t>
            </w:r>
          </w:p>
        </w:tc>
      </w:tr>
      <w:tr>
        <w:tc>
          <w:tcPr/>
          <w:p>
            <w:pPr>
              <w:pStyle w:val="Compact"/>
            </w:pPr>
            <w:r>
              <w:t xml:space="preserve">SV follow-up on top hit</w:t>
            </w:r>
          </w:p>
        </w:tc>
        <w:tc>
          <w:tcPr/>
          <w:p>
            <w:pPr>
              <w:pStyle w:val="Compact"/>
            </w:pPr>
            <w:r>
              <w:t xml:space="preserve">dnadiff</w:t>
            </w:r>
          </w:p>
        </w:tc>
        <w:tc>
          <w:tcPr/>
          <w:p>
            <w:pPr>
              <w:pStyle w:val="Compact"/>
              <w:jc w:val="right"/>
            </w:pPr>
            <w:r>
              <w:t xml:space="preserve">7</w:t>
            </w:r>
          </w:p>
        </w:tc>
        <w:tc>
          <w:tcPr/>
          <w:p>
            <w:pPr>
              <w:pStyle w:val="Compact"/>
              <w:jc w:val="right"/>
            </w:pPr>
            <w:r>
              <w:t xml:space="preserve">17.8</w:t>
            </w:r>
          </w:p>
        </w:tc>
        <w:tc>
          <w:tcPr/>
          <w:p>
            <w:pPr>
              <w:pStyle w:val="Compact"/>
              <w:jc w:val="right"/>
            </w:pPr>
            <w:r>
              <w:t xml:space="preserve">0.33</w:t>
            </w:r>
          </w:p>
        </w:tc>
        <w:tc>
          <w:tcPr/>
          <w:p>
            <w:pPr>
              <w:pStyle w:val="Compact"/>
            </w:pPr>
          </w:p>
        </w:tc>
      </w:tr>
      <w:tr>
        <w:tc>
          <w:tcPr/>
          <w:p>
            <w:pPr>
              <w:pStyle w:val="Compact"/>
            </w:pPr>
            <w:r>
              <w:t xml:space="preserve">SV follow-up on top hit</w:t>
            </w:r>
          </w:p>
        </w:tc>
        <w:tc>
          <w:tcPr/>
          <w:p>
            <w:pPr>
              <w:pStyle w:val="Compact"/>
            </w:pPr>
            <w:r>
              <w:t xml:space="preserve">syn2bani struct</w:t>
            </w:r>
          </w:p>
        </w:tc>
        <w:tc>
          <w:tcPr/>
          <w:p>
            <w:pPr>
              <w:pStyle w:val="Compact"/>
              <w:jc w:val="right"/>
            </w:pPr>
            <w:r>
              <w:t xml:space="preserve">7</w:t>
            </w:r>
          </w:p>
        </w:tc>
        <w:tc>
          <w:tcPr/>
          <w:p>
            <w:pPr>
              <w:pStyle w:val="Compact"/>
              <w:jc w:val="right"/>
            </w:pPr>
            <w:r>
              <w:t xml:space="preserve">0.29</w:t>
            </w:r>
          </w:p>
        </w:tc>
        <w:tc>
          <w:tcPr/>
          <w:p>
            <w:pPr>
              <w:pStyle w:val="Compact"/>
              <w:jc w:val="right"/>
            </w:pPr>
            <w:r>
              <w:t xml:space="preserve">not recorded</w:t>
            </w:r>
          </w:p>
        </w:tc>
        <w:tc>
          <w:tcPr/>
          <w:p>
            <w:pPr>
              <w:pStyle w:val="Compact"/>
            </w:pPr>
            <w:r>
              <w:t xml:space="preserve">~60–90× faster than dnadiff</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3</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Results, Fig. 5</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 collaborator metadata: cagA EPIYA typing, vacA typing, CARD resistance genotype</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complete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67 distinct assemblies (122 accessions, GenBank/RefSeq and version twins deduplicated); 2,211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r>
        <w:tc>
          <w:tcPr/>
          <w:p>
            <w:pPr>
              <w:pStyle w:val="Compact"/>
            </w:pPr>
            <w:r>
              <w:t xml:space="preserve">24</w:t>
            </w:r>
          </w:p>
        </w:tc>
        <w:tc>
          <w:tcPr/>
          <w:p>
            <w:pPr>
              <w:pStyle w:val="Compact"/>
            </w:pPr>
            <w:r>
              <w:t xml:space="preserve">FDA-ARGOS</w:t>
            </w:r>
            <w:r>
              <w:t xml:space="preserve"> </w:t>
            </w:r>
            <w:r>
              <w:rPr>
                <w:i/>
                <w:iCs/>
              </w:rPr>
              <w:t xml:space="preserve">E. coli</w:t>
            </w:r>
          </w:p>
        </w:tc>
        <w:tc>
          <w:tcPr/>
          <w:p>
            <w:pPr>
              <w:pStyle w:val="Compact"/>
            </w:pPr>
            <w:r>
              <w:t xml:space="preserve">real</w:t>
            </w:r>
          </w:p>
        </w:tc>
        <w:tc>
          <w:tcPr/>
          <w:p>
            <w:pPr>
              <w:pStyle w:val="Compact"/>
            </w:pPr>
            <w:r>
              <w:t xml:space="preserve">129 assemblies; 103 pairs ≥ 99.9 ANI</w:t>
            </w:r>
          </w:p>
        </w:tc>
        <w:tc>
          <w:tcPr/>
          <w:p>
            <w:pPr>
              <w:pStyle w:val="Compact"/>
            </w:pPr>
            <w:r>
              <w:t xml:space="preserve">NCBI Pathogen Detection AMRFinderPlus core genotypes; minimap2-validated SV calls</w:t>
            </w:r>
          </w:p>
        </w:tc>
        <w:tc>
          <w:tcPr/>
          <w:p>
            <w:pPr>
              <w:pStyle w:val="Compact"/>
            </w:pPr>
            <w:r>
              <w:t xml:space="preserve">Results, Supplementary Fig. S15, Table S7</w:t>
            </w:r>
          </w:p>
        </w:tc>
      </w:tr>
    </w:tbl>
    <w:p>
      <w:pPr>
        <w:pStyle w:val="BodyText"/>
      </w:pPr>
      <w:r>
        <w:rPr>
          <w:b/>
          <w:bCs/>
        </w:rPr>
        <w:t xml:space="preserve">Table 4 | Case-study summary.</w:t>
      </w:r>
      <w:r>
        <w:t xml:space="preserve"> </w:t>
      </w:r>
      <w:r>
        <w:t xml:space="preserve">Datasets where Syn2bANI’s structural output adds information beyond genome-wide ANI.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Case study</w:t>
            </w:r>
          </w:p>
        </w:tc>
        <w:tc>
          <w:tcPr/>
          <w:p>
            <w:pPr>
              <w:pStyle w:val="Compact"/>
            </w:pPr>
            <w:r>
              <w:t xml:space="preserve">n genomes / pairs</w:t>
            </w:r>
          </w:p>
        </w:tc>
        <w:tc>
          <w:tcPr/>
          <w:p>
            <w:pPr>
              <w:pStyle w:val="Compact"/>
            </w:pPr>
            <w:r>
              <w:t xml:space="preserve">ANI range</w:t>
            </w:r>
          </w:p>
        </w:tc>
        <w:tc>
          <w:tcPr/>
          <w:p>
            <w:pPr>
              <w:pStyle w:val="Compact"/>
            </w:pPr>
            <w:r>
              <w:t xml:space="preserve">Key structural finding</w:t>
            </w:r>
          </w:p>
        </w:tc>
        <w:tc>
          <w:tcPr/>
          <w:p>
            <w:pPr>
              <w:pStyle w:val="Compact"/>
            </w:pPr>
            <w:r>
              <w:t xml:space="preserve">Biological association</w:t>
            </w:r>
          </w:p>
        </w:tc>
        <w:tc>
          <w:tcPr/>
          <w:p>
            <w:pPr>
              <w:pStyle w:val="Compact"/>
            </w:pPr>
            <w:r>
              <w:t xml:space="preserve">Figure / Table</w:t>
            </w:r>
          </w:p>
        </w:tc>
      </w:tr>
      <w:tr>
        <w:tc>
          <w:tcPr/>
          <w:p>
            <w:pPr>
              <w:pStyle w:val="Compact"/>
            </w:pPr>
            <w:r>
              <w:rPr>
                <w:i/>
                <w:iCs/>
              </w:rPr>
              <w:t xml:space="preserve">B. longum</w:t>
            </w:r>
            <w:r>
              <w:t xml:space="preserve"> </w:t>
            </w:r>
            <w:r>
              <w:t xml:space="preserve">abfA</w:t>
            </w:r>
          </w:p>
        </w:tc>
        <w:tc>
          <w:tcPr/>
          <w:p>
            <w:pPr>
              <w:pStyle w:val="Compact"/>
            </w:pPr>
            <w:r>
              <w:t xml:space="preserve">185 / 17,020</w:t>
            </w:r>
          </w:p>
        </w:tc>
        <w:tc>
          <w:tcPr/>
          <w:p>
            <w:pPr>
              <w:pStyle w:val="Compact"/>
            </w:pPr>
            <w:r>
              <w:t xml:space="preserve">≥98.67%</w:t>
            </w:r>
          </w:p>
        </w:tc>
        <w:tc>
          <w:tcPr/>
          <w:p>
            <w:pPr>
              <w:pStyle w:val="Compact"/>
            </w:pPr>
            <w:r>
              <w:t xml:space="preserve">abfA cluster deletion/truncation invisible to ANI and AF</w:t>
            </w:r>
          </w:p>
        </w:tc>
        <w:tc>
          <w:tcPr/>
          <w:p>
            <w:pPr>
              <w:pStyle w:val="Compact"/>
            </w:pPr>
            <w:r>
              <w:t xml:space="preserve">Curated abfA-cluster status association; no patient-level outcome prediction is inferred</w:t>
            </w:r>
          </w:p>
        </w:tc>
        <w:tc>
          <w:tcPr/>
          <w:p>
            <w:pPr>
              <w:pStyle w:val="Compact"/>
            </w:pPr>
            <w:r>
              <w:t xml:space="preserve">Fig. 7</w:t>
            </w:r>
          </w:p>
        </w:tc>
      </w:tr>
      <w:tr>
        <w:tc>
          <w:tcPr/>
          <w:p>
            <w:pPr>
              <w:pStyle w:val="Compact"/>
            </w:pPr>
            <w:r>
              <w:rPr>
                <w:i/>
                <w:iCs/>
              </w:rPr>
              <w:t xml:space="preserve">H. pylori</w:t>
            </w:r>
            <w:r>
              <w:t xml:space="preserve"> </w:t>
            </w:r>
            <w:r>
              <w:t xml:space="preserve">cagPAI</w:t>
            </w:r>
          </w:p>
        </w:tc>
        <w:tc>
          <w:tcPr/>
          <w:p>
            <w:pPr>
              <w:pStyle w:val="Compact"/>
            </w:pPr>
            <w:r>
              <w:t xml:space="preserve">528 / 528 vs 26695</w:t>
            </w:r>
          </w:p>
        </w:tc>
        <w:tc>
          <w:tcPr/>
          <w:p>
            <w:pPr>
              <w:pStyle w:val="Compact"/>
            </w:pPr>
            <w:r>
              <w:t xml:space="preserve">&gt;95%</w:t>
            </w:r>
          </w:p>
        </w:tc>
        <w:tc>
          <w:tcPr/>
          <w:p>
            <w:pPr>
              <w:pStyle w:val="Compact"/>
            </w:pPr>
            <w:r>
              <w:t xml:space="preserve">cagPAI presence/absence and architecture vary widely</w:t>
            </w:r>
          </w:p>
        </w:tc>
        <w:tc>
          <w:tcPr/>
          <w:p>
            <w:pPr>
              <w:pStyle w:val="Compact"/>
            </w:pPr>
            <w:r>
              <w:t xml:space="preserve">FastBAPS lineage; gastric disease stage (lineage-confounded)</w:t>
            </w:r>
          </w:p>
        </w:tc>
        <w:tc>
          <w:tcPr/>
          <w:p>
            <w:pPr>
              <w:pStyle w:val="Compact"/>
            </w:pPr>
            <w:r>
              <w:t xml:space="preserve">Fig. 8, Supplementary Table S4</w:t>
            </w:r>
          </w:p>
        </w:tc>
      </w:tr>
      <w:tr>
        <w:tc>
          <w:tcPr/>
          <w:p>
            <w:pPr>
              <w:pStyle w:val="Compact"/>
            </w:pPr>
            <w:r>
              <w:t xml:space="preserve">FDA-ARGOS</w:t>
            </w:r>
            <w:r>
              <w:t xml:space="preserve"> </w:t>
            </w:r>
            <w:r>
              <w:rPr>
                <w:i/>
                <w:iCs/>
              </w:rPr>
              <w:t xml:space="preserve">E. coli</w:t>
            </w:r>
          </w:p>
        </w:tc>
        <w:tc>
          <w:tcPr/>
          <w:p>
            <w:pPr>
              <w:pStyle w:val="Compact"/>
            </w:pPr>
            <w:r>
              <w:t xml:space="preserve">129 / 103 ≥99.9%</w:t>
            </w:r>
          </w:p>
        </w:tc>
        <w:tc>
          <w:tcPr/>
          <w:p>
            <w:pPr>
              <w:pStyle w:val="Compact"/>
            </w:pPr>
            <w:r>
              <w:t xml:space="preserve">99.90–100.00%</w:t>
            </w:r>
          </w:p>
        </w:tc>
        <w:tc>
          <w:tcPr/>
          <w:p>
            <w:pPr>
              <w:pStyle w:val="Compact"/>
            </w:pPr>
            <w:r>
              <w:t xml:space="preserve">101/103 pairs carry ≥1 genuine SV; 16 large inversions</w:t>
            </w:r>
          </w:p>
        </w:tc>
        <w:tc>
          <w:tcPr/>
          <w:p>
            <w:pPr>
              <w:pStyle w:val="Compact"/>
            </w:pPr>
            <w:r>
              <w:t xml:space="preserve">60/103 pairs differ in core AMR genotype; phenotype was not tested</w:t>
            </w:r>
          </w:p>
        </w:tc>
        <w:tc>
          <w:tcPr/>
          <w:p>
            <w:pPr>
              <w:pStyle w:val="Compact"/>
            </w:pPr>
            <w:r>
              <w:t xml:space="preserve">Results, Supplementary Fig. S15, Table S7</w:t>
            </w:r>
          </w:p>
        </w:tc>
      </w:tr>
      <w:tr>
        <w:tc>
          <w:tcPr/>
          <w:p>
            <w:pPr>
              <w:pStyle w:val="Compact"/>
            </w:pPr>
            <w:r>
              <w:rPr>
                <w:i/>
                <w:iCs/>
              </w:rPr>
              <w:t xml:space="preserve">E. coli</w:t>
            </w:r>
            <w:r>
              <w:t xml:space="preserve"> </w:t>
            </w:r>
            <w:r>
              <w:t xml:space="preserve">O157:H7</w:t>
            </w:r>
          </w:p>
        </w:tc>
        <w:tc>
          <w:tcPr/>
          <w:p>
            <w:pPr>
              <w:pStyle w:val="Compact"/>
            </w:pPr>
            <w:r>
              <w:t xml:space="preserve">74 / 2,701</w:t>
            </w:r>
          </w:p>
        </w:tc>
        <w:tc>
          <w:tcPr/>
          <w:p>
            <w:pPr>
              <w:pStyle w:val="Compact"/>
            </w:pPr>
            <w:r>
              <w:t xml:space="preserve">≥99.886%</w:t>
            </w:r>
          </w:p>
        </w:tc>
        <w:tc>
          <w:tcPr/>
          <w:p>
            <w:pPr>
              <w:pStyle w:val="Compact"/>
            </w:pPr>
            <w:r>
              <w:t xml:space="preserve">median 7 breakpoints per pair (IQR 4–9, max 19)</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FDA-ARGOS</w:t>
            </w:r>
            <w:r>
              <w:t xml:space="preserve"> </w:t>
            </w:r>
            <w:r>
              <w:rPr>
                <w:i/>
                <w:iCs/>
              </w:rPr>
              <w:t xml:space="preserve">S. aureus</w:t>
            </w:r>
          </w:p>
        </w:tc>
        <w:tc>
          <w:tcPr/>
          <w:p>
            <w:pPr>
              <w:pStyle w:val="Compact"/>
            </w:pPr>
            <w:r>
              <w:t xml:space="preserve">67 / 2,211</w:t>
            </w:r>
          </w:p>
        </w:tc>
        <w:tc>
          <w:tcPr/>
          <w:p>
            <w:pPr>
              <w:pStyle w:val="Compact"/>
            </w:pPr>
            <w:r>
              <w:t xml:space="preserve">93.6–100%</w:t>
            </w:r>
          </w:p>
        </w:tc>
        <w:tc>
          <w:tcPr/>
          <w:p>
            <w:pPr>
              <w:pStyle w:val="Compact"/>
            </w:pPr>
            <w:r>
              <w:t xml:space="preserve">60.5% of pairs carry no breakpoints; max 7</w:t>
            </w:r>
          </w:p>
        </w:tc>
        <w:tc>
          <w:tcPr/>
          <w:p>
            <w:pPr>
              <w:pStyle w:val="Compact"/>
            </w:pPr>
            <w:r>
              <w:t xml:space="preserve">country, isolation source</w:t>
            </w:r>
          </w:p>
        </w:tc>
        <w:tc>
          <w:tcPr/>
          <w:p>
            <w:pPr>
              <w:pStyle w:val="Compact"/>
            </w:pPr>
            <w:r>
              <w:t xml:space="preserve">Supplementary Fig. S10</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2026-10-21T04:09:26Z</dcterms:created>
  <dcterms:modified xsi:type="dcterms:W3CDTF">2026-10-21T04:09:26Z</dcterms:modified>
</cp:coreProperties>
</file>

<file path=docProps/custom.xml><?xml version="1.0" encoding="utf-8"?>
<Properties xmlns="http://schemas.openxmlformats.org/officeDocument/2006/custom-properties" xmlns:vt="http://schemas.openxmlformats.org/officeDocument/2006/docPropsVTypes"/>
</file>