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anchor_adjacency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anchor_adjacency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fef0c61f0d1223d6251568178299c1876716186"/>
    <w:p>
      <w:pPr>
        <w:pStyle w:val="Heading2"/>
      </w:pPr>
      <w:r>
        <w:t xml:space="preserve">Supplementary Figure S2 — Held-out GTDB-R207 benchmark (v6 detail)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paper/figures/supplementary/fig_s2_gtdb50k_heldout.png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benchmark calibration v6 were frozen before evaluation.</w:t>
      </w:r>
      <w:r>
        <w:t xml:space="preserve"> </w:t>
      </w:r>
      <w:r>
        <w:t xml:space="preserve">Panels (a–c) Calibrated Syn2bANI v6,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fcc31fb3a442a56c962a2b940984516d699f2a4"/>
    <w:p>
      <w:pPr>
        <w:pStyle w:val="Heading2"/>
      </w:pPr>
      <w:r>
        <w:t xml:space="preserve">Supplementary Figure S3 — Per-band ANI comparison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paper/figures/supplementary/fig_s3_anim_by_band.png</w:t>
      </w:r>
      <w:r>
        <w:t xml:space="preserve">)</w:t>
      </w:r>
    </w:p>
    <w:p>
      <w:pPr>
        <w:pStyle w:val="BodyText"/>
      </w:pPr>
      <w:r>
        <w:t xml:space="preserve">Band-holdout cross-validation on the 2,074-pair GTDB-R207 ANIm benchmark:</w:t>
      </w:r>
      <w:r>
        <w:t xml:space="preserve"> </w:t>
      </w:r>
      <w:r>
        <w:t xml:space="preserve">MAE by ANI band for raw gamma, calibrated v5, skani, and FastANI. This is the</w:t>
      </w:r>
      <w:r>
        <w:t xml:space="preserve"> </w:t>
      </w:r>
      <w:r>
        <w:t xml:space="preserve">per-band detail behind the unified benchmark of Fig. 3.</w:t>
      </w:r>
    </w:p>
    <w:bookmarkEnd w:id="11"/>
    <w:bookmarkStart w:id="12" w:name="X285b8ca257357cbda733767e29ff50418cacd81"/>
    <w:p>
      <w:pPr>
        <w:pStyle w:val="Heading2"/>
      </w:pPr>
      <w:r>
        <w:t xml:space="preserve">Supplementary Figure S4 — Common quality variation has little association with GTDB-R207 ANI error, but extreme fragmentation does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paper/figures/supplementary/fig_s4_gtdb_quality_vs_mae.png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v6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103d984b7b1b66b1ed5dd442b5fc71304f3b16a"/>
    <w:p>
      <w:pPr>
        <w:pStyle w:val="Heading2"/>
      </w:pPr>
      <w:r>
        <w:t xml:space="preserve">Supplementary Figure S5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paper/figures/supplementary/fig_s5_simulation_gc.png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</w:t>
      </w:r>
    </w:p>
    <w:bookmarkEnd w:id="13"/>
    <w:bookmarkStart w:id="14" w:name="X666e434bde45df385021466176a192bfa919e50"/>
    <w:p>
      <w:pPr>
        <w:pStyle w:val="Heading2"/>
      </w:pPr>
      <w:r>
        <w:t xml:space="preserve">Supplementary Figure S6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paper/figures/supplementary/fig_s6_simulation_mosaic.png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4"/>
    <w:bookmarkStart w:id="15" w:name="Xc411bf5e54ec307f23dd8b9e5c1815c33f67f91"/>
    <w:p>
      <w:pPr>
        <w:pStyle w:val="Heading2"/>
      </w:pPr>
      <w:r>
        <w:t xml:space="preserve">Supplementary Figure S7 — Accuracy on 695 CAMI2 MAGs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paper/figures/supplementary/fig_s7_mag_validation.png</w:t>
      </w:r>
      <w:r>
        <w:t xml:space="preserve">)</w:t>
      </w:r>
    </w:p>
    <w:p>
      <w:pPr>
        <w:pStyle w:val="BodyText"/>
      </w:pPr>
      <w:r>
        <w:t xml:space="preserve">695 CAMI2 bins vs dnadiff ANIm truth (raw gated syn2bani; skani; FastANI).</w:t>
      </w:r>
      <w:r>
        <w:t xml:space="preserve"> </w:t>
      </w:r>
      <w:r>
        <w:t xml:space="preserve">(a) Syn2bANI raw gated estimate vs dnadiff ANIm truth, colored by contamination</w:t>
      </w:r>
      <w:r>
        <w:t xml:space="preserve"> </w:t>
      </w:r>
      <w:r>
        <w:t xml:space="preserve">class. (b) Absolute-error distributions by tool. (c) Syn2bANI error by CheckM2</w:t>
      </w:r>
      <w:r>
        <w:t xml:space="preserve"> </w:t>
      </w:r>
      <w:r>
        <w:t xml:space="preserve">quality tier.</w:t>
      </w:r>
    </w:p>
    <w:bookmarkEnd w:id="15"/>
    <w:bookmarkStart w:id="16" w:name="Xd28721eaf45ab078b62d0bd078fa512bc083676"/>
    <w:p>
      <w:pPr>
        <w:pStyle w:val="Heading2"/>
      </w:pPr>
      <w:r>
        <w:t xml:space="preserve">Supplementary Figure S8 —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junction counts resolve by participant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paper/figures/supplementary/fig_s8_syntracker_h_pylori_by_host.png</w:t>
      </w:r>
      <w:r>
        <w:t xml:space="preserve">)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panel of Fig. 6 coloured by the participant each isolate came</w:t>
      </w:r>
      <w:r>
        <w:t xml:space="preserve"> </w:t>
      </w:r>
      <w:r>
        <w:t xml:space="preserve">from, 2,926 pairs scored with the Syn2b structural channel. Same-participant</w:t>
      </w:r>
      <w:r>
        <w:t xml:space="preserve"> </w:t>
      </w:r>
      <w:r>
        <w:t xml:space="preserve">pairs sit at the zero floor (median 0 junctions, n = 476); different-participant</w:t>
      </w:r>
      <w:r>
        <w:t xml:space="preserve"> </w:t>
      </w:r>
      <w:r>
        <w:t xml:space="preserve">pairs carry a median of 8 (n = 2,450; Mann–Whitney p = 4.1 × 10⁻²²⁶). The</w:t>
      </w:r>
      <w:r>
        <w:t xml:space="preserve"> </w:t>
      </w:r>
      <w:r>
        <w:t xml:space="preserve">cohort-level medians are 0 (hypermutator</w:t>
      </w:r>
      <w:r>
        <w:t xml:space="preserve"> </w:t>
      </w:r>
      <w:r>
        <w:rPr>
          <w:i/>
          <w:iCs/>
        </w:rPr>
        <w:t xml:space="preserve">E. coli</w:t>
      </w:r>
      <w:r>
        <w:t xml:space="preserve">), 3 (</w:t>
      </w:r>
      <w:r>
        <w:rPr>
          <w:i/>
          <w:iCs/>
        </w:rPr>
        <w:t xml:space="preserve">N. gonorrhoeae</w:t>
      </w:r>
      <w:r>
        <w:t xml:space="preserve">),</w:t>
      </w:r>
      <w:r>
        <w:t xml:space="preserve"> </w:t>
      </w:r>
      <w:r>
        <w:t xml:space="preserve">7 (</w:t>
      </w:r>
      <w:r>
        <w:rPr>
          <w:i/>
          <w:iCs/>
        </w:rPr>
        <w:t xml:space="preserve">H. pylori</w:t>
      </w:r>
      <w:r>
        <w:t xml:space="preserve">) and 10 (</w:t>
      </w:r>
      <w:r>
        <w:rPr>
          <w:i/>
          <w:iCs/>
        </w:rPr>
        <w:t xml:space="preserve">S. rimosus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results/syntracker_validation/SYNTRACKER_STRUCTURAL_REANALYSIS.md</w:t>
      </w:r>
      <w:r>
        <w:t xml:space="preserve">.</w:t>
      </w:r>
    </w:p>
    <w:bookmarkEnd w:id="16"/>
    <w:bookmarkStart w:id="17" w:name="Xc20aa30b1c29bb55e1932abb3d59b7bab81099e"/>
    <w:p>
      <w:pPr>
        <w:pStyle w:val="Heading2"/>
      </w:pPr>
      <w:r>
        <w:t xml:space="preserve">Supplementary Figure S9 — Near-clonal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pairs still differ structurally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paper/figures/supplementary/fig_s9_ecoli_o157_breakpoints.png</w:t>
      </w:r>
      <w:r>
        <w:t xml:space="preserve">)</w:t>
      </w:r>
    </w:p>
    <w:p>
      <w:pPr>
        <w:pStyle w:val="BodyText"/>
      </w:pPr>
      <w:r>
        <w:t xml:space="preserve">Seventy-four complete genomes from Fitzgerald et al. (2021), 2,701 non-self</w:t>
      </w:r>
      <w:r>
        <w:t xml:space="preserve"> </w:t>
      </w:r>
      <w:r>
        <w:t xml:space="preserve">pairs, re-run with Syn2bANI v0.1.1. (a) ANI vs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coloured by</w:t>
      </w:r>
      <w:r>
        <w:t xml:space="preserve"> </w:t>
      </w:r>
      <w:r>
        <w:t xml:space="preserve">lineage when both members share one (I/II, II, Ia, Ic; grey = different</w:t>
      </w:r>
      <w:r>
        <w:t xml:space="preserve"> </w:t>
      </w:r>
      <w:r>
        <w:t xml:space="preserve">lineages). (b) The same by host category (bovine, human, other/unknown). Every</w:t>
      </w:r>
      <w:r>
        <w:t xml:space="preserve"> </w:t>
      </w:r>
      <w:r>
        <w:t xml:space="preserve">pairwise ANI exceeds 99.886%, yet the median pair differs by 7 breakpoints</w:t>
      </w:r>
      <w:r>
        <w:t xml:space="preserve"> </w:t>
      </w:r>
      <w:r>
        <w:t xml:space="preserve">(IQR 4–9, max 19) and only 7.1% of pairs are structurally identical.</w:t>
      </w:r>
    </w:p>
    <w:bookmarkEnd w:id="17"/>
    <w:bookmarkStart w:id="18" w:name="X0a3f85e4c1ab9758b1015ebd481ec6c30f45d0a"/>
    <w:p>
      <w:pPr>
        <w:pStyle w:val="Heading2"/>
      </w:pPr>
      <w:r>
        <w:t xml:space="preserve">Supplementary Figure S10 — The FDA-ARGOS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collection is structurally conserved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paper/figures/supplementary/fig_s10_saureus_breakpoints.png</w:t>
      </w:r>
      <w:r>
        <w:t xml:space="preserve">)</w:t>
      </w:r>
    </w:p>
    <w:p>
      <w:pPr>
        <w:pStyle w:val="BodyText"/>
      </w:pPr>
      <w:r>
        <w:t xml:space="preserve">Sixty-seven distinct assemblies (the 122 FDA-ARGOS accessions include 54</w:t>
      </w:r>
      <w:r>
        <w:t xml:space="preserve"> </w:t>
      </w:r>
      <w:r>
        <w:t xml:space="preserve">GenBank/RefSeq or superseded-version twins of one another, which were</w:t>
      </w:r>
      <w:r>
        <w:t xml:space="preserve"> </w:t>
      </w:r>
      <w:r>
        <w:t xml:space="preserve">deduplicated), 2,211 non-self pairs, ANI 93.6–100%, re-run with Syn2bANI</w:t>
      </w:r>
      <w:r>
        <w:t xml:space="preserve"> </w:t>
      </w:r>
      <w:r>
        <w:t xml:space="preserve">v0.1.1. (a) ANI vs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by country of isolation (grey =</w:t>
      </w:r>
      <w:r>
        <w:t xml:space="preserve"> </w:t>
      </w:r>
      <w:r>
        <w:t xml:space="preserve">different countries; 351 pairs have no country on either side). (b)</w:t>
      </w:r>
      <w:r>
        <w:t xml:space="preserve"> </w:t>
      </w:r>
      <w:r>
        <w:t xml:space="preserve">Breakpoint-count distribution: 60.5% of pairs carry no breakpoints and the</w:t>
      </w:r>
      <w:r>
        <w:t xml:space="preserve"> </w:t>
      </w:r>
      <w:r>
        <w:t xml:space="preserve">maximum is 7. This collection is the negative control for the ANI–structure</w:t>
      </w:r>
      <w:r>
        <w:t xml:space="preserve"> </w:t>
      </w:r>
      <w:r>
        <w:t xml:space="preserve">decoupling: here the two are not decoupled.</w:t>
      </w:r>
    </w:p>
    <w:bookmarkEnd w:id="18"/>
    <w:bookmarkStart w:id="19" w:name="X96c66ff84af8c6054de30314d30f5f9915940f7"/>
    <w:p>
      <w:pPr>
        <w:pStyle w:val="Heading2"/>
      </w:pPr>
      <w:r>
        <w:t xml:space="preserve">Supplementary Figure S11 — cagPAI extended state by country and phylogenetic population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paper/figures/supplementary/fig_s11_cagpai_country_population.png</w:t>
      </w:r>
      <w:r>
        <w:t xml:space="preserve">)</w:t>
      </w:r>
    </w:p>
    <w:p>
      <w:pPr>
        <w:pStyle w:val="BodyText"/>
      </w:pPr>
      <w:r>
        <w:t xml:space="preserve">Stacked-bar distribution of extended cagPAI states (after circular-origin</w:t>
      </w:r>
      <w:r>
        <w:t xml:space="preserve"> </w:t>
      </w:r>
      <w:r>
        <w:t xml:space="preserve">filtering) across countries of isolation and phylogenetic population for the</w:t>
      </w:r>
      <w:r>
        <w:t xml:space="preserve"> </w:t>
      </w:r>
      <w:r>
        <w:t xml:space="preserve">528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cohort genomes.</w:t>
      </w:r>
    </w:p>
    <w:bookmarkEnd w:id="19"/>
    <w:bookmarkStart w:id="20" w:name="X036b523739c3c15f73a1dc39e49b0c2d1a11095"/>
    <w:p>
      <w:pPr>
        <w:pStyle w:val="Heading2"/>
      </w:pPr>
      <w:r>
        <w:t xml:space="preserve">Supplementary Figure S12 — Circular-origin artifact filtering and sensitivity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cagPAI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paper/figures/supplementary/fig_s12_circular_origin_filtering.png</w:t>
      </w:r>
      <w:r>
        <w:t xml:space="preserve">)</w:t>
      </w:r>
    </w:p>
    <w:p>
      <w:pPr>
        <w:pStyle w:val="BodyText"/>
      </w:pPr>
      <w:r>
        <w:t xml:space="preserve">(a, b) Before and after counts of the four extended cagPAI states. Filtering</w:t>
      </w:r>
      <w:r>
        <w:t xml:space="preserve"> </w:t>
      </w:r>
      <w:r>
        <w:t xml:space="preserve">reclassifies 133 complete-marker genomes from</w:t>
      </w:r>
      <w:r>
        <w:t xml:space="preserve"> </w:t>
      </w:r>
      <w:r>
        <w:rPr>
          <w:rStyle w:val="VerbatimChar"/>
        </w:rPr>
        <w:t xml:space="preserve">complete_rearranged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complete_collinear</w:t>
      </w:r>
      <w:r>
        <w:t xml:space="preserve"> </w:t>
      </w:r>
      <w:r>
        <w:t xml:space="preserve">because their only cagPAI-overlapping SV is a</w:t>
      </w:r>
      <w:r>
        <w:t xml:space="preserve"> </w:t>
      </w:r>
      <w:r>
        <w:t xml:space="preserve">genome-spanning call consistent with a different arbitrary start coordinate on</w:t>
      </w:r>
      <w:r>
        <w:t xml:space="preserve"> </w:t>
      </w:r>
      <w:r>
        <w:t xml:space="preserve">the circular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chromosome. (c) Number of</w:t>
      </w:r>
      <w:r>
        <w:t xml:space="preserve"> </w:t>
      </w:r>
      <w:r>
        <w:rPr>
          <w:rStyle w:val="VerbatimChar"/>
        </w:rPr>
        <w:t xml:space="preserve">complete_rearranged</w:t>
      </w:r>
      <w:r>
        <w:t xml:space="preserve"> </w:t>
      </w:r>
      <w:r>
        <w:t xml:space="preserve">genomes</w:t>
      </w:r>
      <w:r>
        <w:t xml:space="preserve"> </w:t>
      </w:r>
      <w:r>
        <w:t xml:space="preserve">and number of excluded calls as a function of the artifact-span threshold.</w:t>
      </w:r>
      <w:r>
        <w:t xml:space="preserve"> </w:t>
      </w:r>
      <w:r>
        <w:t xml:space="preserve">(d) Crude association p-value for cagPAI rearrangement (GC vs NAG) across the</w:t>
      </w:r>
      <w:r>
        <w:t xml:space="preserve"> </w:t>
      </w:r>
      <w:r>
        <w:t xml:space="preserve">same threshold range; the association remains non-significant throughout.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case_studies/h_pylori_cagpai/results/cagpai_artifact_threshold_sensitivity.tsv</w:t>
      </w:r>
      <w:r>
        <w:t xml:space="preserve">.</w:t>
      </w:r>
    </w:p>
    <w:bookmarkEnd w:id="20"/>
    <w:bookmarkStart w:id="21" w:name="X9bcd9681cf91de330db65b00bbd2ec37b4121ea"/>
    <w:p>
      <w:pPr>
        <w:pStyle w:val="Heading2"/>
      </w:pPr>
      <w:r>
        <w:t xml:space="preserve">Supplementary Figure S13 — Lineage-stratified association forest plot for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metadata tests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case_studies/h_pylori_cagpai/results/metadata_assoc/fig_forest_stratified.png</w:t>
      </w:r>
      <w:r>
        <w:t xml:space="preserve">)</w:t>
      </w:r>
    </w:p>
    <w:p>
      <w:pPr>
        <w:pStyle w:val="BodyText"/>
      </w:pPr>
      <w:r>
        <w:t xml:space="preserve">Crude (circle) and FastBAPS-lineage-stratified Mantel–Haenszel (triangle) odds</w:t>
      </w:r>
      <w:r>
        <w:t xml:space="preserve"> </w:t>
      </w:r>
      <w:r>
        <w:t xml:space="preserve">ratios with 95% CIs for the headline association tests: cagPAI presence vs cagA</w:t>
      </w:r>
      <w:r>
        <w:t xml:space="preserve"> </w:t>
      </w:r>
      <w:r>
        <w:t xml:space="preserve">detection and vacA s1/i1/m1 (top, strong and lineage-robust), and SV burden vs</w:t>
      </w:r>
      <w:r>
        <w:t xml:space="preserve"> </w:t>
      </w:r>
      <w:r>
        <w:t xml:space="preserve">macrolide resistance (bottom, crude OR ≈ 2.8 collapsing to ≈ 1.3 after</w:t>
      </w:r>
      <w:r>
        <w:t xml:space="preserve"> </w:t>
      </w:r>
      <w:r>
        <w:t xml:space="preserve">stratification). The macrolide rows straddle OR = 1, visually demonstrating the</w:t>
      </w:r>
      <w:r>
        <w:t xml:space="preserve"> </w:t>
      </w:r>
      <w:r>
        <w:t xml:space="preserve">lineage confounding described in the main text.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case_studies/h_pylori_cagpai/results/metadata_assoc/association_tests.tsv</w:t>
      </w:r>
      <w:r>
        <w:t xml:space="preserve">.</w:t>
      </w:r>
    </w:p>
    <w:bookmarkEnd w:id="21"/>
    <w:bookmarkStart w:id="22" w:name="Xf729203a1f7ffd593b851fb59401cac653d2b5a"/>
    <w:p>
      <w:pPr>
        <w:pStyle w:val="Heading2"/>
      </w:pPr>
      <w:r>
        <w:t xml:space="preserve">Supplementary Figure S14 — Orientation artifact in undirected all-vs-all inversion calling and its correction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paper/figures/supplementary/fig_s14_closed_genome_inversion.png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Distribution of the reference-oriented raw inverted fraction (computed with</w:t>
      </w:r>
      <w:r>
        <w:t xml:space="preserve"> </w:t>
      </w:r>
      <w:r>
        <w:t xml:space="preserve">the companion Syn2b implementation of the same length-weighted orientation</w:t>
      </w:r>
      <w:r>
        <w:t xml:space="preserve"> </w:t>
      </w:r>
      <w:r>
        <w:t xml:space="preserve">ratio) across 61,537</w:t>
      </w:r>
      <w:r>
        <w:t xml:space="preserve"> </w:t>
      </w:r>
      <w:r>
        <w:t xml:space="preserve">same-species genome pairs from 701 near-complete GTDB-R207 genomes; the median</w:t>
      </w:r>
      <w:r>
        <w:t xml:space="preserve"> </w:t>
      </w:r>
      <w:r>
        <w:t xml:space="preserve">of 0.3595 and q90 of 0.9291 are biologically implausible, and 38.9% of pairs</w:t>
      </w:r>
      <w:r>
        <w:t xml:space="preserve"> </w:t>
      </w:r>
      <w:r>
        <w:t xml:space="preserve">have raw &gt; 0.5 (shaded region) because the two assemblies are arbitrarily</w:t>
      </w:r>
      <w:r>
        <w:t xml:space="preserve"> </w:t>
      </w:r>
      <w:r>
        <w:t xml:space="preserve">oriented with respect to each other, scoring entire chromosomes as inverted.</w:t>
      </w:r>
    </w:p>
    <w:p>
      <w:pPr>
        <w:pStyle w:val="Compact"/>
        <w:numPr>
          <w:ilvl w:val="0"/>
          <w:numId w:val="1001"/>
        </w:numPr>
      </w:pPr>
      <w:r>
        <w:t xml:space="preserve">The corrected metric, defined as min(raw, 1 − raw), is bounded at 0.5 with a</w:t>
      </w:r>
      <w:r>
        <w:t xml:space="preserve"> </w:t>
      </w:r>
      <w:r>
        <w:t xml:space="preserve">median of 0.1837. (c) Corrected versus raw values for all pairs: 61.1% of pairs</w:t>
      </w:r>
      <w:r>
        <w:t xml:space="preserve"> </w:t>
      </w:r>
      <w:r>
        <w:t xml:space="preserve">lie on the identity arm (corrected = raw) and 38.9% on the mirror arm</w:t>
      </w:r>
      <w:r>
        <w:t xml:space="preserve"> </w:t>
      </w:r>
      <w:r>
        <w:t xml:space="preserve">(corrected = 1 − raw). The raw column is meaningful in fixed-reference mode,</w:t>
      </w:r>
      <w:r>
        <w:t xml:space="preserve"> </w:t>
      </w:r>
      <w:r>
        <w:t xml:space="preserve">where it corresponds directly to the dnadiff inverted-alignment fraction;</w:t>
      </w:r>
      <w:r>
        <w:t xml:space="preserve"> </w:t>
      </w:r>
      <w:r>
        <w:t xml:space="preserve">undirected all-vs-all analyses should use the corrected column, and circular</w:t>
      </w:r>
      <w:r>
        <w:t xml:space="preserve"> </w:t>
      </w:r>
      <w:r>
        <w:t xml:space="preserve">chromosomes should additionally be normalized to a common origin before</w:t>
      </w:r>
      <w:r>
        <w:t xml:space="preserve"> </w:t>
      </w:r>
      <w:r>
        <w:t xml:space="preserve">comparison.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results/gtdb50k/syn2b_inverted_fraction_closed.tsv</w:t>
      </w:r>
      <w:r>
        <w:t xml:space="preserve">; diagnostic</w:t>
      </w:r>
      <w:r>
        <w:t xml:space="preserve"> </w:t>
      </w:r>
      <w:r>
        <w:t xml:space="preserve">report:</w:t>
      </w:r>
      <w:r>
        <w:t xml:space="preserve"> </w:t>
      </w:r>
      <w:r>
        <w:rPr>
          <w:rStyle w:val="VerbatimChar"/>
        </w:rPr>
        <w:t xml:space="preserve">results/gtdb50k/CLOSED_INVERSION_DIAGNOSTIC_REPORT.md</w:t>
      </w:r>
      <w:r>
        <w:t xml:space="preserve">.</w:t>
      </w:r>
    </w:p>
    <w:bookmarkEnd w:id="22"/>
    <w:bookmarkStart w:id="23" w:name="Xe1c79b05191abc8a66b5d1ddd0c21d804443fa3"/>
    <w:p>
      <w:pPr>
        <w:pStyle w:val="Heading2"/>
      </w:pPr>
      <w:r>
        <w:t xml:space="preserve">Supplementary Figure S15 — FDA-ARGOS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structural and AMR discordance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paper/figures/supplementary/fig_s15_fda_argos_ecoli.png</w:t>
      </w:r>
      <w:r>
        <w:t xml:space="preserve">)</w:t>
      </w:r>
    </w:p>
    <w:p>
      <w:pPr>
        <w:pStyle w:val="BodyText"/>
      </w:pPr>
      <w:r>
        <w:t xml:space="preserve">One hundred and twenty-nine FDA-ARGOS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assemblies; 103 pairs at</w:t>
      </w:r>
      <w:r>
        <w:t xml:space="preserve"> </w:t>
      </w:r>
      <w:r>
        <w:t xml:space="preserve">skani ANI ≥ 99.9. (a) ANI distribution. (b) Structural classes from minimap2</w:t>
      </w:r>
      <w:r>
        <w:t xml:space="preserve"> </w:t>
      </w:r>
      <w:r>
        <w:t xml:space="preserve">validation: global flip/rotation convention artifacts (41 pairs), partial</w:t>
      </w:r>
      <w:r>
        <w:t xml:space="preserve"> </w:t>
      </w:r>
      <w:r>
        <w:t xml:space="preserve">inversions confirmed by minus-strand blocks (16 pairs), and collinear/local</w:t>
      </w:r>
      <w:r>
        <w:t xml:space="preserve"> </w:t>
      </w:r>
      <w:r>
        <w:t xml:space="preserve">events (46 pairs). (c) Core AMR-genotype discordance from NCBI Pathogen</w:t>
      </w:r>
      <w:r>
        <w:t xml:space="preserve"> </w:t>
      </w:r>
      <w:r>
        <w:t xml:space="preserve">Detection AMRFinderPlus calls: 60/103 pairs (58.3%) differ, including 11/24 at</w:t>
      </w:r>
      <w:r>
        <w:t xml:space="preserve"> </w:t>
      </w:r>
      <w:r>
        <w:t xml:space="preserve">ANI ≥ 99.99 and 3/10 at ANI ≥ 99.999. (d) Chromosome alignment blocks of at</w:t>
      </w:r>
      <w:r>
        <w:t xml:space="preserve"> </w:t>
      </w:r>
      <w:r>
        <w:t xml:space="preserve">least 100 kb for the ANI = 100.0 pair FDAARGOS_348/772, which differs by</w:t>
      </w:r>
      <w:r>
        <w:t xml:space="preserve"> </w:t>
      </w:r>
      <w:r>
        <w:t xml:space="preserve">tet(A)/tet(K) and a 48-kb insertion. These very-high-ANI reference-genome pairs</w:t>
      </w:r>
      <w:r>
        <w:t xml:space="preserve"> </w:t>
      </w:r>
      <w:r>
        <w:t xml:space="preserve">are not interpreted as inferred outbreak or transmission clusters. Source data:</w:t>
      </w:r>
      <w:r>
        <w:t xml:space="preserve"> </w:t>
      </w:r>
      <w:r>
        <w:rPr>
          <w:rStyle w:val="VerbatimChar"/>
        </w:rPr>
        <w:t xml:space="preserve">case_studies/fda_argos/ANALYSIS.md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case_studies/fda_argos/validate/VALIDATION.md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case_studies/fda_argos/amr_discordance.tsv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paper/supplementary/tables/Table_S7_FDA_ARGOS_AMR_structural.tsv</w:t>
      </w:r>
      <w:r>
        <w:t xml:space="preserve">.</w:t>
      </w:r>
    </w:p>
    <w:bookmarkEnd w:id="23"/>
    <w:bookmarkStart w:id="24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4"/>
    <w:bookmarkStart w:id="25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5"/>
    <w:bookmarkStart w:id="26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6"/>
    <w:bookmarkStart w:id="27" w:name="X71ce6833d789d49d6251da69c06300f4d632d80"/>
    <w:p>
      <w:pPr>
        <w:pStyle w:val="Heading2"/>
      </w:pPr>
      <w:r>
        <w:t xml:space="preserve">Supplementary Table S4 — Crude and lineage-stratified cagPAI–disease associations</w:t>
      </w:r>
    </w:p>
    <w:p>
      <w:pPr>
        <w:pStyle w:val="FirstParagraph"/>
      </w:pPr>
      <w:r>
        <w:t xml:space="preserve">Five hundred and twenty-eight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isolates from Song et al. (2026) were</w:t>
      </w:r>
      <w:r>
        <w:t xml:space="preserve"> </w:t>
      </w:r>
      <w:r>
        <w:t xml:space="preserve">classified into extended cagPAI states after circular-origin filtering (empty</w:t>
      </w:r>
      <w:r>
        <w:t xml:space="preserve"> </w:t>
      </w:r>
      <w:r>
        <w:t xml:space="preserve">85, partial 11, complete_collinear 145, complete_rearranged 287). The raw</w:t>
      </w:r>
      <w:r>
        <w:t xml:space="preserve"> </w:t>
      </w:r>
      <w:r>
        <w:t xml:space="preserve">Pearson χ² test for disease stage is significant (χ² = 24.60, df = 9, p = 0.0034),</w:t>
      </w:r>
      <w:r>
        <w:t xml:space="preserve"> </w:t>
      </w:r>
      <w:r>
        <w:t xml:space="preserve">but the association is confounded by FastBAPS lineage. The table below reports</w:t>
      </w:r>
      <w:r>
        <w:t xml:space="preserve"> </w:t>
      </w:r>
      <w:r>
        <w:t xml:space="preserve">crude odds ratios (Woolf 95% CI), χ² p-values, Cochran–Mantel–Haenszel (CMH)</w:t>
      </w:r>
      <w:r>
        <w:t xml:space="preserve"> </w:t>
      </w:r>
      <w:r>
        <w:t xml:space="preserve">p-values and Mantel–Haenszel odds ratios, and Breslow–Day tests of homogeneity</w:t>
      </w:r>
      <w:r>
        <w:t xml:space="preserve"> </w:t>
      </w:r>
      <w:r>
        <w:t xml:space="preserve">across FastBAPS strata.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552"/>
        <w:gridCol w:w="552"/>
        <w:gridCol w:w="552"/>
        <w:gridCol w:w="552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crude 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CMH χ²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CMH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OR_MH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Breslow–Day 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presence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</w:pPr>
            <w:r>
              <w:t xml:space="preserve">2.16 (1.13–4.13)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rearrangement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</w:pPr>
            <w:r>
              <w:t xml:space="preserve">1.11 (0.64–1.93)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presence (advanced vs early)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</w:pPr>
            <w:r>
              <w:t xml:space="preserve">1.14 (0.73–1.78)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rearrangement (advanced vs early)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</w:pPr>
            <w:r>
              <w:t xml:space="preserve">1.02 (0.68–1.52)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Only the first contrast (presence, GC vs NAG) showed a nominally significant</w:t>
      </w:r>
      <w:r>
        <w:t xml:space="preserve"> </w:t>
      </w:r>
      <w:r>
        <w:t xml:space="preserve">crude association. After FastBAPS stratification the CMH p-value is 0.12 and the</w:t>
      </w:r>
      <w:r>
        <w:t xml:space="preserve"> </w:t>
      </w:r>
      <w:r>
        <w:t xml:space="preserve">Mantel–Haenszel OR is 1.70. The Breslow–Day test is significant (p = 0.005),</w:t>
      </w:r>
      <w:r>
        <w:t xml:space="preserve"> </w:t>
      </w:r>
      <w:r>
        <w:t xml:space="preserve">indicating that the OR is heterogeneous across lineages. The other three</w:t>
      </w:r>
      <w:r>
        <w:t xml:space="preserve"> </w:t>
      </w:r>
      <w:r>
        <w:t xml:space="preserve">contrasts were not significant even in the crude analysis. Discordant-cell</w:t>
      </w:r>
      <w:r>
        <w:t xml:space="preserve"> </w:t>
      </w:r>
      <w:r>
        <w:t xml:space="preserve">counts are small: only 15 cagPAI-negative gastric-cancer genomes exist across</w:t>
      </w:r>
      <w:r>
        <w:t xml:space="preserve"> </w:t>
      </w:r>
      <w:r>
        <w:t xml:space="preserve">the whole cohort, distributed as 4 / 9 / 1 / 1 / 0 across FastBAPS L2–L6. Thus</w:t>
      </w:r>
      <w:r>
        <w:t xml:space="preserve"> </w:t>
      </w:r>
      <w:r>
        <w:t xml:space="preserve">the presence association is attenuated but not abolished by lineage</w:t>
      </w:r>
      <w:r>
        <w:t xml:space="preserve"> </w:t>
      </w:r>
      <w:r>
        <w:t xml:space="preserve">stratification, and the current design is under-powered to resolve it.</w:t>
      </w:r>
    </w:p>
    <w:p>
      <w:pPr>
        <w:pStyle w:val="BodyText"/>
      </w:pPr>
      <w:r>
        <w:t xml:space="preserve">The 432 complete-marker genomes were further partitioned by locality relative</w:t>
      </w:r>
      <w:r>
        <w:t xml:space="preserve"> </w:t>
      </w:r>
      <w:r>
        <w:t xml:space="preserve">to the cagPAI window:</w:t>
      </w:r>
      <w:r>
        <w:t xml:space="preserve"> </w:t>
      </w:r>
      <w:r>
        <w:rPr>
          <w:rStyle w:val="VerbatimChar"/>
        </w:rPr>
        <w:t xml:space="preserve">complete_collinear</w:t>
      </w:r>
      <w:r>
        <w:t xml:space="preserve"> </w:t>
      </w:r>
      <w:r>
        <w:t xml:space="preserve">(n = 145),</w:t>
      </w:r>
      <w:r>
        <w:t xml:space="preserve"> </w:t>
      </w:r>
      <w:r>
        <w:rPr>
          <w:rStyle w:val="VerbatimChar"/>
        </w:rPr>
        <w:t xml:space="preserve">island_internal</w:t>
      </w:r>
      <w:r>
        <w:t xml:space="preserve"> </w:t>
      </w:r>
      <w:r>
        <w:t xml:space="preserve">(n = 53),</w:t>
      </w:r>
      <w:r>
        <w:t xml:space="preserve"> </w:t>
      </w:r>
      <w:r>
        <w:rPr>
          <w:rStyle w:val="VerbatimChar"/>
        </w:rPr>
        <w:t xml:space="preserve">island_boundary</w:t>
      </w:r>
      <w:r>
        <w:t xml:space="preserve"> </w:t>
      </w:r>
      <w:r>
        <w:t xml:space="preserve">(n = 101) and</w:t>
      </w:r>
      <w:r>
        <w:t xml:space="preserve"> </w:t>
      </w:r>
      <w:r>
        <w:rPr>
          <w:rStyle w:val="VerbatimChar"/>
        </w:rPr>
        <w:t xml:space="preserve">island_spanned</w:t>
      </w:r>
      <w:r>
        <w:t xml:space="preserve"> </w:t>
      </w:r>
      <w:r>
        <w:t xml:space="preserve">(n = 133). For the binary</w:t>
      </w:r>
      <w:r>
        <w:t xml:space="preserve"> </w:t>
      </w:r>
      <w:r>
        <w:t xml:space="preserve">contrast,</w:t>
      </w:r>
      <w:r>
        <w:t xml:space="preserve"> </w:t>
      </w:r>
      <w:r>
        <w:rPr>
          <w:rStyle w:val="VerbatimChar"/>
        </w:rPr>
        <w:t xml:space="preserve">island_internal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island_boundary</w:t>
      </w:r>
      <w:r>
        <w:t xml:space="preserve"> </w:t>
      </w:r>
      <w:r>
        <w:t xml:space="preserve">were combined as</w:t>
      </w:r>
      <w:r>
        <w:t xml:space="preserve"> </w:t>
      </w:r>
      <w:r>
        <w:t xml:space="preserve">island-altering calls, whereas</w:t>
      </w:r>
      <w:r>
        <w:t xml:space="preserve"> </w:t>
      </w:r>
      <w:r>
        <w:rPr>
          <w:rStyle w:val="VerbatimChar"/>
        </w:rPr>
        <w:t xml:space="preserve">island_spanned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complete_collinear</w:t>
      </w:r>
      <w:r>
        <w:t xml:space="preserve"> </w:t>
      </w:r>
      <w:r>
        <w:t xml:space="preserve">were</w:t>
      </w:r>
      <w:r>
        <w:t xml:space="preserve"> </w:t>
      </w:r>
      <w:r>
        <w:t xml:space="preserve">combined as no island-altering call. The table reports the global Pearson</w:t>
      </w:r>
      <w:r>
        <w:t xml:space="preserve"> </w:t>
      </w:r>
      <w:r>
        <w:t xml:space="preserve">χ² test and the two post hoc binary contrasts; q values are</w:t>
      </w:r>
      <w:r>
        <w:t xml:space="preserve"> </w:t>
      </w:r>
      <w:r>
        <w:t xml:space="preserve">Benjamini–Hochberg FDR across these three locality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08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Locality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Four-stage × four-level locality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χ² = 19.75 (df = 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Island-altering locality, GC vs NAG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 OR = 1.18</w:t>
            </w:r>
          </w:p>
        </w:tc>
        <w:tc>
          <w:tcPr/>
          <w:p>
            <w:pPr>
              <w:pStyle w:val="Compact"/>
            </w:pPr>
            <w:r>
              <w:t xml:space="preserve">0.69–2.04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Island-altering locality, advanced vs early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 OR = 1.61</w:t>
            </w:r>
          </w:p>
        </w:tc>
        <w:tc>
          <w:tcPr/>
          <w:p>
            <w:pPr>
              <w:pStyle w:val="Compact"/>
            </w:pPr>
            <w:r>
              <w:t xml:space="preserve">1.08–2.39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0.0302</w:t>
            </w:r>
          </w:p>
        </w:tc>
      </w:tr>
    </w:tbl>
    <w:p>
      <w:pPr>
        <w:pStyle w:val="BodyText"/>
      </w:pPr>
      <w:r>
        <w:t xml:space="preserve">FastBAPS lineage attenuated the advanced-versus-early locality contrast:</w:t>
      </w:r>
      <w:r>
        <w:t xml:space="preserve"> </w:t>
      </w:r>
      <w:r>
        <w:t xml:space="preserve">the CMH Mantel–Haenszel OR was 1.36 (95% CI 0.90–2.06, CMH p = 0.14;</w:t>
      </w:r>
      <w:r>
        <w:t xml:space="preserve"> </w:t>
      </w:r>
      <w:r>
        <w:t xml:space="preserve">Breslow–Day p = 0.064). The GC-versus-NAG locality contrast was null before</w:t>
      </w:r>
      <w:r>
        <w:t xml:space="preserve"> </w:t>
      </w:r>
      <w:r>
        <w:t xml:space="preserve">and after stratification (CMH OR = 1.42, 95% CI 0.78–2.58, CMH p = 0.25).</w:t>
      </w:r>
      <w:r>
        <w:t xml:space="preserve"> </w:t>
      </w:r>
      <w:r>
        <w:t xml:space="preserve">Thus locality adds a biologically interpretable partition of rearrangement</w:t>
      </w:r>
      <w:r>
        <w:t xml:space="preserve"> </w:t>
      </w:r>
      <w:r>
        <w:t xml:space="preserve">calls, but it does not establish an independent disease association after</w:t>
      </w:r>
      <w:r>
        <w:t xml:space="preserve"> </w:t>
      </w:r>
      <w:r>
        <w:t xml:space="preserve">lineage stratification. Per-stratum counts and the full four-stage locality</w:t>
      </w:r>
      <w:r>
        <w:t xml:space="preserve"> </w:t>
      </w:r>
      <w:r>
        <w:t xml:space="preserve">table are in</w:t>
      </w:r>
      <w:r>
        <w:t xml:space="preserve"> </w:t>
      </w:r>
      <w:r>
        <w:rPr>
          <w:rStyle w:val="VerbatimChar"/>
        </w:rPr>
        <w:t xml:space="preserve">case_studies/h_pylori_cagpai/results/cagpai_locality_disease_association.tsv</w:t>
      </w:r>
      <w:r>
        <w:t xml:space="preserve">.</w:t>
      </w:r>
    </w:p>
    <w:p>
      <w:pPr>
        <w:pStyle w:val="BodyText"/>
      </w:pPr>
      <w:r>
        <w:t xml:space="preserve">Rearrangement-state associations were also evaluated across artifact-span</w:t>
      </w:r>
      <w:r>
        <w:t xml:space="preserve"> </w:t>
      </w:r>
      <w:r>
        <w:t xml:space="preserve">thresholds from 0.20 to 0.50; p-values remained non-significant throughout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case_studies/h_pylori_cagpai/results/cagpai_artifact_threshold_sensitivity.tsv</w:t>
      </w:r>
      <w:r>
        <w:t xml:space="preserve">).</w:t>
      </w:r>
      <w:r>
        <w:t xml:space="preserve"> </w:t>
      </w:r>
      <w:r>
        <w:t xml:space="preserve">Full per-stratum counts and CMH diagnostics:</w:t>
      </w:r>
      <w:r>
        <w:t xml:space="preserve"> </w:t>
      </w:r>
      <w:r>
        <w:rPr>
          <w:rStyle w:val="VerbatimChar"/>
        </w:rPr>
        <w:t xml:space="preserve">case_studies/h_pylori_cagpai/results/cagpai_association_crude_and_stratified.tsv</w:t>
      </w:r>
      <w:r>
        <w:t xml:space="preserve">.</w:t>
      </w:r>
    </w:p>
    <w:bookmarkEnd w:id="27"/>
    <w:bookmarkStart w:id="28" w:name="X0ddedd77d100d0b74814f89ea378e8d5927a82e"/>
    <w:p>
      <w:pPr>
        <w:pStyle w:val="Heading2"/>
      </w:pPr>
      <w:r>
        <w:t xml:space="preserve">Supplementary Table S5 — cagPAI cross-validation against independent cagA/vacA typing and SV–resistance associations</w:t>
      </w:r>
    </w:p>
    <w:p>
      <w:pPr>
        <w:pStyle w:val="FirstParagraph"/>
      </w:pPr>
      <w:r>
        <w:t xml:space="preserve">Five hundred and twenty-eight isolates were merged with collaborator-generated</w:t>
      </w:r>
      <w:r>
        <w:t xml:space="preserve"> </w:t>
      </w:r>
      <w:r>
        <w:t xml:space="preserve">metadata (cagA detection with EPIYA genotyping and genome-level rescue, vacA</w:t>
      </w:r>
      <w:r>
        <w:t xml:space="preserve"> </w:t>
      </w:r>
      <w:r>
        <w:t xml:space="preserve">s/i/m typing, CARD resistance hits; merge losses: none). Crude odds ratios</w:t>
      </w:r>
      <w:r>
        <w:t xml:space="preserve"> </w:t>
      </w:r>
      <w:r>
        <w:t xml:space="preserve">(Woolf 95% CI), Fisher p, Cochran–Mantel–Haenszel (CMH) stratified OR and</w:t>
      </w:r>
      <w:r>
        <w:t xml:space="preserve"> </w:t>
      </w:r>
      <w:r>
        <w:t xml:space="preserve">p, Breslow–Day homogeneity (B–D p), and Benjamini–Hochberg q across the</w:t>
      </w:r>
      <w:r>
        <w:t xml:space="preserve"> </w:t>
      </w:r>
      <w:r>
        <w:t xml:space="preserve">executed test family are shown; q ≈ 0 denotes underflow.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056"/>
        <w:gridCol w:w="792"/>
        <w:gridCol w:w="792"/>
        <w:gridCol w:w="792"/>
        <w:gridCol w:w="792"/>
        <w:gridCol w:w="792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crude OR (95% CI)</w:t>
            </w:r>
          </w:p>
        </w:tc>
        <w:tc>
          <w:tcPr/>
          <w:p>
            <w:pPr>
              <w:pStyle w:val="Compact"/>
            </w:pPr>
            <w:r>
              <w:t xml:space="preserve">crude p</w:t>
            </w:r>
          </w:p>
        </w:tc>
        <w:tc>
          <w:tcPr/>
          <w:p>
            <w:pPr>
              <w:pStyle w:val="Compact"/>
            </w:pPr>
            <w:r>
              <w:t xml:space="preserve">stratified OR (95% CI)</w:t>
            </w:r>
          </w:p>
        </w:tc>
        <w:tc>
          <w:tcPr/>
          <w:p>
            <w:pPr>
              <w:pStyle w:val="Compact"/>
            </w:pPr>
            <w:r>
              <w:t xml:space="preserve">CMH p</w:t>
            </w:r>
          </w:p>
        </w:tc>
        <w:tc>
          <w:tcPr/>
          <w:p>
            <w:pPr>
              <w:pStyle w:val="Compact"/>
            </w:pPr>
            <w:r>
              <w:t xml:space="preserve">B–D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cagA detected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782.9 (179.2–3420.8)</w:t>
            </w:r>
          </w:p>
        </w:tc>
        <w:tc>
          <w:tcPr/>
          <w:p>
            <w:pPr>
              <w:pStyle w:val="Compact"/>
            </w:pPr>
            <w:r>
              <w:t xml:space="preserve">7.2 × 10⁻⁶⁸</w:t>
            </w:r>
          </w:p>
        </w:tc>
        <w:tc>
          <w:tcPr/>
          <w:p>
            <w:pPr>
              <w:pStyle w:val="Compact"/>
            </w:pPr>
            <w:r>
              <w:t xml:space="preserve">3986 (263.3–60342.6)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cagA EPIYA genotype (4-level)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0.515 (χ²)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</w:t>
            </w:r>
          </w:p>
        </w:tc>
        <w:tc>
          <w:tcPr/>
          <w:p>
            <w:pPr>
              <w:pStyle w:val="Compact"/>
            </w:pPr>
            <w:r>
              <w:t xml:space="preserve">556.1 (74.0–4180.4)</w:t>
            </w:r>
          </w:p>
        </w:tc>
        <w:tc>
          <w:tcPr/>
          <w:p>
            <w:pPr>
              <w:pStyle w:val="Compact"/>
            </w:pPr>
            <w:r>
              <w:t xml:space="preserve">1.4 × 10⁻³⁹</w:t>
            </w:r>
          </w:p>
        </w:tc>
        <w:tc>
          <w:tcPr/>
          <w:p>
            <w:pPr>
              <w:pStyle w:val="Compact"/>
            </w:pPr>
            <w:r>
              <w:t xml:space="preserve">510.9 (74.1–3520.8)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1 × 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i1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</w:pPr>
            <w:r>
              <w:t xml:space="preserve">38.0 (19.6–73.7)</w:t>
            </w:r>
          </w:p>
        </w:tc>
        <w:tc>
          <w:tcPr/>
          <w:p>
            <w:pPr>
              <w:pStyle w:val="Compact"/>
            </w:pPr>
            <w:r>
              <w:t xml:space="preserve">4.6 × 10⁻³²</w:t>
            </w:r>
          </w:p>
        </w:tc>
        <w:tc>
          <w:tcPr/>
          <w:p>
            <w:pPr>
              <w:pStyle w:val="Compact"/>
            </w:pPr>
            <w:r>
              <w:t xml:space="preserve">27.0 (13.6–53.8)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  <w:tc>
          <w:tcPr/>
          <w:p>
            <w:pPr>
              <w:pStyle w:val="Compact"/>
            </w:pPr>
            <w:r>
              <w:t xml:space="preserve">11.8 (6.6–21.4)</w:t>
            </w:r>
          </w:p>
        </w:tc>
        <w:tc>
          <w:tcPr/>
          <w:p>
            <w:pPr>
              <w:pStyle w:val="Compact"/>
            </w:pPr>
            <w:r>
              <w:t xml:space="preserve">1.4 × 10⁻²¹</w:t>
            </w:r>
          </w:p>
        </w:tc>
        <w:tc>
          <w:tcPr/>
          <w:p>
            <w:pPr>
              <w:pStyle w:val="Compact"/>
            </w:pPr>
            <w:r>
              <w:t xml:space="preserve">11.4 (6.4–20.4)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 burden (median split) vs macrolide resistance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2.81 (1.71–4.62)</w:t>
            </w:r>
          </w:p>
        </w:tc>
        <w:tc>
          <w:tcPr/>
          <w:p>
            <w:pPr>
              <w:pStyle w:val="Compact"/>
            </w:pPr>
            <w:r>
              <w:t xml:space="preserve">3.0 × 10⁻⁵</w:t>
            </w:r>
          </w:p>
        </w:tc>
        <w:tc>
          <w:tcPr/>
          <w:p>
            <w:pPr>
              <w:pStyle w:val="Compact"/>
            </w:pPr>
            <w:r>
              <w:t xml:space="preserve">1.33 (0.73–2.40)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 × 10⁻⁵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GC (vs NAG)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2.16 (1.13–4.13)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1.70 (0.87–3.32)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Contingency for the headline test: cagPAI-complete → 429/431 cagA-positive;</w:t>
      </w:r>
      <w:r>
        <w:t xml:space="preserve"> </w:t>
      </w:r>
      <w:r>
        <w:t xml:space="preserve">partial → 10/11; empty → 10/82. Fluoroquinolone, tetracycline, and</w:t>
      </w:r>
      <w:r>
        <w:t xml:space="preserve"> </w:t>
      </w:r>
      <w:r>
        <w:t xml:space="preserve">nitroimidazole classes were excluded pre-test (intrinsic hp1181 efflux pump at</w:t>
      </w:r>
      <w:r>
        <w:t xml:space="preserve"> </w:t>
      </w:r>
      <w:r>
        <w:t xml:space="preserve">99.8% prevalence); beta-lactam was excluded (0.6% prevalence). The 26 genomes</w:t>
      </w:r>
      <w:r>
        <w:t xml:space="preserve"> </w:t>
      </w:r>
      <w:r>
        <w:t xml:space="preserve">discordant between marker state and cagA typing were reviewed at assembly level:</w:t>
      </w:r>
      <w:r>
        <w:t xml:space="preserve"> </w:t>
      </w:r>
      <w:r>
        <w:t xml:space="preserve">17 showed loss of the island backbone with cagA sequence retained at the</w:t>
      </w:r>
      <w:r>
        <w:t xml:space="preserve"> </w:t>
      </w:r>
      <w:r>
        <w:t xml:space="preserve">evacuated site (8 near full-length, 9 fragmentary), 2 carried a precise cagA</w:t>
      </w:r>
      <w:r>
        <w:t xml:space="preserve"> </w:t>
      </w:r>
      <w:r>
        <w:t xml:space="preserve">excision on an otherwise intact island (both FastBAPS L3, Latin America), 5</w:t>
      </w:r>
      <w:r>
        <w:t xml:space="preserve"> </w:t>
      </w:r>
      <w:r>
        <w:t xml:space="preserve">were threshold-level partial calls in high-divergence backgrounds, and 2 were</w:t>
      </w:r>
      <w:r>
        <w:t xml:space="preserve"> </w:t>
      </w:r>
      <w:r>
        <w:t xml:space="preserve">clean fully assembled island deletions; none was attributable to assembly</w:t>
      </w:r>
      <w:r>
        <w:t xml:space="preserve"> </w:t>
      </w:r>
      <w:r>
        <w:t xml:space="preserve">incompleteness.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case_studies/h_pylori_cagpai/results/metadata_assoc/association_tests.tsv</w:t>
      </w:r>
      <w:r>
        <w:t xml:space="preserve">;</w:t>
      </w:r>
      <w:r>
        <w:t xml:space="preserve"> </w:t>
      </w:r>
      <w:r>
        <w:t xml:space="preserve">assembly-level review:</w:t>
      </w:r>
      <w:r>
        <w:t xml:space="preserve"> </w:t>
      </w:r>
      <w:r>
        <w:rPr>
          <w:rStyle w:val="VerbatimChar"/>
        </w:rPr>
        <w:t xml:space="preserve">case_studies/h_pylori_cagpai/results/metadata_assoc/discordant_review/</w:t>
      </w:r>
      <w:r>
        <w:t xml:space="preserve">.</w:t>
      </w:r>
    </w:p>
    <w:bookmarkEnd w:id="28"/>
    <w:bookmarkStart w:id="29" w:name="X2ff3ab002bfcdc4c8ad1f9a43f54a269f3dbba3"/>
    <w:p>
      <w:pPr>
        <w:pStyle w:val="Heading2"/>
      </w:pPr>
      <w:r>
        <w:t xml:space="preserve">Supplementary Table S6 — Stage-level runtime decomposition and Stage-1 screen recall</w:t>
      </w:r>
    </w:p>
    <w:p>
      <w:pPr>
        <w:pStyle w:val="FirstParagraph"/>
      </w:pPr>
      <w:r>
        <w:rPr>
          <w:b/>
          <w:bCs/>
        </w:rPr>
        <w:t xml:space="preserve">Stage decomposition (n = 22-genome panel, 484 ordered pairs, median of 3</w:t>
      </w:r>
      <w:r>
        <w:rPr>
          <w:b/>
          <w:bCs/>
        </w:rPr>
        <w:t xml:space="preserve"> </w:t>
      </w:r>
      <w:r>
        <w:rPr>
          <w:b/>
          <w:bCs/>
        </w:rPr>
        <w:t xml:space="preserve">replicates).</w:t>
      </w:r>
      <w:r>
        <w:t xml:space="preserve"> </w:t>
      </w:r>
      <w:r>
        <w:t xml:space="preserve">Syn2bANI does not emit per-stage timers; stages that are measured</w:t>
      </w:r>
      <w:r>
        <w:t xml:space="preserve"> </w:t>
      </w:r>
      <w:r>
        <w:t xml:space="preserve">only jointly are marked as such rather than apportioned arbitrarily. Full</w:t>
      </w:r>
      <w:r>
        <w:t xml:space="preserve"> </w:t>
      </w:r>
      <w:r>
        <w:t xml:space="preserve">machine-readable table:</w:t>
      </w:r>
      <w:r>
        <w:t xml:space="preserve"> </w:t>
      </w:r>
      <w:r>
        <w:rPr>
          <w:rStyle w:val="VerbatimChar"/>
        </w:rPr>
        <w:t xml:space="preserve">results/efficiency_v8/stage_breakdown.tsv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wall time</w:t>
            </w:r>
          </w:p>
        </w:tc>
        <w:tc>
          <w:tcPr/>
          <w:p>
            <w:pPr>
              <w:pStyle w:val="Compact"/>
            </w:pPr>
            <w:r>
              <w:t xml:space="preserve">timing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End-to-end, FASTA mode (digest + screen + chain + MLE)</w:t>
            </w:r>
          </w:p>
        </w:tc>
        <w:tc>
          <w:tcPr/>
          <w:p>
            <w:pPr>
              <w:pStyle w:val="Compact"/>
            </w:pPr>
            <w:r>
              <w:t xml:space="preserve">3.73 s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End-to-end, sketch mode (sketch load + screen + chain + MLE)</w:t>
            </w:r>
          </w:p>
        </w:tc>
        <w:tc>
          <w:tcPr/>
          <w:p>
            <w:pPr>
              <w:pStyle w:val="Compact"/>
            </w:pPr>
            <w:r>
              <w:t xml:space="preserve">2.79 s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sketch</w:t>
            </w:r>
            <w:r>
              <w:t xml:space="preserve"> </w:t>
            </w:r>
            <w:r>
              <w:t xml:space="preserve">command (digest + build + write)</w:t>
            </w:r>
          </w:p>
        </w:tc>
        <w:tc>
          <w:tcPr/>
          <w:p>
            <w:pPr>
              <w:pStyle w:val="Compact"/>
            </w:pPr>
            <w:r>
              <w:t xml:space="preserve">0.50 s</w:t>
            </w:r>
          </w:p>
        </w:tc>
        <w:tc>
          <w:tcPr/>
          <w:p>
            <w:pPr>
              <w:pStyle w:val="Compact"/>
            </w:pPr>
            <w:r>
              <w:t xml:space="preserve">measured; digestion vs build/write not separable from these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In-silico digestion (in-memory)</w:t>
            </w:r>
          </w:p>
        </w:tc>
        <w:tc>
          <w:tcPr/>
          <w:p>
            <w:pPr>
              <w:pStyle w:val="Compact"/>
            </w:pPr>
            <w:r>
              <w:t xml:space="preserve">≈0.9 s</w:t>
            </w:r>
          </w:p>
        </w:tc>
        <w:tc>
          <w:tcPr/>
          <w:p>
            <w:pPr>
              <w:pStyle w:val="Compact"/>
            </w:pPr>
            <w:r>
              <w:t xml:space="preserve">derived upper bound (FASTA − sketch mode; sub-second I/O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(pass-1 index lookup)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separately timed; 0 &lt; t &lt; 2.79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Chaining (anchor DP)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separately timed (merged with screen + MLE)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MLE fit + calibration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separately timed (calibration is a linear-model evaluation, sub-ms per 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 of screen+chain+MLE</w:t>
            </w:r>
          </w:p>
        </w:tc>
        <w:tc>
          <w:tcPr/>
          <w:p>
            <w:pPr>
              <w:pStyle w:val="Compact"/>
            </w:pPr>
            <w:r>
              <w:t xml:space="preserve">5.7 ms/pair</w:t>
            </w:r>
          </w:p>
        </w:tc>
        <w:tc>
          <w:tcPr/>
          <w:p>
            <w:pPr>
              <w:pStyle w:val="Compact"/>
            </w:pPr>
            <w:r>
              <w:t xml:space="preserve">derived from sketch-mode scaling (n = 2 → 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syn2bani struct</w:t>
            </w:r>
            <w:r>
              <w:t xml:space="preserve"> </w:t>
            </w:r>
            <w:r>
              <w:t xml:space="preserve">(SV stage, 16-way process pool)</w:t>
            </w:r>
          </w:p>
        </w:tc>
        <w:tc>
          <w:tcPr/>
          <w:p>
            <w:pPr>
              <w:pStyle w:val="Compact"/>
            </w:pPr>
            <w:r>
              <w:t xml:space="preserve">4.36 s</w:t>
            </w:r>
          </w:p>
        </w:tc>
        <w:tc>
          <w:tcPr/>
          <w:p>
            <w:pPr>
              <w:pStyle w:val="Compact"/>
            </w:pPr>
            <w:r>
              <w:t xml:space="preserve">measured (includes process-spawn overhead)</w:t>
            </w:r>
          </w:p>
        </w:tc>
      </w:tr>
    </w:tbl>
    <w:p>
      <w:pPr>
        <w:pStyle w:val="BodyText"/>
      </w:pPr>
      <w:r>
        <w:t xml:space="preserve">Cross-scale anchors (HPC, 32 threads, screen+refine combined, no finer split):</w:t>
      </w:r>
      <w:r>
        <w:t xml:space="preserve"> </w:t>
      </w:r>
      <w:r>
        <w:t xml:space="preserve">triangle n = 500 genomes (124,750 pairs) 8.5 s; n = 2,000 (1,999,000 pairs)</w:t>
      </w:r>
      <w:r>
        <w:t xml:space="preserve"> </w:t>
      </w:r>
      <w:r>
        <w:t xml:space="preserve">86.6 s; n = 5,000 (12,497,500 pairs) 406.7 s; search 100 × 5,000-genome DB 22.0 s.</w:t>
      </w:r>
    </w:p>
    <w:p>
      <w:pPr>
        <w:pStyle w:val="BodyText"/>
      </w:pPr>
      <w:r>
        <w:rPr>
          <w:b/>
          <w:bCs/>
        </w:rPr>
        <w:t xml:space="preserve">Stage-1 screen recall and pass rate.</w:t>
      </w:r>
      <w:r>
        <w:t xml:space="preserve"> </w:t>
      </w:r>
      <w:r>
        <w:t xml:space="preserve">Gate: window 18 bp, ≥3 shared keys AND</w:t>
      </w:r>
      <w:r>
        <w:t xml:space="preserve"> </w:t>
      </w:r>
      <w:r>
        <w:t xml:space="preserve">containment ≥ 0.001. Full machine-readable table:</w:t>
      </w:r>
      <w:r>
        <w:t xml:space="preserve"> </w:t>
      </w:r>
      <w:r>
        <w:rPr>
          <w:rStyle w:val="VerbatimChar"/>
        </w:rPr>
        <w:t xml:space="preserve">results/efficiency_v8/screen_recall.tsv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pass rate</w:t>
            </w:r>
          </w:p>
        </w:tc>
        <w:tc>
          <w:tcPr/>
          <w:p>
            <w:pPr>
              <w:pStyle w:val="Compact"/>
            </w:pPr>
            <w:r>
              <w:t xml:space="preserve">all-vs-all triangle, n = 500 / 2,000 / 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17.3% / 15.3% / 12.6%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False-reject rate on validated true pairs (ANIm 80–100)</w:t>
            </w:r>
          </w:p>
        </w:tc>
        <w:tc>
          <w:tcPr/>
          <w:p>
            <w:pPr>
              <w:pStyle w:val="Compact"/>
            </w:pPr>
            <w:r>
              <w:t xml:space="preserve">500 true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500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False-reject rate, forced pass-all reconciliation</w:t>
            </w:r>
          </w:p>
        </w:tc>
        <w:tc>
          <w:tcPr/>
          <w:p>
            <w:pPr>
              <w:pStyle w:val="Compact"/>
            </w:pPr>
            <w:r>
              <w:t xml:space="preserve">triangle n = 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844 (0.12%; lost pair had af 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recall vs skani hits</w:t>
            </w:r>
          </w:p>
        </w:tc>
        <w:tc>
          <w:tcPr/>
          <w:p>
            <w:pPr>
              <w:pStyle w:val="Compact"/>
            </w:pPr>
            <w:r>
              <w:t xml:space="preserve">100 queries × 5,000-genome 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/ 12 (100%)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exact-tag screen (retired), same true pairs</w:t>
            </w:r>
          </w:p>
        </w:tc>
        <w:tc>
          <w:tcPr/>
          <w:p>
            <w:pPr>
              <w:pStyle w:val="Compact"/>
            </w:pPr>
            <w:r>
              <w:t xml:space="preserve">500 true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 / 500 rejected (94.4%)</w:t>
            </w:r>
          </w:p>
        </w:tc>
      </w:tr>
    </w:tbl>
    <w:p>
      <w:pPr>
        <w:pStyle w:val="BodyText"/>
      </w:pPr>
      <w:r>
        <w:t xml:space="preserve">Screen numbers at the full GTDB-R207 scale (65,703 genomes) do not exist: the</w:t>
      </w:r>
      <w:r>
        <w:t xml:space="preserve"> </w:t>
      </w:r>
      <w:r>
        <w:t xml:space="preserve">50k held-out benchmark ran</w:t>
      </w:r>
      <w:r>
        <w:t xml:space="preserve"> </w:t>
      </w:r>
      <w:r>
        <w:rPr>
          <w:rStyle w:val="VerbatimChar"/>
        </w:rPr>
        <w:t xml:space="preserve">ani</w:t>
      </w:r>
      <w:r>
        <w:t xml:space="preserve"> </w:t>
      </w:r>
      <w:r>
        <w:t xml:space="preserve">on pre-selected pairs, so the largest scale at</w:t>
      </w:r>
      <w:r>
        <w:t xml:space="preserve"> </w:t>
      </w:r>
      <w:r>
        <w:t xml:space="preserve">which the screen was exercised is the n = 5,000 all-vs-all above.</w:t>
      </w:r>
    </w:p>
    <w:bookmarkEnd w:id="29"/>
    <w:bookmarkStart w:id="30" w:name="Xa38a9c56b46811c2cfa1237f15091cacd9fe86a"/>
    <w:p>
      <w:pPr>
        <w:pStyle w:val="Heading2"/>
      </w:pPr>
      <w:r>
        <w:t xml:space="preserve">Supplementary Table S7 — FDA-ARGOS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structural validation and AMR-genotype discordance</w:t>
      </w:r>
    </w:p>
    <w:p>
      <w:pPr>
        <w:pStyle w:val="FirstParagraph"/>
      </w:pPr>
      <w:r>
        <w:t xml:space="preserve">One hundred and twenty-nine FDA-ARGOS assemblies yielded 103 skani pairs at</w:t>
      </w:r>
      <w:r>
        <w:t xml:space="preserve"> </w:t>
      </w:r>
      <w:r>
        <w:t xml:space="preserve">ANI ≥ 99.9. AMR genotypes were derived from NCBI Pathogen Detection</w:t>
      </w:r>
      <w:r>
        <w:t xml:space="preserve"> </w:t>
      </w:r>
      <w:r>
        <w:t xml:space="preserve">AMRFinderPlus core calls; prevalent/intrinsic genes (≥50% prevalence) were</w:t>
      </w:r>
      <w:r>
        <w:t xml:space="preserve"> </w:t>
      </w:r>
      <w:r>
        <w:t xml:space="preserve">removed before acquired-gene analysis, although no gene met that prevalence</w:t>
      </w:r>
      <w:r>
        <w:t xml:space="preserve"> </w:t>
      </w:r>
      <w:r>
        <w:t xml:space="preserve">threshold in this collection. Structural calls were classified after minimap2</w:t>
      </w:r>
      <w:r>
        <w:t xml:space="preserve"> </w:t>
      </w:r>
      <w:r>
        <w:t xml:space="preserve">validation and orientation/rotation-artifact review. Pair classification used</w:t>
      </w:r>
      <w:r>
        <w:t xml:space="preserve"> </w:t>
      </w:r>
      <w:r>
        <w:t xml:space="preserve">the reference chromosome only: minus-strand aligned fraction &gt;0.8 defined global</w:t>
      </w:r>
      <w:r>
        <w:t xml:space="preserve"> </w:t>
      </w:r>
      <w:r>
        <w:t xml:space="preserve">flip/rotation, 0.2–0.8 defined partial inversion, and ≤0.2 defined</w:t>
      </w:r>
      <w:r>
        <w:t xml:space="preserve"> </w:t>
      </w:r>
      <w:r>
        <w:t xml:space="preserve">collinear/local. An INV/TRA was accepted as genuine when at least 50% of its</w:t>
      </w:r>
      <w:r>
        <w:t xml:space="preserve"> </w:t>
      </w:r>
      <w:r>
        <w:t xml:space="preserve">span overlapped minus-strand alignment zones, or plus-strand zones in a flipped</w:t>
      </w:r>
      <w:r>
        <w:t xml:space="preserve"> </w:t>
      </w:r>
      <w:r>
        <w:t xml:space="preserve">background; otherwise it was called an artifact if either endpoint lay within</w:t>
      </w:r>
      <w:r>
        <w:t xml:space="preserve"> </w:t>
      </w:r>
      <w:r>
        <w:t xml:space="preserve">2 kb of an alignment-block boundary and the pair had &gt;4 blocks. A chromosomal</w:t>
      </w:r>
      <w:r>
        <w:t xml:space="preserve"> </w:t>
      </w:r>
      <w:r>
        <w:t xml:space="preserve">INS/DEL was genuine when minimap2 cs-tag parsing supported an indel of at least</w:t>
      </w:r>
      <w:r>
        <w:t xml:space="preserve"> </w:t>
      </w:r>
      <w:r>
        <w:t xml:space="preserve">1 kb within 3 kb of the call; off-chromosome content differences were genuine,</w:t>
      </w:r>
      <w:r>
        <w:t xml:space="preserve"> </w:t>
      </w:r>
      <w:r>
        <w:t xml:space="preserve">and smaller chromosomal indels were retained as likely genuine but unverified.</w:t>
      </w:r>
      <w:r>
        <w:t xml:space="preserve"> </w:t>
      </w:r>
      <w:r>
        <w:t xml:space="preserve">Genotype discordance was the measured AMR outcome; phenotype and expression were</w:t>
      </w:r>
      <w:r>
        <w:t xml:space="preserve"> </w:t>
      </w:r>
      <w:r>
        <w:t xml:space="preserve">not tested. Pair-level and event-level source data are in</w:t>
      </w:r>
      <w:r>
        <w:t xml:space="preserve"> </w:t>
      </w:r>
      <w:r>
        <w:rPr>
          <w:rStyle w:val="VerbatimChar"/>
        </w:rPr>
        <w:t xml:space="preserve">case_studies/fda_argos/amr_discordance.tsv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case_studies/fda_argos/validate/VALIDATION.md</w:t>
      </w:r>
      <w:r>
        <w:t xml:space="preserve">; the machine-readable summary is</w:t>
      </w:r>
      <w:r>
        <w:t xml:space="preserve"> </w:t>
      </w:r>
      <w:r>
        <w:rPr>
          <w:rStyle w:val="VerbatimChar"/>
        </w:rPr>
        <w:t xml:space="preserve">paper/supplementary/tables/Table_S7_FDA_ARGOS_AMR_structural.tsv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AMR discordance</w:t>
            </w:r>
          </w:p>
        </w:tc>
        <w:tc>
          <w:tcPr/>
          <w:p>
            <w:pPr>
              <w:pStyle w:val="Compact"/>
            </w:pPr>
            <w:r>
              <w:t xml:space="preserve">ANI ≥ 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60/103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AMR discordance</w:t>
            </w:r>
          </w:p>
        </w:tc>
        <w:tc>
          <w:tcPr/>
          <w:p>
            <w:pPr>
              <w:pStyle w:val="Compact"/>
            </w:pPr>
            <w:r>
              <w:t xml:space="preserve">ANI ≥ 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AMR discordance</w:t>
            </w:r>
          </w:p>
        </w:tc>
        <w:tc>
          <w:tcPr/>
          <w:p>
            <w:pPr>
              <w:pStyle w:val="Compact"/>
            </w:pPr>
            <w:r>
              <w:t xml:space="preserve">ANI ≥ 99.999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pair class</w:t>
            </w:r>
          </w:p>
        </w:tc>
        <w:tc>
          <w:tcPr/>
          <w:p>
            <w:pPr>
              <w:pStyle w:val="Compact"/>
            </w:pPr>
            <w:r>
              <w:t xml:space="preserve">global flip/rotation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41/103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pair class</w:t>
            </w:r>
          </w:p>
        </w:tc>
        <w:tc>
          <w:tcPr/>
          <w:p>
            <w:pPr>
              <w:pStyle w:val="Compact"/>
            </w:pPr>
            <w:r>
              <w:t xml:space="preserve">partial inversion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pair class</w:t>
            </w:r>
          </w:p>
        </w:tc>
        <w:tc>
          <w:tcPr/>
          <w:p>
            <w:pPr>
              <w:pStyle w:val="Compact"/>
            </w:pPr>
            <w:r>
              <w:t xml:space="preserve">collinear/local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46/103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Pair-level genuine SV</w:t>
            </w:r>
          </w:p>
        </w:tc>
        <w:tc>
          <w:tcPr/>
          <w:p>
            <w:pPr>
              <w:pStyle w:val="Compact"/>
            </w:pPr>
            <w:r>
              <w:t xml:space="preserve">ANI ≥ 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101/103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artifact INV/TRA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artifact indel at rotation junction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genuine chromosomal indel ≥1 kb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genuine rearrangement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genuine off-chromosome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accounting</w:t>
            </w:r>
          </w:p>
        </w:tc>
        <w:tc>
          <w:tcPr/>
          <w:p>
            <w:pPr>
              <w:pStyle w:val="Compact"/>
            </w:pPr>
            <w:r>
              <w:t xml:space="preserve">likely genuine, unverified small indel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159/2,718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</w:tr>
    </w:tbl>
    <w:p>
      <w:pPr>
        <w:pStyle w:val="BodyText"/>
      </w:pPr>
      <w:r>
        <w:t xml:space="preserve">These very-high-ANI reference-genome pairs are not interpreted as inferred</w:t>
      </w:r>
      <w:r>
        <w:t xml:space="preserve"> </w:t>
      </w:r>
      <w:r>
        <w:t xml:space="preserve">outbreak or transmission clusters.</w:t>
      </w:r>
    </w:p>
    <w:bookmarkEnd w:id="30"/>
    <w:bookmarkStart w:id="31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31"/>
    <w:bookmarkStart w:id="32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32"/>
    <w:bookmarkStart w:id="33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33"/>
    <w:bookmarkStart w:id="34" w:name="Xfd6529be4a0d1bbd51b24452f2b6f26ebe262a9"/>
    <w:p>
      <w:pPr>
        <w:pStyle w:val="Heading2"/>
      </w:pPr>
      <w:r>
        <w:t xml:space="preserve">Supplementary Note 4 — Chain-restricted stratified MLE, gating, and flags</w:t>
      </w:r>
    </w:p>
    <w:p>
      <w:pPr>
        <w:pStyle w:val="FirstParagraph"/>
      </w:pPr>
      <w:r>
        <w:t xml:space="preserve">For a query tag inside a chained region, with tag length</w:t>
      </w:r>
      <w:r>
        <w:t xml:space="preserve"> </w:t>
      </w:r>
      <w:r>
        <w:rPr>
          <w:rStyle w:val="VerbatimChar"/>
        </w:rPr>
        <w:t xml:space="preserve">k</w:t>
      </w:r>
      <w:r>
        <w:t xml:space="preserve">, recognition-site</w:t>
      </w:r>
      <w:r>
        <w:t xml:space="preserve"> </w:t>
      </w:r>
      <w:r>
        <w:t xml:space="preserve">length</w:t>
      </w:r>
      <w:r>
        <w:t xml:space="preserve"> </w:t>
      </w:r>
      <w:r>
        <w:rPr>
          <w:rStyle w:val="VerbatimChar"/>
        </w:rPr>
        <w:t xml:space="preserve">s</w:t>
      </w:r>
      <w:r>
        <w:t xml:space="preserve">, mutable body</w:t>
      </w:r>
      <w:r>
        <w:t xml:space="preserve"> </w:t>
      </w:r>
      <w:r>
        <w:rPr>
          <w:rStyle w:val="VerbatimChar"/>
        </w:rPr>
        <w:t xml:space="preserve">b = k − s</w:t>
      </w:r>
      <w:r>
        <w:t xml:space="preserve">, and mismatch budget</w:t>
      </w:r>
      <w:r>
        <w:t xml:space="preserve"> </w:t>
      </w:r>
      <w:r>
        <w:rPr>
          <w:rStyle w:val="VerbatimChar"/>
        </w:rPr>
        <w:t xml:space="preserve">tol</w:t>
      </w:r>
      <w:r>
        <w:t xml:space="preserve">, the outcome</w:t>
      </w:r>
      <w:r>
        <w:t xml:space="preserve"> </w:t>
      </w:r>
      <w:r>
        <w:t xml:space="preserve">probabilities under per-base identity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body mismatches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m ≤ tol</w:t>
      </w:r>
      <w:r>
        <w:t xml:space="preserve">):</w:t>
      </w:r>
      <w:r>
        <w:t xml:space="preserve"> </w:t>
      </w:r>
      <w:r>
        <w:rPr>
          <w:rStyle w:val="VerbatimChar"/>
        </w:rPr>
        <w:t xml:space="preserve">P_m(a) = C(b, m) · (1 − a)^m · a^(k−m)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(miss):</w:t>
      </w:r>
      <w:r>
        <w:t xml:space="preserve"> </w:t>
      </w:r>
      <w:r>
        <w:rPr>
          <w:rStyle w:val="VerbatimChar"/>
        </w:rPr>
        <w:t xml:space="preserve">P_miss(a) = 1 − Σ_{m=0}^{tol} P_m(a)</w:t>
      </w:r>
      <w:r>
        <w:t xml:space="preserve">.</w:t>
      </w:r>
    </w:p>
    <w:p>
      <w:pPr>
        <w:pStyle w:val="FirstParagraph"/>
      </w:pPr>
      <w:r>
        <w:t xml:space="preserve">Mismatches are observable only in the mutable body — a mutation inside the</w:t>
      </w:r>
      <w:r>
        <w:t xml:space="preserve"> </w:t>
      </w:r>
      <w:r>
        <w:t xml:space="preserve">recognition site deletes the tag entirely — so the site contributes a factor</w:t>
      </w:r>
      <w:r>
        <w:t xml:space="preserve"> </w:t>
      </w:r>
      <w:r>
        <w:rPr>
          <w:rStyle w:val="VerbatimChar"/>
        </w:rPr>
        <w:t xml:space="preserve">a^s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P_found</w:t>
      </w:r>
      <w:r>
        <w:t xml:space="preserve"> </w:t>
      </w:r>
      <w:r>
        <w:t xml:space="preserve">but never appears in the histogram. This also sets a hard</w:t>
      </w:r>
      <w:r>
        <w:t xml:space="preserve"> </w:t>
      </w:r>
      <w:r>
        <w:t xml:space="preserve">retention ceiling (for example, ~0.72 at 95% ANI and ~0.50 at 90% with the</w:t>
      </w:r>
      <w:r>
        <w:t xml:space="preserve"> </w:t>
      </w:r>
      <w:r>
        <w:t xml:space="preserve">default budget). The per-enzyme strata differ in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; the total</w:t>
      </w:r>
      <w:r>
        <w:t xml:space="preserve"> </w:t>
      </w:r>
      <w:r>
        <w:t xml:space="preserve">log-likelihood is the sum over strata and is maximized over the scalar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by</w:t>
      </w:r>
      <w:r>
        <w:t xml:space="preserve"> </w:t>
      </w:r>
      <w:r>
        <w:t xml:space="preserve">golden-section search.</w:t>
      </w:r>
    </w:p>
    <w:p>
      <w:pPr>
        <w:pStyle w:val="BodyText"/>
      </w:pPr>
      <w:r>
        <w:t xml:space="preserve">Two partial estimators are computed as diagnostics: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ani_from_loss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P_miss(a)</w:t>
      </w:r>
      <w:r>
        <w:t xml:space="preserve"> </w:t>
      </w:r>
      <w:r>
        <w:t xml:space="preserve">only (the miss-rate channel).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ani_from_hist</w:t>
      </w:r>
      <w:r>
        <w:t xml:space="preserve"> </w:t>
      </w:r>
      <w:r>
        <w:t xml:space="preserve">— uses the mismatch histogram renormalized by</w:t>
      </w:r>
      <w:r>
        <w:t xml:space="preserve"> </w:t>
      </w:r>
      <w:r>
        <w:rPr>
          <w:rStyle w:val="VerbatimChar"/>
        </w:rPr>
        <w:t xml:space="preserve">P_found(a)</w:t>
      </w:r>
      <w:r>
        <w:t xml:space="preserve">.</w:t>
      </w:r>
    </w:p>
    <w:p>
      <w:pPr>
        <w:pStyle w:val="FirstParagraph"/>
      </w:pPr>
      <w:r>
        <w:t xml:space="preserve">When the data are well behaved these two estimates agree; large divergence</w:t>
      </w:r>
      <w:r>
        <w:t xml:space="preserve"> </w:t>
      </w:r>
      <w:r>
        <w:t xml:space="preserve">signals either model misspecification or sparse data.</w:t>
      </w:r>
    </w:p>
    <w:p>
      <w:pPr>
        <w:pStyle w:val="BodyText"/>
      </w:pPr>
      <w:r>
        <w:rPr>
          <w:b/>
          <w:bCs/>
        </w:rPr>
        <w:t xml:space="preserve">Heterogeneous (gamma) model.</w:t>
      </w:r>
      <w:r>
        <w:t xml:space="preserve"> </w:t>
      </w:r>
      <w:r>
        <w:t xml:space="preserve">To account for rate heterogeneity, each</w:t>
      </w:r>
      <w:r>
        <w:t xml:space="preserve"> </w:t>
      </w:r>
      <w:r>
        <w:t xml:space="preserve">chained region receives a per-region rate multiplier</w:t>
      </w:r>
      <w:r>
        <w:t xml:space="preserve"> </w:t>
      </w:r>
      <w:r>
        <w:rPr>
          <w:rStyle w:val="VerbatimChar"/>
        </w:rPr>
        <w:t xml:space="preserve">r ~ Gamma(α, α)</w:t>
      </w:r>
      <w:r>
        <w:t xml:space="preserve"> </w:t>
      </w:r>
      <w:r>
        <w:t xml:space="preserve">(mean 1,</w:t>
      </w:r>
      <w:r>
        <w:t xml:space="preserve"> </w:t>
      </w:r>
      <w:r>
        <w:t xml:space="preserve">shape α). Because rate variation acts at kilobase scale while a tag is ~30 bp,</w:t>
      </w:r>
      <w:r>
        <w:t xml:space="preserve"> </w:t>
      </w:r>
      <w:r>
        <w:t xml:space="preserve">all sites within one tag share the same</w:t>
      </w:r>
      <w:r>
        <w:t xml:space="preserve"> </w:t>
      </w:r>
      <w:r>
        <w:rPr>
          <w:rStyle w:val="VerbatimChar"/>
        </w:rPr>
        <w:t xml:space="preserve">r</w:t>
      </w:r>
      <w:r>
        <w:t xml:space="preserve">. Integrating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out converts the</w:t>
      </w:r>
      <w:r>
        <w:t xml:space="preserve"> </w:t>
      </w:r>
      <w:r>
        <w:t xml:space="preserve">mismatch count distribution into a negative binomial with two parameters: mean</w:t>
      </w:r>
      <w:r>
        <w:t xml:space="preserve"> </w:t>
      </w:r>
      <w:r>
        <w:t xml:space="preserve">divergence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shape</w:t>
      </w:r>
      <w:r>
        <w:t xml:space="preserve"> </w:t>
      </w:r>
      <w:r>
        <w:rPr>
          <w:rStyle w:val="VerbatimChar"/>
        </w:rPr>
        <w:t xml:space="preserve">α</w:t>
      </w:r>
      <w:r>
        <w:t xml:space="preserve">. These are identifiable from the three histogram</w:t>
      </w:r>
      <w:r>
        <w:t xml:space="preserve"> </w:t>
      </w:r>
      <w:r>
        <w:t xml:space="preserve">degrees of freedom plus the miss count. Two guardrails are applied: the second</w:t>
      </w:r>
      <w:r>
        <w:t xml:space="preserve"> </w:t>
      </w:r>
      <w:r>
        <w:t xml:space="preserve">parameter is used only when the likelihood-ratio statistic exceeds 3.841, and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is clamped to</w:t>
      </w:r>
      <w:r>
        <w:t xml:space="preserve"> </w:t>
      </w:r>
      <w:r>
        <w:rPr>
          <w:rStyle w:val="VerbatimChar"/>
        </w:rPr>
        <w:t xml:space="preserve">[0.1, 200]</w:t>
      </w:r>
      <w:r>
        <w:t xml:space="preserve">.</w:t>
      </w:r>
    </w:p>
    <w:p>
      <w:pPr>
        <w:pStyle w:val="BodyText"/>
      </w:pPr>
      <w:r>
        <w:t xml:space="preserve">At the identifiability boundary with few surviving tags, the gamma shape and</w:t>
      </w:r>
      <w:r>
        <w:t xml:space="preserve"> </w:t>
      </w:r>
      <w:r>
        <w:t xml:space="preserve">mean couple and can overshoot by 4–10 ANI points in the mid-ANI range. The</w:t>
      </w:r>
      <w:r>
        <w:t xml:space="preserve"> </w:t>
      </w:r>
      <w:r>
        <w:t xml:space="preserve">shipped point estimate is therefore</w:t>
      </w:r>
      <w:r>
        <w:t xml:space="preserve"> </w:t>
      </w:r>
      <w:r>
        <w:rPr>
          <w:b/>
          <w:bCs/>
        </w:rPr>
        <w:t xml:space="preserve">gated</w:t>
      </w:r>
      <w:r>
        <w:t xml:space="preserve">: report the homogeneous (uniform)</w:t>
      </w:r>
      <w:r>
        <w:t xml:space="preserve"> </w:t>
      </w:r>
      <w:r>
        <w:t xml:space="preserve">fit when</w:t>
      </w:r>
      <w:r>
        <w:t xml:space="preserve"> </w:t>
      </w:r>
      <w:r>
        <w:rPr>
          <w:rStyle w:val="VerbatimChar"/>
        </w:rPr>
        <w:t xml:space="preserve">|ani_from_loss − ani_from_hist| &gt; 5</w:t>
      </w:r>
      <w:r>
        <w:t xml:space="preserve"> </w:t>
      </w:r>
      <w:r>
        <w:t xml:space="preserve">ANI points, otherwise report the</w:t>
      </w:r>
      <w:r>
        <w:t xml:space="preserve"> </w:t>
      </w:r>
      <w:r>
        <w:t xml:space="preserve">gamma fit. The threshold is an effect size, not a significance level; threshold</w:t>
      </w:r>
      <w:r>
        <w:t xml:space="preserve"> </w:t>
      </w:r>
      <w:r>
        <w:t xml:space="preserve">sweeps on the GTDB-ANIm training matrix show a flat optimum between 4.5 and 6</w:t>
      </w:r>
      <w:r>
        <w:t xml:space="preserve"> </w:t>
      </w:r>
      <w:r>
        <w:t xml:space="preserve">points. The gate fires on 5.5% of GTDB pairs, on all 15 mid-ANI pairs (where it</w:t>
      </w:r>
      <w:r>
        <w:t xml:space="preserve"> </w:t>
      </w:r>
      <w:r>
        <w:t xml:space="preserve">reduces gamma MAE from 4.48 to 1.42), and never on uniform-rate simulations,</w:t>
      </w:r>
      <w:r>
        <w:t xml:space="preserve"> </w:t>
      </w:r>
      <w:r>
        <w:t xml:space="preserve">mosaic simulations, or oral/gut same-species pairs, preserving gamma’s advantage</w:t>
      </w:r>
      <w:r>
        <w:t xml:space="preserve"> </w:t>
      </w:r>
      <w:r>
        <w:t xml:space="preserve">exactly where it is real.</w:t>
      </w:r>
    </w:p>
    <w:p>
      <w:pPr>
        <w:pStyle w:val="BodyText"/>
      </w:pPr>
      <w:r>
        <w:rPr>
          <w:b/>
          <w:bCs/>
        </w:rPr>
        <w:t xml:space="preserve">Flags.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column is hierarchical: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BELOW_DETECTION</w:t>
      </w:r>
      <w:r>
        <w:t xml:space="preserve"> </w:t>
      </w:r>
      <w:r>
        <w:t xml:space="preserve">— expected retention &lt; 0.20 (takes precedence).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INCONSISTENT</w:t>
      </w:r>
      <w:r>
        <w:t xml:space="preserve"> </w:t>
      </w:r>
      <w:r>
        <w:t xml:space="preserve">— the gate fell back to the uniform model, or the chains carry</w:t>
      </w:r>
      <w:r>
        <w:t xml:space="preserve"> </w:t>
      </w:r>
      <w:r>
        <w:t xml:space="preserve">&gt; 0.5 rearrangement breakpoints per anchor (a structural statistic independent</w:t>
      </w:r>
      <w:r>
        <w:t xml:space="preserve"> </w:t>
      </w:r>
      <w:r>
        <w:t xml:space="preserve">of the chain-restricted likelihood denominator).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otherwise.</w:t>
      </w:r>
    </w:p>
    <w:p>
      <w:pPr>
        <w:pStyle w:val="FirstParagraph"/>
      </w:pPr>
      <w:r>
        <w:t xml:space="preserve">The recalibrated flag never inverts its error ranking on any validation set</w:t>
      </w:r>
      <w:r>
        <w:t xml:space="preserve"> </w:t>
      </w:r>
      <w:r>
        <w:t xml:space="preserve">(kept vs flagged MAE: GTDB-ANIm 2.415 vs 4.153; oral/gut 0.514 vs 4.269;</w:t>
      </w:r>
      <w:r>
        <w:t xml:space="preserve"> </w:t>
      </w:r>
      <w:r>
        <w:t xml:space="preserve">mid-ANI 0.343 vs 1.113), at a disclosed cost in near-clonal sensitivity.</w:t>
      </w:r>
    </w:p>
    <w:bookmarkEnd w:id="34"/>
    <w:bookmarkStart w:id="35" w:name="X39919e213b71580968f061584f61586905cff88"/>
    <w:p>
      <w:pPr>
        <w:pStyle w:val="Heading2"/>
      </w:pPr>
      <w:r>
        <w:t xml:space="preserve">Supplementary Note 5 — The spatial-model negative result (identifiability analysis)</w:t>
      </w:r>
    </w:p>
    <w:p>
      <w:pPr>
        <w:pStyle w:val="FirstParagraph"/>
      </w:pPr>
      <w:r>
        <w:t xml:space="preserve">A mechanistic spatial-rate model was evaluated as an alternative to the ridge</w:t>
      </w:r>
      <w:r>
        <w:t xml:space="preserve"> </w:t>
      </w:r>
      <w:r>
        <w:t xml:space="preserve">calibration layer. The prototype was written in Python, tested on 19 exact-truth</w:t>
      </w:r>
      <w:r>
        <w:t xml:space="preserve"> </w:t>
      </w:r>
      <w:r>
        <w:t xml:space="preserve">mosaic simulations, and then evaluated on the GTDB-ANIm matrix.</w:t>
      </w:r>
    </w:p>
    <w:p>
      <w:pPr>
        <w:pStyle w:val="BodyText"/>
      </w:pPr>
      <w:r>
        <w:t xml:space="preserve">The residual bias decomposes into two terms. The first is an in-chain</w:t>
      </w:r>
      <w:r>
        <w:t xml:space="preserve"> </w:t>
      </w:r>
      <w:r>
        <w:t xml:space="preserve">distribution-family term: the asymptotic in-chain MAE is 2.25 for gamma and 1.25</w:t>
      </w:r>
      <w:r>
        <w:t xml:space="preserve"> </w:t>
      </w:r>
      <w:r>
        <w:t xml:space="preserve">for a capped grid NPMLE, so a nonparametric in-chain fit can fix at most</w:t>
      </w:r>
      <w:r>
        <w:t xml:space="preserve"> </w:t>
      </w:r>
      <w:r>
        <w:t xml:space="preserve">~0.1–0.2 ANI points of the GTDB MAE. The second is a coverage term: the</w:t>
      </w:r>
      <w:r>
        <w:t xml:space="preserve"> </w:t>
      </w:r>
      <w:r>
        <w:t xml:space="preserve">divergence of the unchained fraction is not identifiable from tag data, because</w:t>
      </w:r>
      <w:r>
        <w:t xml:space="preserve"> </w:t>
      </w:r>
      <w:r>
        <w:t xml:space="preserve">the out-of-chain anchor residual is approximately zero within multi-match noise</w:t>
      </w:r>
      <w:r>
        <w:t xml:space="preserve"> </w:t>
      </w:r>
      <w:r>
        <w:t xml:space="preserve">whether the unchained mass is saturated-divergent or accessory. Even an oracle</w:t>
      </w:r>
      <w:r>
        <w:t xml:space="preserve"> </w:t>
      </w:r>
      <w:r>
        <w:t xml:space="preserve">given the exact identity of the chained sample still errs by MAE 1.36 against</w:t>
      </w:r>
      <w:r>
        <w:t xml:space="preserve"> </w:t>
      </w:r>
      <w:r>
        <w:t xml:space="preserve">whole-genome truth.</w:t>
      </w:r>
    </w:p>
    <w:p>
      <w:pPr>
        <w:pStyle w:val="BodyText"/>
      </w:pPr>
      <w:r>
        <w:t xml:space="preserve">Candidates tested included AF-weighted mixtures, discrete mixtures,</w:t>
      </w:r>
      <w:r>
        <w:t xml:space="preserve"> </w:t>
      </w:r>
      <w:r>
        <w:t xml:space="preserve">ascertainment-aware tilts, capped NPMLE with and without likelihood-ratio gating,</w:t>
      </w:r>
      <w:r>
        <w:t xml:space="preserve"> </w:t>
      </w:r>
      <w:r>
        <w:t xml:space="preserve">and model averaging. None beats the gated homogeneous/gamma baseline while</w:t>
      </w:r>
      <w:r>
        <w:t xml:space="preserve"> </w:t>
      </w:r>
      <w:r>
        <w:t xml:space="preserve">holding all simulation gates. The raw estimator is therefore at its</w:t>
      </w:r>
      <w:r>
        <w:t xml:space="preserve"> </w:t>
      </w:r>
      <w:r>
        <w:t xml:space="preserve">identifiability floor at 4-enzyme tag density; this negative result is why the</w:t>
      </w:r>
      <w:r>
        <w:t xml:space="preserve"> </w:t>
      </w:r>
      <w:r>
        <w:t xml:space="preserve">shipped pipeline uses calibration, rather than a more elaborate likelihood, as</w:t>
      </w:r>
      <w:r>
        <w:t xml:space="preserve"> </w:t>
      </w:r>
      <w:r>
        <w:t xml:space="preserve">the real-genome correction layer.</w:t>
      </w:r>
    </w:p>
    <w:bookmarkEnd w:id="35"/>
    <w:bookmarkStart w:id="36" w:name="Xb1eb0d0077db50146ab5cb7a6cc963413c0d2d3"/>
    <w:p>
      <w:pPr>
        <w:pStyle w:val="Heading2"/>
      </w:pPr>
      <w:r>
        <w:t xml:space="preserve">Supplementary Note 6 — Ridge calibration protocol details</w:t>
      </w:r>
    </w:p>
    <w:p>
      <w:pPr>
        <w:pStyle w:val="FirstParagraph"/>
      </w:pPr>
      <w:r>
        <w:t xml:space="preserve">The v5 calibration model is ridge regression on nine Syn2bANI-internal features:</w:t>
      </w:r>
      <w:r>
        <w:t xml:space="preserve"> </w:t>
      </w:r>
      <w:r>
        <w:rPr>
          <w:rStyle w:val="VerbatimChar"/>
        </w:rPr>
        <w:t xml:space="preserve">ani_gated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af_reference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std_err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n_anchors</w:t>
      </w:r>
      <w:r>
        <w:t xml:space="preserve">,</w:t>
      </w:r>
      <w:r>
        <w:t xml:space="preserve"> </w:t>
      </w:r>
      <w:r>
        <w:rPr>
          <w:rStyle w:val="VerbatimChar"/>
        </w:rPr>
        <w:t xml:space="preserve">n_chains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n_tags_in_chains</w:t>
      </w:r>
      <w:r>
        <w:t xml:space="preserve">. Features are median-imputed and</w:t>
      </w:r>
      <w:r>
        <w:t xml:space="preserve"> </w:t>
      </w:r>
      <w:r>
        <w:t xml:space="preserve">standardized; regularization strength</w:t>
      </w:r>
      <w:r>
        <w:t xml:space="preserve"> </w:t>
      </w:r>
      <w:r>
        <w:rPr>
          <w:rStyle w:val="VerbatimChar"/>
        </w:rPr>
        <w:t xml:space="preserve">α = 10</w:t>
      </w:r>
      <w:r>
        <w:t xml:space="preserve"> </w:t>
      </w:r>
      <w:r>
        <w:t xml:space="preserve">is selected by inner</w:t>
      </w:r>
      <w:r>
        <w:t xml:space="preserve"> </w:t>
      </w:r>
      <w:r>
        <w:t xml:space="preserve">cross-validation with scikit-learn29.</w:t>
      </w:r>
    </w:p>
    <w:p>
      <w:pPr>
        <w:pStyle w:val="BodyText"/>
      </w:pPr>
      <w:r>
        <w:rPr>
          <w:b/>
          <w:bCs/>
        </w:rPr>
        <w:t xml:space="preserve">Training set.</w:t>
      </w:r>
      <w:r>
        <w:t xml:space="preserve"> </w:t>
      </w:r>
      <w:r>
        <w:t xml:space="preserve">2,520 ANIm-truth pairs (80–99.5% ANIm). This combines 2,053</w:t>
      </w:r>
      <w:r>
        <w:t xml:space="preserve"> </w:t>
      </w:r>
      <w:r>
        <w:t xml:space="preserve">finite pairs from a stratified 2,074-pair GTDB benchmark and 467 targeted</w:t>
      </w:r>
      <w:r>
        <w:t xml:space="preserve"> </w:t>
      </w:r>
      <w:r>
        <w:t xml:space="preserve">95.0–99.15% ANIm pairs selected by screening all 2.26 M same-genus GTDB-R207</w:t>
      </w:r>
      <w:r>
        <w:t xml:space="preserve"> </w:t>
      </w:r>
      <w:r>
        <w:t xml:space="preserve">representative pairs with skani and running dnadiff on 650 candidates. The</w:t>
      </w:r>
      <w:r>
        <w:t xml:space="preserve"> </w:t>
      </w:r>
      <w:r>
        <w:t xml:space="preserve">expanded set spans 607 species and 26 phyla and has zero genome-level overlap</w:t>
      </w:r>
      <w:r>
        <w:t xml:space="preserve"> </w:t>
      </w:r>
      <w:r>
        <w:t xml:space="preserve">with the original 2,074-pair set. Thus 21 of the nominal 2,074 source pairs</w:t>
      </w:r>
      <w:r>
        <w:t xml:space="preserve"> </w:t>
      </w:r>
      <w:r>
        <w:t xml:space="preserve">lacked finite v5 training features and were not used; all provenance and</w:t>
      </w:r>
      <w:r>
        <w:t xml:space="preserve"> </w:t>
      </w:r>
      <w:r>
        <w:t xml:space="preserve">manuscript accounting reports the finite training total of 2,520 pairs.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Band-holdout cross-validation: each of the four ANI bands</w:t>
      </w:r>
      <w:r>
        <w:t xml:space="preserve"> </w:t>
      </w:r>
      <w:r>
        <w:t xml:space="preserve">(80–85, 85–90, 90–95, 95–99) is predicted by a model trained on the other three</w:t>
      </w:r>
      <w:r>
        <w:t xml:space="preserve"> </w:t>
      </w:r>
      <w:r>
        <w:t xml:space="preserve">only. Training rows are shuffled with a fixed seed before CV because the inner</w:t>
      </w:r>
      <w:r>
        <w:t xml:space="preserve"> </w:t>
      </w:r>
      <w:r>
        <w:t xml:space="preserve">KFold of the ridge CV is order-sensitive.</w:t>
      </w:r>
    </w:p>
    <w:p>
      <w:pPr>
        <w:pStyle w:val="BodyText"/>
      </w:pPr>
      <w:r>
        <w:rPr>
          <w:b/>
          <w:bCs/>
        </w:rPr>
        <w:t xml:space="preserve">Model comparisons.</w:t>
      </w:r>
      <w:r>
        <w:t xml:space="preserve"> </w:t>
      </w:r>
      <w:r>
        <w:t xml:space="preserve">An expanded 18-feature variant and a gradient-boosted</w:t>
      </w:r>
      <w:r>
        <w:t xml:space="preserve"> </w:t>
      </w:r>
      <w:r>
        <w:t xml:space="preserve">regressor on the same features were evaluated and rejected: nonlinearity buys</w:t>
      </w:r>
      <w:r>
        <w:t xml:space="preserve"> </w:t>
      </w:r>
      <w:r>
        <w:t xml:space="preserve">nothing at</w:t>
      </w:r>
      <w:r>
        <w:t xml:space="preserve"> </w:t>
      </w:r>
      <w:r>
        <w:rPr>
          <w:rStyle w:val="VerbatimChar"/>
        </w:rPr>
        <w:t xml:space="preserve">n ≈ 2,500</w:t>
      </w:r>
      <w:r>
        <w:t xml:space="preserve">, and the expanded feature set degrades out-of-distribution</w:t>
      </w:r>
      <w:r>
        <w:t xml:space="preserve"> </w:t>
      </w:r>
      <w:r>
        <w:t xml:space="preserve">on near-clonal pairs. Seed spread over 5 seeds is ≤ 0.0015 MAE.</w:t>
      </w:r>
    </w:p>
    <w:p>
      <w:pPr>
        <w:pStyle w:val="BodyText"/>
      </w:pPr>
      <w:r>
        <w:rPr>
          <w:b/>
          <w:bCs/>
        </w:rPr>
        <w:t xml:space="preserve">Learning curve.</w:t>
      </w:r>
      <w:r>
        <w:t xml:space="preserve"> </w:t>
      </w:r>
      <w:r>
        <w:t xml:space="preserve">Subsampling the 2,520-pair training matrix at 492/984/1,476</w:t>
      </w:r>
      <w:r>
        <w:t xml:space="preserve"> </w:t>
      </w:r>
      <w:r>
        <w:t xml:space="preserve">and 1,969 pairs gives band-holdout CV MAE of 0.952, 0.902, 0.887, and 0.893,</w:t>
      </w:r>
      <w:r>
        <w:t xml:space="preserve"> </w:t>
      </w:r>
      <w:r>
        <w:t xml:space="preserve">respectively (Supplementary Note 2); the linear model plateaus at ~1,500 pairs.</w:t>
      </w:r>
    </w:p>
    <w:p>
      <w:pPr>
        <w:pStyle w:val="BodyText"/>
      </w:pPr>
      <w:r>
        <w:rPr>
          <w:b/>
          <w:bCs/>
        </w:rPr>
        <w:t xml:space="preserve">Deployment.</w:t>
      </w:r>
      <w:r>
        <w:t xml:space="preserve"> </w:t>
      </w:r>
      <w:r>
        <w:t xml:space="preserve">The model ships as a versioned JSON file containing ridge</w:t>
      </w:r>
      <w:r>
        <w:t xml:space="preserve"> </w:t>
      </w:r>
      <w:r>
        <w:t xml:space="preserve">weights, scaling parameters, and feature order; it is embedded in the binary and</w:t>
      </w:r>
      <w:r>
        <w:t xml:space="preserve"> </w:t>
      </w:r>
      <w:r>
        <w:t xml:space="preserve">evaluated at runtime in &lt; 1 µs. All feature matrices were regenerated with the</w:t>
      </w:r>
      <w:r>
        <w:t xml:space="preserve"> </w:t>
      </w:r>
      <w:r>
        <w:t xml:space="preserve">post-rescue binary before training, so there is no version skew between the</w:t>
      </w:r>
      <w:r>
        <w:t xml:space="preserve"> </w:t>
      </w:r>
      <w:r>
        <w:t xml:space="preserve">shipped estimator and the deployed model. Calibrated output is a separate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--calibrate</w:t>
      </w:r>
      <w:r>
        <w:t xml:space="preserve">); it returns no value on</w:t>
      </w:r>
      <w:r>
        <w:t xml:space="preserve"> </w:t>
      </w:r>
      <w:r>
        <w:rPr>
          <w:rStyle w:val="VerbatimChar"/>
        </w:rPr>
        <w:t xml:space="preserve">BELOW_DETECTION</w:t>
      </w:r>
      <w:r>
        <w:t xml:space="preserve"> </w:t>
      </w:r>
      <w:r>
        <w:t xml:space="preserve">pairs rather than</w:t>
      </w:r>
      <w:r>
        <w:t xml:space="preserve"> </w:t>
      </w:r>
      <w:r>
        <w:t xml:space="preserve">extrapolating.</w:t>
      </w:r>
    </w:p>
    <w:p>
      <w:pPr>
        <w:pStyle w:val="BodyText"/>
      </w:pPr>
      <w:r>
        <w:rPr>
          <w:b/>
          <w:bCs/>
        </w:rPr>
        <w:t xml:space="preserve">Model versions.</w:t>
      </w:r>
      <w:r>
        <w:t xml:space="preserve"> </w:t>
      </w:r>
      <w:r>
        <w:t xml:space="preserve">v5 is the deployed model embedded in the Syn2bANI 0.1.0</w:t>
      </w:r>
      <w:r>
        <w:t xml:space="preserve"> </w:t>
      </w:r>
      <w:r>
        <w:t xml:space="preserve">snapshot and is trained on the 2,520 pairs described above. Benchmark</w:t>
      </w:r>
      <w:r>
        <w:t xml:space="preserve"> </w:t>
      </w:r>
      <w:r>
        <w:t xml:space="preserve">calibration v6 uses the same ridge feature set and selection protocol, but adds</w:t>
      </w:r>
      <w:r>
        <w:t xml:space="preserve"> </w:t>
      </w:r>
      <w:r>
        <w:t xml:space="preserve">1,614 usable pairs from the high-ANI training split (1,615 sampled; one pair was</w:t>
      </w:r>
      <w:r>
        <w:t xml:space="preserve"> </w:t>
      </w:r>
      <w:r>
        <w:t xml:space="preserve">dropped for non-finite model features), for</w:t>
      </w:r>
      <w:r>
        <w:t xml:space="preserve"> </w:t>
      </w:r>
      <w:r>
        <w:rPr>
          <w:rStyle w:val="VerbatimChar"/>
        </w:rPr>
        <w:t xml:space="preserve">training_n = 4,134</w:t>
      </w:r>
      <w:r>
        <w:t xml:space="preserve">. High-ANI</w:t>
      </w:r>
      <w:r>
        <w:t xml:space="preserve"> </w:t>
      </w:r>
      <w:r>
        <w:t xml:space="preserve">candidate genomes were excluded bidirectionally from the v5 training genomes and</w:t>
      </w:r>
      <w:r>
        <w:t xml:space="preserve"> </w:t>
      </w:r>
      <w:r>
        <w:t xml:space="preserve">from all genomes in the 43,334-pair hold-out before genome-level train/test</w:t>
      </w:r>
      <w:r>
        <w:t xml:space="preserve"> </w:t>
      </w:r>
      <w:r>
        <w:t xml:space="preserve">assignment. Thus the held-out benchmark and the separate 727-pair high-ANI test</w:t>
      </w:r>
      <w:r>
        <w:t xml:space="preserve"> </w:t>
      </w:r>
      <w:r>
        <w:t xml:space="preserve">split are independent of v6 training.</w:t>
      </w:r>
    </w:p>
    <w:p>
      <w:pPr>
        <w:pStyle w:val="BodyText"/>
      </w:pPr>
      <w:r>
        <w:rPr>
          <w:b/>
          <w:bCs/>
        </w:rPr>
        <w:t xml:space="preserve">Hybrid estimator threshold.</w:t>
      </w:r>
      <w:r>
        <w:t xml:space="preserve"> </w:t>
      </w:r>
      <w:r>
        <w:t xml:space="preserve">This is a post-benchmark selection audit, not an</w:t>
      </w:r>
      <w:r>
        <w:t xml:space="preserve"> </w:t>
      </w:r>
      <w:r>
        <w:t xml:space="preserve">independent evaluation of threshold choice. The raw gated estimate is more accurate than the</w:t>
      </w:r>
      <w:r>
        <w:t xml:space="preserve"> </w:t>
      </w:r>
      <w:r>
        <w:t xml:space="preserve">calibrated estimate in the near-clonal regime, whereas calibration is essential</w:t>
      </w:r>
      <w:r>
        <w:t xml:space="preserve"> </w:t>
      </w:r>
      <w:r>
        <w:t xml:space="preserve">at lower ANI. A hybrid rule was therefore evaluated: report the raw gated</w:t>
      </w:r>
      <w:r>
        <w:t xml:space="preserve"> </w:t>
      </w:r>
      <w:r>
        <w:t xml:space="preserve">estimate when it exceeds a threshold</w:t>
      </w:r>
      <w:r>
        <w:t xml:space="preserve"> </w:t>
      </w:r>
      <w:r>
        <w:rPr>
          <w:rStyle w:val="VerbatimChar"/>
        </w:rPr>
        <w:t xml:space="preserve">t</w:t>
      </w:r>
      <w:r>
        <w:t xml:space="preserve">, otherwise report the calibrated</w:t>
      </w:r>
      <w:r>
        <w:t xml:space="preserve"> </w:t>
      </w:r>
      <w:r>
        <w:t xml:space="preserve">estimate. The threshold was chosen by overall MAE on the unified 80–100% ANIm</w:t>
      </w:r>
      <w:r>
        <w:t xml:space="preserve"> </w:t>
      </w:r>
      <w:r>
        <w:t xml:space="preserve">benchmark (43,334 held-out GTDB-R207 pairs plus 727 high-ANI test pairs,</w:t>
      </w:r>
      <w:r>
        <w:t xml:space="preserve"> </w:t>
      </w:r>
      <w:r>
        <w:t xml:space="preserve">n = 40,629 pairs with non-missing raw and calibrated values):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−0.1211</w:t>
            </w:r>
          </w:p>
        </w:tc>
      </w:tr>
    </w:tbl>
    <w:p>
      <w:pPr>
        <w:pStyle w:val="BodyText"/>
      </w:pPr>
      <w:r>
        <w:t xml:space="preserve">MAE decreases sharply from 95% to 97%, then plateaus; 98% was selected as the</w:t>
      </w:r>
      <w:r>
        <w:t xml:space="preserve"> </w:t>
      </w:r>
      <w:r>
        <w:t xml:space="preserve">operating threshold because it lies on the plateau while keeping the calibrated</w:t>
      </w:r>
      <w:r>
        <w:t xml:space="preserve"> </w:t>
      </w:r>
      <w:r>
        <w:t xml:space="preserve">estimate active for the broadest range of strain-level pairs. The hybrid rule is</w:t>
      </w:r>
      <w:r>
        <w:t xml:space="preserve"> </w:t>
      </w:r>
      <w:r>
        <w:t xml:space="preserve">not sensitive to the exact threshold in the 97–99% window. Because selection and</w:t>
      </w:r>
      <w:r>
        <w:t xml:space="preserve"> </w:t>
      </w:r>
      <w:r>
        <w:t xml:space="preserve">evaluation use the same complete-case set, the corresponding Table 1 unified row</w:t>
      </w:r>
      <w:r>
        <w:t xml:space="preserve"> </w:t>
      </w:r>
      <w:r>
        <w:t xml:space="preserve">is an operational-threshold sensitivity analysis; the confirmatory claims are</w:t>
      </w:r>
      <w:r>
        <w:t xml:space="preserve"> </w:t>
      </w:r>
      <w:r>
        <w:t xml:space="preserve">the genome-disjoint raw and v6-calibrated results.</w:t>
      </w:r>
    </w:p>
    <w:bookmarkEnd w:id="36"/>
    <w:bookmarkStart w:id="37" w:name="X59d740001b6791abdcf4dea327c946dcfbb2e56"/>
    <w:p>
      <w:pPr>
        <w:pStyle w:val="Heading2"/>
      </w:pPr>
      <w:r>
        <w:t xml:space="preserve">Supplementary Note 7 — Count-based versus ratio-based structural metrics under assembly fragmentation</w:t>
      </w:r>
    </w:p>
    <w:p>
      <w:pPr>
        <w:pStyle w:val="FirstParagraph"/>
      </w:pPr>
      <w:r>
        <w:t xml:space="preserve">The choice of structural metric is not arbitrary: under assembly fragmentation,</w:t>
      </w:r>
      <w:r>
        <w:t xml:space="preserve"> </w:t>
      </w:r>
      <w:r>
        <w:t xml:space="preserve">count-based and length-weighted ratio-based statistics fail in</w:t>
      </w:r>
      <w:r>
        <w:t xml:space="preserve"> </w:t>
      </w:r>
      <w:r>
        <w:rPr>
          <w:i/>
          <w:iCs/>
        </w:rPr>
        <w:t xml:space="preserve">different</w:t>
      </w:r>
      <w:r>
        <w:t xml:space="preserve">, closed</w:t>
      </w:r>
      <w:r>
        <w:t xml:space="preserve"> </w:t>
      </w:r>
      <w:r>
        <w:t xml:space="preserve">ways. This note summarizes the general result (derived in full, with proofs and</w:t>
      </w:r>
      <w:r>
        <w:t xml:space="preserve"> </w:t>
      </w:r>
      <w:r>
        <w:t xml:space="preserve">additional measurements, in the companion Syn2b repository,</w:t>
      </w:r>
      <w:r>
        <w:t xml:space="preserve"> </w:t>
      </w:r>
      <w:r>
        <w:rPr>
          <w:rStyle w:val="VerbatimChar"/>
        </w:rPr>
        <w:t xml:space="preserve">docs/MATH_REVIEW.md</w:t>
      </w:r>
      <w:r>
        <w:t xml:space="preserve">, https://github.com/HuangShiLab/Syn2b).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Every observation process partitions a genome into contiguous observed</w:t>
      </w:r>
      <w:r>
        <w:t xml:space="preserve"> </w:t>
      </w:r>
      <w:r>
        <w:t xml:space="preserve">segments: contigs (assembly), 1-to-1 blocks (nucmer), or anchor chains (Syn2bANI).</w:t>
      </w:r>
      <w:r>
        <w:t xml:space="preserve"> </w:t>
      </w:r>
      <w:r>
        <w:t xml:space="preserve">A genome carrying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landmarks, cut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segments, has</w:t>
      </w:r>
      <w:r>
        <w:t xml:space="preserve"> </w:t>
      </w:r>
      <w:r>
        <w:rPr>
          <w:rStyle w:val="VerbatimChar"/>
        </w:rPr>
        <w:t xml:space="preserve">K − 1</w:t>
      </w:r>
      <w:r>
        <w:t xml:space="preserve"> </w:t>
      </w:r>
      <w:r>
        <w:t xml:space="preserve">internal</w:t>
      </w:r>
      <w:r>
        <w:t xml:space="preserve"> </w:t>
      </w:r>
      <w:r>
        <w:t xml:space="preserve">boundaries at which adjacency information is absent — not contradicted.</w:t>
      </w:r>
    </w:p>
    <w:p>
      <w:pPr>
        <w:pStyle w:val="BodyText"/>
      </w:pPr>
      <w:r>
        <w:rPr>
          <w:b/>
          <w:bCs/>
        </w:rPr>
        <w:t xml:space="preserve">Transition counts acquire a term linear in K.</w:t>
      </w:r>
      <w:r>
        <w:t xml:space="preserve"> </w:t>
      </w:r>
      <w:r>
        <w:t xml:space="preserve">Observable adjacencies drop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(circular) to</w:t>
      </w:r>
      <w:r>
        <w:t xml:space="preserve"> </w:t>
      </w:r>
      <w:r>
        <w:rPr>
          <w:rStyle w:val="VerbatimChar"/>
        </w:rPr>
        <w:t xml:space="preserve">S − K</w:t>
      </w:r>
      <w:r>
        <w:t xml:space="preserve">, so any statistic that counts transitions —</w:t>
      </w:r>
      <w:r>
        <w:t xml:space="preserve"> </w:t>
      </w:r>
      <w:r>
        <w:t xml:space="preserve">junctions, breakpoints, blocks, chain ends — has</w:t>
      </w:r>
    </w:p>
    <w:p>
      <w:pPr>
        <w:pStyle w:val="SourceCode"/>
      </w:pPr>
      <w:r>
        <w:rPr>
          <w:rStyle w:val="VerbatimChar"/>
        </w:rPr>
        <w:t xml:space="preserve">E[T] = T_true + c·(K − 1) + …</w:t>
      </w:r>
    </w:p>
    <w:p>
      <w:pPr>
        <w:pStyle w:val="FirstParagraph"/>
      </w:pPr>
      <w:r>
        <w:t xml:space="preserve">where the constant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decided by one design choice: is an absent adjacency</w:t>
      </w:r>
      <w:r>
        <w:t xml:space="preserve"> </w:t>
      </w:r>
      <w:r>
        <w:t xml:space="preserve">counted as a contradicted one? Measured values of</w:t>
      </w:r>
      <w:r>
        <w:t xml:space="preserve"> </w:t>
      </w:r>
      <w:r>
        <w:rPr>
          <w:rStyle w:val="VerbatimChar"/>
        </w:rPr>
        <w:t xml:space="preserve">c</w:t>
      </w:r>
      <w:r>
        <w:t xml:space="preserve">: counting absence as a</w:t>
      </w:r>
      <w:r>
        <w:t xml:space="preserve"> </w:t>
      </w:r>
      <w:r>
        <w:t xml:space="preserve">junction gives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(119 false junctions on a 120-contig assembly of a genome</w:t>
      </w:r>
      <w:r>
        <w:t xml:space="preserve"> </w:t>
      </w:r>
      <w:r>
        <w:t xml:space="preserve">against itself); dnadiff</w:t>
      </w:r>
      <w:r>
        <w:t xml:space="preserve"> </w:t>
      </w:r>
      <w:r>
        <w:rPr>
          <w:rStyle w:val="VerbatimChar"/>
        </w:rPr>
        <w:t xml:space="preserve">Breakpoints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by construction (intercept 290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dnadiff_breakpoints = 5.35·breakpoint_count + 290</w:t>
      </w:r>
      <w:r>
        <w:t xml:space="preserve">, with median 92 where</w:t>
      </w:r>
      <w:r>
        <w:t xml:space="preserve"> </w:t>
      </w:r>
      <w:r>
        <w:t xml:space="preserve">Syn2bANI reports zero); requiring a positive contradiction before counting a</w:t>
      </w:r>
      <w:r>
        <w:t xml:space="preserve"> </w:t>
      </w:r>
      <w:r>
        <w:t xml:space="preserve">junction gives</w:t>
      </w:r>
      <w:r>
        <w:t xml:space="preserve"> </w:t>
      </w:r>
      <w:r>
        <w:rPr>
          <w:rStyle w:val="VerbatimChar"/>
        </w:rPr>
        <w:t xml:space="preserve">c = 0</w:t>
      </w:r>
      <w:r>
        <w:t xml:space="preserve"> </w:t>
      </w:r>
      <w:r>
        <w:t xml:space="preserve">(zero false junctions up to K = 1,000). The term is</w:t>
      </w:r>
      <w:r>
        <w:t xml:space="preserve"> </w:t>
      </w:r>
      <w:r>
        <w:t xml:space="preserve">therefore removable in principle, not merely reducible.</w:t>
      </w:r>
    </w:p>
    <w:p>
      <w:pPr>
        <w:pStyle w:val="BodyText"/>
      </w:pPr>
      <w:r>
        <w:rPr>
          <w:b/>
          <w:bCs/>
        </w:rPr>
        <w:t xml:space="preserve">Length-weighted ratios are invariant to K.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F = Σ_{i∈P} ℓ_i / Σ_i ℓ_i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property that splitting preserves</w:t>
      </w:r>
      <w:r>
        <w:t xml:space="preserve"> </w:t>
      </w:r>
      <w:r>
        <w:t xml:space="preserve">(</w:t>
      </w:r>
      <w:r>
        <w:t xml:space="preserve">“this segment is inverted relative to the other genome”</w:t>
      </w:r>
      <w:r>
        <w:t xml:space="preserve"> </w:t>
      </w:r>
      <w:r>
        <w:t xml:space="preserve">is one). Splitting a</w:t>
      </w:r>
      <w:r>
        <w:t xml:space="preserve"> </w:t>
      </w:r>
      <w:r>
        <w:t xml:space="preserve">segment leaves both sums unchanged, so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does not depend on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at all — no</w:t>
      </w:r>
      <w:r>
        <w:t xml:space="preserve"> </w:t>
      </w:r>
      <w:r>
        <w:t xml:space="preserve">correction term exists to get wrong. Measured: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reads 0.000 on</w:t>
      </w:r>
      <w:r>
        <w:t xml:space="preserve"> </w:t>
      </w:r>
      <w:r>
        <w:t xml:space="preserve">a 120-contig self-assembly and regresses on the true inverted base-pair fraction</w:t>
      </w:r>
      <w:r>
        <w:t xml:space="preserve"> </w:t>
      </w:r>
      <w:r>
        <w:t xml:space="preserve">at slope 0.97, R² = 0.999 across a 512-fold range of event lengths and 0–5%</w:t>
      </w:r>
      <w:r>
        <w:t xml:space="preserve"> </w:t>
      </w:r>
      <w:r>
        <w:t xml:space="preserve">divergence. The price is that a ratio carries no event count and saturates past</w:t>
      </w:r>
      <w:r>
        <w:t xml:space="preserve"> </w:t>
      </w:r>
      <w:r>
        <w:t xml:space="preserve">50% inverted. Counts and ratios are therefore complementary with disjoint failure</w:t>
      </w:r>
      <w:r>
        <w:t xml:space="preserve"> </w:t>
      </w:r>
      <w:r>
        <w:t xml:space="preserve">modes: counts localize events but are fragile to fragmentation; ratios are</w:t>
      </w:r>
      <w:r>
        <w:t xml:space="preserve"> </w:t>
      </w:r>
      <w:r>
        <w:t xml:space="preserve">fragmentation-invariant but blind to event number. Syn2bANI reports both and does</w:t>
      </w:r>
      <w:r>
        <w:t xml:space="preserve"> </w:t>
      </w:r>
      <w:r>
        <w:t xml:space="preserve">not derive one from the other. For comparison with a fixed-reference alignment</w:t>
      </w:r>
      <w:r>
        <w:t xml:space="preserve"> </w:t>
      </w:r>
      <w:r>
        <w:t xml:space="preserve">method, the reference-oriented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(range [0, 1], the direct</w:t>
      </w:r>
      <w:r>
        <w:t xml:space="preserve"> </w:t>
      </w:r>
      <w:r>
        <w:t xml:space="preserve">analog of the alignment-based inverted aligned fraction) is used; for undirected</w:t>
      </w:r>
      <w:r>
        <w:t xml:space="preserve"> </w:t>
      </w:r>
      <w:r>
        <w:t xml:space="preserve">all-vs-all screens the mirror-corrected</w:t>
      </w:r>
      <w:r>
        <w:t xml:space="preserve"> </w:t>
      </w:r>
      <w:r>
        <w:rPr>
          <w:rStyle w:val="VerbatimChar"/>
        </w:rPr>
        <w:t xml:space="preserve">min(raw, 1 − raw)</w:t>
      </w:r>
      <w:r>
        <w:t xml:space="preserve"> </w:t>
      </w:r>
      <w:r>
        <w:t xml:space="preserve">is appropriate</w:t>
      </w:r>
      <w:r>
        <w:t xml:space="preserve"> </w:t>
      </w:r>
      <w:r>
        <w:t xml:space="preserve">(Supplementary Fig. S14).</w:t>
      </w:r>
    </w:p>
    <w:p>
      <w:pPr>
        <w:pStyle w:val="BodyText"/>
      </w:pPr>
      <w:r>
        <w:rPr>
          <w:b/>
          <w:bCs/>
        </w:rPr>
        <w:t xml:space="preserve">Corollary: the sensitivity discount, in closed form.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 = 0</w:t>
      </w:r>
      <w:r>
        <w:t xml:space="preserve">, what</w:t>
      </w:r>
      <w:r>
        <w:t xml:space="preserve"> </w:t>
      </w:r>
      <w:r>
        <w:t xml:space="preserve">remains is a loss of sensitivity — junctions falling at segment boundaries are</w:t>
      </w:r>
      <w:r>
        <w:t xml:space="preserve"> </w:t>
      </w:r>
      <w:r>
        <w:t xml:space="preserve">invisible. That share is exactly the observable adjacency fraction,</w:t>
      </w:r>
      <w:r>
        <w:t xml:space="preserve"> </w:t>
      </w:r>
      <w:r>
        <w:rPr>
          <w:rStyle w:val="VerbatimChar"/>
        </w:rPr>
        <w:t xml:space="preserve">observable_fraction ≈ 1 − (K − 1)/S</w:t>
      </w:r>
      <w:r>
        <w:t xml:space="preserve">, exact to four decimals up to K = 300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with the default panel, and an unbiased predictor of surviving junctions</w:t>
      </w:r>
      <w:r>
        <w:t xml:space="preserve"> </w:t>
      </w:r>
      <w:r>
        <w:t xml:space="preserve">(mean error −0.31, sd 1.26 against a binomial sampling sd of ≈1.5 at a truth of</w:t>
      </w:r>
      <w:r>
        <w:t xml:space="preserve"> </w:t>
      </w:r>
      <w:r>
        <w:t xml:space="preserve">10, over 16 fragmentation levels). In scale-free form: recovery is essentially</w:t>
      </w:r>
      <w:r>
        <w:t xml:space="preserve"> </w:t>
      </w:r>
      <w:r>
        <w:t xml:space="preserve">complete while segments hold ≳10 landmarks, i.e. contig N50 ≳ 10× the landmark</w:t>
      </w:r>
      <w:r>
        <w:t xml:space="preserve"> </w:t>
      </w:r>
      <w:r>
        <w:t xml:space="preserve">spacing (~15 kb for the default four-enzyme panel).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2026-10-21T04:09:26Z</dcterms:created>
  <dcterms:modified xsi:type="dcterms:W3CDTF">2026-10-21T04:09:26Z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