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anchor-adjacency conservation score, breakpoint counts, inversion/translocation calls, and indel sizes.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Case studies show that these structural outputs distinguish phenotype- and lineage-associated loci and rearrangements that genome-wide ANI cannot.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pipelines16,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3"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 A threshold sweep shows the boundary is not critical: 97% gives MAE 0.619, 98% gives 0.615, and 99% gives 0.614.</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several structurally informative quantities from the same anchor chains.</w:t>
      </w:r>
      <w:r>
        <w:t xml:space="preserve"> </w:t>
      </w:r>
      <w:r>
        <w:rPr>
          <w:rStyle w:val="VerbatimChar"/>
        </w:rPr>
        <w:t xml:space="preserve">raw_inverted_fraction</w:t>
      </w:r>
      <w:r>
        <w:t xml:space="preserve"> </w:t>
      </w:r>
      <w:r>
        <w:t xml:space="preserve">is the primary length-weighted rearrangement signal: it measures the fraction of the shared genome that maps in the reverse orientation and is invariant to assembly fragmentation.</w:t>
      </w:r>
      <w:r>
        <w:t xml:space="preserve"> </w:t>
      </w:r>
      <w:r>
        <w:rPr>
          <w:rStyle w:val="VerbatimChar"/>
        </w:rPr>
        <w:t xml:space="preserve">breakpoint_count</w:t>
      </w:r>
      <w:r>
        <w:t xml:space="preserve"> </w:t>
      </w:r>
      <w:r>
        <w:t xml:space="preserve">is a count-based descriptor of chain-disrupting orientation flips, reference-order violations, and large indels; it is useful but must be interpreted with contig-count control because fragmented assemblies inflate it.</w:t>
      </w:r>
      <w:r>
        <w:t xml:space="preserve"> </w:t>
      </w:r>
      <w:r>
        <w:rPr>
          <w:rStyle w:val="VerbatimChar"/>
        </w:rPr>
        <w:t xml:space="preserve">anchor_adjacency</w:t>
      </w:r>
      <w:r>
        <w:t xml:space="preserve"> </w:t>
      </w:r>
      <w:r>
        <w:t xml:space="preserve">is a local anchor-order conservation metric, not a proxy for base-pair synteny.</w:t>
      </w:r>
      <w:r>
        <w:t xml:space="preserve"> </w:t>
      </w:r>
      <w:r>
        <w:rPr>
          <w:rStyle w:val="VerbatimChar"/>
        </w:rPr>
        <w:t xml:space="preserve">af_query</w:t>
      </w:r>
      <w:r>
        <w:t xml:space="preserve"> </w:t>
      </w:r>
      <w:r>
        <w:t xml:space="preserve">is the base-pair fraction of the query covered by chains and corresponds to alignment-based aligned fraction.</w:t>
      </w:r>
      <w:r>
        <w:t xml:space="preserve"> </w:t>
      </w:r>
      <w:r>
        <w:rPr>
          <w:rStyle w:val="VerbatimChar"/>
        </w:rPr>
        <w:t xml:space="preserve">synteny_blocks</w:t>
      </w:r>
      <w:r>
        <w:t xml:space="preserve"> </w:t>
      </w:r>
      <w:r>
        <w:t xml:space="preserve">is the raw chain count and is reported as an assembly-structure diagnostic rather than a rearrangement metric.</w:t>
      </w:r>
    </w:p>
    <w:p>
      <w:pPr>
        <w:pStyle w:val="BodyText"/>
      </w:pPr>
      <w:r>
        <w:t xml:space="preserve">We quantified the ANI–structure decoupling on four published isolate collections from a recent synteny-based strain-tracking study10. In a longitudinal</w:t>
      </w:r>
      <w:r>
        <w:t xml:space="preserve"> </w:t>
      </w:r>
      <w:r>
        <w:rPr>
          <w:i/>
          <w:iCs/>
        </w:rPr>
        <w:t xml:space="preserve">E. coli</w:t>
      </w:r>
      <w:r>
        <w:t xml:space="preserve"> </w:t>
      </w:r>
      <w:r>
        <w:t xml:space="preserve">hypermutator lineage, every cross-time pair with ANI &gt;99.9% shows 850–1,130 Syn2bANI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carry 44–63 breakpoints in the lowest-synteny cases.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6c,d).</w:t>
      </w:r>
    </w:p>
    <w:p>
      <w:pPr>
        <w:pStyle w:val="BodyText"/>
      </w:pPr>
      <w:r>
        <w:t xml:space="preserve">Two additional isolate collections reinforce the point at even higher ANI. In 74</w:t>
      </w:r>
      <w:r>
        <w:t xml:space="preserve"> </w:t>
      </w:r>
      <w:r>
        <w:rPr>
          <w:i/>
          <w:iCs/>
        </w:rPr>
        <w:t xml:space="preserve">E. coli</w:t>
      </w:r>
      <w:r>
        <w:t xml:space="preserve"> </w:t>
      </w:r>
      <w:r>
        <w:t xml:space="preserve">O157:H7 genomes from a global source surveillance study (Fitzgerald et al., 2021), all 2,701 pairwise ANIs are ≥99.886%, yet every pair carries ≥171 breakpoints and the most structurally divergent pairs exceed 1,100 breakpoints at ANI &gt;99.9% (Supplementary Fig. S15). The human-source isolates carry fewer breakpoints on average than bovine isolates (mean 410 vs 494), suggesting that host-restricted sub-lineages differ in recombination history even when ANI cannot separate them. In 122 FDA-ARGOS</w:t>
      </w:r>
      <w:r>
        <w:t xml:space="preserve"> </w:t>
      </w:r>
      <w:r>
        <w:rPr>
          <w:i/>
          <w:iCs/>
        </w:rPr>
        <w:t xml:space="preserve">Staphylococcus aureus</w:t>
      </w:r>
      <w:r>
        <w:t xml:space="preserve"> </w:t>
      </w:r>
      <w:r>
        <w:t xml:space="preserve">genomes, 7,381 refined pairs have mean ANI 98.72% and mean breakpoint count 24, with pairs at 100% ANI still showing &gt;150 breakpoints (Supplementary Fig. S16). These collections are not exceptional: they exemplify why an ANI-only similarity search can return genomes that are nearly identical in average sequence but differ by hundreds of rearrangements.</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After controlling for assembly contig count and ANIm divergence, Syn2bANI</w:t>
      </w:r>
      <w:r>
        <w:t xml:space="preserve"> </w:t>
      </w:r>
      <w:r>
        <w:rPr>
          <w:rStyle w:val="VerbatimChar"/>
        </w:rPr>
        <w:t xml:space="preserve">breakpoint_count</w:t>
      </w:r>
      <w:r>
        <w:t xml:space="preserve"> </w:t>
      </w:r>
      <w:r>
        <w:t xml:space="preserve">shows a partial correlation of r = 0.414 with dnadiff breakpoints and r = 0.453 with dnadiff large indels (&gt;10 kb). The signal strengthens in the strain-level range: among pairs with ANIm ≥ 95%,</w:t>
      </w:r>
      <w:r>
        <w:t xml:space="preserve"> </w:t>
      </w:r>
      <w:r>
        <w:rPr>
          <w:rStyle w:val="VerbatimChar"/>
        </w:rPr>
        <w:t xml:space="preserve">breakpoint_count</w:t>
      </w:r>
      <w:r>
        <w:t xml:space="preserve"> </w:t>
      </w:r>
      <w:r>
        <w:t xml:space="preserve">correlates with dnadiff large indels at Spearman ρ = 0.674. The base-pair coverage metric</w:t>
      </w:r>
      <w:r>
        <w:t xml:space="preserve"> </w:t>
      </w:r>
      <w:r>
        <w:rPr>
          <w:rStyle w:val="VerbatimChar"/>
        </w:rPr>
        <w:t xml:space="preserve">af_query</w:t>
      </w:r>
      <w:r>
        <w:t xml:space="preserve"> </w:t>
      </w:r>
      <w:r>
        <w:t xml:space="preserve">correlates with dnadiff and minimap2 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and only weakly correlated with base-pair synteny/coverage scores; it should be read as a separate anchor-order statistic, not as a proxy for base-pair synteny.</w:t>
      </w:r>
      <w:r>
        <w:t xml:space="preserve"> </w:t>
      </w:r>
      <w:r>
        <w:rPr>
          <w:rStyle w:val="VerbatimChar"/>
        </w:rPr>
        <w:t xml:space="preserve">synteny_blocks</w:t>
      </w:r>
      <w:r>
        <w:t xml:space="preserve"> </w:t>
      </w:r>
      <w:r>
        <w:t xml:space="preserve">(the raw chain count) is dominated by assembly fragmentation (62% of its variance tracks contig count) and is therefore reported as an assembly-structure diagnostic rather than a rearrangement metric. The mathematical distinction between count-based and ratio-based synteny metrics, and the fragmentation invariance of the latter, is derived in the companion Syn2b repository (</w:t>
      </w:r>
      <w:r>
        <w:rPr>
          <w:rStyle w:val="VerbatimChar"/>
        </w:rPr>
        <w:t xml:space="preserve">docs/MATH_REVIEW.md</w:t>
      </w:r>
      <w:r>
        <w:t xml:space="preserve">; https://github.com/HuangShiLab/Syn2b).</w:t>
      </w:r>
    </w:p>
    <w:p>
      <w:pPr>
        <w:pStyle w:val="BodyText"/>
      </w:pPr>
      <w:r>
        <w:t xml:space="preserve">A length-weighted orientation metric,</w:t>
      </w:r>
      <w:r>
        <w:t xml:space="preserve"> </w:t>
      </w:r>
      <w:r>
        <w:rPr>
          <w:rStyle w:val="VerbatimChar"/>
        </w:rPr>
        <w:t xml:space="preserve">inverted_fraction</w:t>
      </w:r>
      <w:r>
        <w:t xml:space="preserve">, avoids the fragmentation confounder by construction. In fixed-reference mode it agrees one-to-one with dnadiff across the held-out set (Pearson r = 0.936) and is near-exact in the strain range (r = 0.996, slope 1.006, intercept −0.004 for ANIm ≥ 97%; Supplementary Fig. S14). A closed-form standard-error model based on the number of shared landmarks reproduces the observed spread (R² = 0.999 across divergence bins), so each reported inversion fraction can carry its own uncertainty. The detection-power limits underlying these resolution numbers are characterized in</w:t>
      </w:r>
      <w:r>
        <w:t xml:space="preserve"> </w:t>
      </w:r>
      <w:r>
        <w:rPr>
          <w:rStyle w:val="VerbatimChar"/>
        </w:rPr>
        <w:t xml:space="preserve">docs/PHASE2_DETECTION_POWER.md</w:t>
      </w:r>
      <w:r>
        <w:t xml:space="preserve"> </w:t>
      </w:r>
      <w:r>
        <w:t xml:space="preserve">of the same repository (https://github.com/HuangShiLab/Syn2b).</w:t>
      </w:r>
    </w:p>
    <w:p>
      <w:pPr>
        <w:pStyle w:val="BodyText"/>
      </w:pPr>
      <w:r>
        <w:t xml:space="preserve">On an engineered</w:t>
      </w:r>
      <w:r>
        <w:t xml:space="preserve"> </w:t>
      </w:r>
      <w:r>
        <w:rPr>
          <w:i/>
          <w:iCs/>
        </w:rPr>
        <w:t xml:space="preserve">H. pylori</w:t>
      </w:r>
      <w:r>
        <w:t xml:space="preserve"> </w:t>
      </w:r>
      <w:r>
        <w:t xml:space="preserve">cagPAI test panel, a 36,154 bp deletion/insertion is recovered as a single insertion call of 36,154 bp (Supplementary Fig. S12).</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X3b2998716b6c25b524acc27a4ab539ef1aae1e0"/>
    <w:p>
      <w:pPr>
        <w:pStyle w:val="Heading3"/>
      </w:pPr>
      <w:r>
        <w:t xml:space="preserve">cagPAI architecture in</w:t>
      </w:r>
      <w:r>
        <w:t xml:space="preserve"> </w:t>
      </w:r>
      <w:r>
        <w:rPr>
          <w:i/>
          <w:iCs/>
        </w:rPr>
        <w:t xml:space="preserve">H. pylori</w:t>
      </w:r>
      <w:r>
        <w:t xml:space="preserve"> </w:t>
      </w:r>
      <w:r>
        <w:t xml:space="preserve">is invisible to ANI and tracks lineage</w:t>
      </w:r>
    </w:p>
    <w:p>
      <w:pPr>
        <w:pStyle w:val="FirstParagraph"/>
      </w:pPr>
      <w:r>
        <w:t xml:space="preserve">The</w:t>
      </w:r>
      <w:r>
        <w:t xml:space="preserve"> </w:t>
      </w:r>
      <w:r>
        <w:rPr>
          <w:i/>
          <w:iCs/>
        </w:rPr>
        <w:t xml:space="preserve">Helicobacter pylori</w:t>
      </w:r>
      <w:r>
        <w:t xml:space="preserve"> </w:t>
      </w:r>
      <w:r>
        <w:t xml:space="preserve">cagPAI pathogenicity island is a classic example of a functionally important locus whose presence and architecture are lost in a genome-wide ANI average. We combined marker-gene presence/absence with</w:t>
      </w:r>
      <w:r>
        <w:t xml:space="preserve"> </w:t>
      </w:r>
      <w:r>
        <w:rPr>
          <w:rStyle w:val="VerbatimChar"/>
        </w:rPr>
        <w:t xml:space="preserve">syn2bani struct</w:t>
      </w:r>
      <w:r>
        <w:t xml:space="preserve"> </w:t>
      </w:r>
      <w:r>
        <w:t xml:space="preserve">calls inside the cagPAI coordinates (NC_000915.1: 547,327–583,481) for 528 genomes from a recent gastric-cancer risk study. The extended state was validated on an engineered nine-strain panel (wild-type, ΔcagPAI, inversion, translocation, and mutated backgrounds) and classified all controls correctly.</w:t>
      </w:r>
    </w:p>
    <w:p>
      <w:pPr>
        <w:pStyle w:val="BodyText"/>
      </w:pPr>
      <w:r>
        <w:t xml:space="preserve">Among the 528 isolates, 85 (16.1%) lacked the island (</w:t>
      </w:r>
      <w:r>
        <w:rPr>
          <w:rStyle w:val="VerbatimChar"/>
        </w:rPr>
        <w:t xml:space="preserve">empty</w:t>
      </w:r>
      <w:r>
        <w:t xml:space="preserve">), 11 (2.1%) were</w:t>
      </w:r>
      <w:r>
        <w:t xml:space="preserve"> </w:t>
      </w:r>
      <w:r>
        <w:rPr>
          <w:rStyle w:val="VerbatimChar"/>
        </w:rPr>
        <w:t xml:space="preserve">partial</w:t>
      </w:r>
      <w:r>
        <w:t xml:space="preserve">, 145 (27.5%) retained a collinear complete island (</w:t>
      </w:r>
      <w:r>
        <w:rPr>
          <w:rStyle w:val="VerbatimChar"/>
        </w:rPr>
        <w:t xml:space="preserve">complete_collinear</w:t>
      </w:r>
      <w:r>
        <w:t xml:space="preserve">), and 287 (54.4%) retained the markers but carried a local inversion or translocation inside cagPAI (</w:t>
      </w:r>
      <w:r>
        <w:rPr>
          <w:rStyle w:val="VerbatimChar"/>
        </w:rPr>
        <w:t xml:space="preserve">complete_rearranged</w:t>
      </w:r>
      <w:r>
        <w:t xml:space="preserve">; Fig. 8a). The remaining 133 complete-marker genomes that were originally classified as rearranged carried a single genome-spanning call consistent with a different arbitrary start coordinate on the circular</w:t>
      </w:r>
      <w:r>
        <w:t xml:space="preserve"> </w:t>
      </w:r>
      <w:r>
        <w:rPr>
          <w:i/>
          <w:iCs/>
        </w:rPr>
        <w:t xml:space="preserve">H. pylori</w:t>
      </w:r>
      <w:r>
        <w:t xml:space="preserve"> </w:t>
      </w:r>
      <w:r>
        <w:t xml:space="preserve">chromosome; these were reclassified as collinear after circular-origin filtering (Online Methods). The extended state remained strongly associated with FastBAPS lineage (χ² = 58.75, df = 12, p = 3.8 × 10⁻⁸), but the disease-stage association was attenuated and no longer significant after stratifying by lineage (Cochran–Mantel–Haenszel p = 0.24 for gastric-cancer vs non-atrophic-gastritis presence, p = 0.37 for rearrangement, p = 0.21 and p = 0.49 for the advanced vs early contrasts; Supplementary Table S8). Thus, the architecture–disease signal in this collection is largely driven by lineage structure, not by disease stage per se. The key biological result that survives stratification is lineage-associated cagPAI presence/absence:</w:t>
      </w:r>
      <w:r>
        <w:t xml:space="preserve"> </w:t>
      </w:r>
      <w:r>
        <w:rPr>
          <w:rStyle w:val="VerbatimChar"/>
        </w:rPr>
        <w:t xml:space="preserve">empty</w:t>
      </w:r>
      <w:r>
        <w:t xml:space="preserve"> </w:t>
      </w:r>
      <w:r>
        <w:t xml:space="preserve">rates range from 4% in FastBAPS L2 to 33% in L6. Because all pairwise ANIs in this collection are &gt;95%, these presence/absence and architecture patterns are invisible to ANI-only tools and illustrate how Syn2bANI’s structural output can reveal genotype–population relationships that ANI alone cannot.</w:t>
      </w:r>
    </w:p>
    <w:bookmarkEnd w:id="21"/>
    <w:bookmarkStart w:id="22"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that is stated openly.</w:t>
      </w:r>
    </w:p>
    <w:p>
      <w:r>
        <w:pict>
          <v:rect style="width:0;height:1.5pt" o:hralign="center" o:hrstd="t" o:hr="t"/>
        </w:pict>
      </w:r>
    </w:p>
    <w:bookmarkEnd w:id="22"/>
    <w:bookmarkEnd w:id="23"/>
    <w:bookmarkStart w:id="24"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Syn2bANI reports both count-based descriptors (</w:t>
      </w:r>
      <w:r>
        <w:rPr>
          <w:rStyle w:val="VerbatimChar"/>
        </w:rPr>
        <w:t xml:space="preserve">breakpoint_count</w:t>
      </w:r>
      <w:r>
        <w:t xml:space="preserve">, SV calls) and a fragmentation-invariant length-weighted orientation ratio (</w:t>
      </w:r>
      <w:r>
        <w:rPr>
          <w:rStyle w:val="VerbatimChar"/>
        </w:rPr>
        <w:t xml:space="preserve">raw_inverted_fraction</w:t>
      </w:r>
      <w:r>
        <w:t xml:space="preserve">). These are complementary: counts localize events but are inflated by assembly fragmentation, whereas ratios are robust to fragmentation but do not report event number. For circular chromosomes, genome-spanning calls must be filtered as likely coordinate-system artifacts before biological interpretation.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4"/>
    <w:bookmarkStart w:id="36" w:name="online-methods"/>
    <w:p>
      <w:pPr>
        <w:pStyle w:val="Heading2"/>
      </w:pPr>
      <w:r>
        <w:t xml:space="preserve">Online Methods</w:t>
      </w:r>
    </w:p>
    <w:bookmarkStart w:id="25"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The default four-enzyme panel was chosen from the 16-member 2bRAD-M catalog by a greedy search that maximized GTDB-R207 ANIm calibration accuracy while keeping tag density and runtime low. Among single-enzyme candidates, BcgI gave the best individual accuracy; adding AlfI, AloI, and FalI in turn reduced per-band MAE by improving genomic coverage and balancing recognition-site GC composition. Panels beyond four enzymes gave diminishing returns (&lt;0.05 MAE improvement) and increased runtime, so the four-enzyme set is shipped as the default. All 16 enzymes remain selectable via the</w:t>
      </w:r>
      <w:r>
        <w:t xml:space="preserve"> </w:t>
      </w:r>
      <w:r>
        <w:rPr>
          <w:rStyle w:val="VerbatimChar"/>
        </w:rPr>
        <w:t xml:space="preserve">--enzymes</w:t>
      </w:r>
      <w:r>
        <w:t xml:space="preserve"> </w:t>
      </w:r>
      <w:r>
        <w:t xml:space="preserve">flag.</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5"/>
    <w:bookmarkStart w:id="26"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6"/>
    <w:bookmarkStart w:id="27" w:name="Xc84f212d8323a8f017575d3d7a92fc22fb23227"/>
    <w:p>
      <w:pPr>
        <w:pStyle w:val="Heading3"/>
      </w:pPr>
      <w:r>
        <w:t xml:space="preserve">Chain-restricted stratified MLE, gating, and flags</w:t>
      </w:r>
    </w:p>
    <w:p>
      <w:pPr>
        <w:pStyle w:val="FirstParagraph"/>
      </w:pPr>
      <w:r>
        <w:t xml:space="preserve">The estimator is a chain-restricted maximum-likelihood fit to per-enzyme tag</w:t>
      </w:r>
      <w:r>
        <w:t xml:space="preserve"> </w:t>
      </w:r>
      <w:r>
        <w:t xml:space="preserve">outcomes. For each stratum, tags inside chains are classified as found with 0,</w:t>
      </w:r>
      <w:r>
        <w:t xml:space="preserve"> </w:t>
      </w:r>
      <w:r>
        <w:t xml:space="preserve">1, or 2 body mismatches, or missing; the per-base identity</w:t>
      </w:r>
      <w:r>
        <w:t xml:space="preserve"> </w:t>
      </w:r>
      <w:r>
        <w:rPr>
          <w:rStyle w:val="VerbatimChar"/>
        </w:rPr>
        <w:t xml:space="preserve">a</w:t>
      </w:r>
      <w:r>
        <w:t xml:space="preserve"> </w:t>
      </w:r>
      <w:r>
        <w:t xml:space="preserve">is found by</w:t>
      </w:r>
      <w:r>
        <w:t xml:space="preserve"> </w:t>
      </w:r>
      <w:r>
        <w:t xml:space="preserve">golden-section search on a likelihood that respects the recognition-site</w:t>
      </w:r>
      <w:r>
        <w:t xml:space="preserve"> </w:t>
      </w:r>
      <w:r>
        <w:t xml:space="preserve">geometry (a site mutation deletes the tag, so only body mismatches are</w:t>
      </w:r>
      <w:r>
        <w:t xml:space="preserve"> </w:t>
      </w:r>
      <w:r>
        <w:t xml:space="preserve">observable). A gamma rate-heterogeneity extension is available but is</w:t>
      </w:r>
      <w:r>
        <w:t xml:space="preserve"> </w:t>
      </w:r>
      <w:r>
        <w:rPr>
          <w:b/>
          <w:bCs/>
        </w:rPr>
        <w:t xml:space="preserve">gated</w:t>
      </w:r>
      <w:r>
        <w:t xml:space="preserve"> </w:t>
      </w:r>
      <w:r>
        <w:t xml:space="preserve">by an effect-size test on the two partial estimators (</w:t>
      </w:r>
      <w:r>
        <w:rPr>
          <w:rStyle w:val="VerbatimChar"/>
        </w:rPr>
        <w:t xml:space="preserve">ani_from_loss</w:t>
      </w:r>
      <w:r>
        <w:t xml:space="preserve"> </w:t>
      </w:r>
      <w:r>
        <w:t xml:space="preserve">from the</w:t>
      </w:r>
      <w:r>
        <w:t xml:space="preserve"> </w:t>
      </w:r>
      <w:r>
        <w:t xml:space="preserve">miss channel and</w:t>
      </w:r>
      <w:r>
        <w:t xml:space="preserve"> </w:t>
      </w:r>
      <w:r>
        <w:rPr>
          <w:rStyle w:val="VerbatimChar"/>
        </w:rPr>
        <w:t xml:space="preserve">ani_from_hist</w:t>
      </w:r>
      <w:r>
        <w:t xml:space="preserve"> </w:t>
      </w:r>
      <w:r>
        <w:t xml:space="preserve">from the mismatch histogram): when they diverge</w:t>
      </w:r>
      <w:r>
        <w:t xml:space="preserve"> </w:t>
      </w:r>
      <w:r>
        <w:t xml:space="preserve">by more than 5 ANI points the method reports the homogeneous fit, otherwise the</w:t>
      </w:r>
      <w:r>
        <w:t xml:space="preserve"> </w:t>
      </w:r>
      <w:r>
        <w:t xml:space="preserve">gamma fit. The threshold was chosen at the flat optimum of a sweep on the</w:t>
      </w:r>
      <w:r>
        <w:t xml:space="preserve"> </w:t>
      </w:r>
      <w:r>
        <w:t xml:space="preserve">GTDB-ANIm training matrix. The hierarchical</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w:t>
      </w:r>
      <w:r>
        <w:t xml:space="preserve"> </w:t>
      </w:r>
      <w:r>
        <w:rPr>
          <w:rStyle w:val="VerbatimChar"/>
        </w:rPr>
        <w:t xml:space="preserve">INCONSISTENT</w:t>
      </w:r>
      <w:r>
        <w:t xml:space="preserve"> </w:t>
      </w:r>
      <w:r>
        <w:t xml:space="preserve">(gate fallback or</w:t>
      </w:r>
      <w:r>
        <w:t xml:space="preserve"> </w:t>
      </w:r>
      <w:r>
        <w:t xml:space="preserve">&gt; 0.5 breakpoints per anchor), or</w:t>
      </w:r>
      <w:r>
        <w:t xml:space="preserve"> </w:t>
      </w:r>
      <w:r>
        <w:rPr>
          <w:rStyle w:val="VerbatimChar"/>
        </w:rPr>
        <w:t xml:space="preserve">ok</w:t>
      </w:r>
      <w:r>
        <w:t xml:space="preserve">. Full formulas, the negative-binomial</w:t>
      </w:r>
      <w:r>
        <w:t xml:space="preserve"> </w:t>
      </w:r>
      <w:r>
        <w:t xml:space="preserve">derivation, and the gating/flag rationale are given in Supplementary Note 4.</w:t>
      </w:r>
    </w:p>
    <w:bookmarkEnd w:id="27"/>
    <w:bookmarkStart w:id="28"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8"/>
    <w:bookmarkStart w:id="29"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9"/>
    <w:bookmarkStart w:id="30" w:name="ridge-calibration-protocol"/>
    <w:p>
      <w:pPr>
        <w:pStyle w:val="Heading3"/>
      </w:pPr>
      <w:r>
        <w:t xml:space="preserve">Ridge calibration protocol</w:t>
      </w:r>
    </w:p>
    <w:p>
      <w:pPr>
        <w:pStyle w:val="FirstParagraph"/>
      </w:pPr>
      <w:r>
        <w:t xml:space="preserve">The calibration model is ridge regression on nine Syn2bANI-internal features</w:t>
      </w:r>
      <w:r>
        <w:t xml:space="preserve"> </w:t>
      </w:r>
      <w:r>
        <w:t xml:space="preserve">(</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with median imputation and</w:t>
      </w:r>
      <w:r>
        <w:t xml:space="preserve"> </w:t>
      </w:r>
      <w:r>
        <w:t xml:space="preserve">standardization. Regularization strength</w:t>
      </w:r>
      <w:r>
        <w:t xml:space="preserve"> </w:t>
      </w:r>
      <w:r>
        <w:rPr>
          <w:rStyle w:val="VerbatimChar"/>
        </w:rPr>
        <w:t xml:space="preserve">α = 10</w:t>
      </w:r>
      <w:r>
        <w:t xml:space="preserve"> </w:t>
      </w:r>
      <w:r>
        <w:t xml:space="preserve">is selected by inner</w:t>
      </w:r>
      <w:r>
        <w:t xml:space="preserve"> </w:t>
      </w:r>
      <w:r>
        <w:t xml:space="preserve">cross-validation (scikit-learn29). The model is trained on 2,520 ANIm-truth pairs</w:t>
      </w:r>
      <w:r>
        <w:t xml:space="preserve"> </w:t>
      </w:r>
      <w:r>
        <w:t xml:space="preserve">(80–99.5% ANIm) spanning 607 species and 26 phyla, with zero genome-level overlap</w:t>
      </w:r>
      <w:r>
        <w:t xml:space="preserve"> </w:t>
      </w:r>
      <w:r>
        <w:t xml:space="preserve">between the 2,074-pair stratified benchmark and the 467-pair 95–99.5% expansion.</w:t>
      </w:r>
      <w:r>
        <w:t xml:space="preserve"> </w:t>
      </w:r>
      <w:r>
        <w:t xml:space="preserve">Validation is</w:t>
      </w:r>
      <w:r>
        <w:t xml:space="preserve"> </w:t>
      </w:r>
      <w:r>
        <w:rPr>
          <w:b/>
          <w:bCs/>
        </w:rPr>
        <w:t xml:space="preserve">band-holdout</w:t>
      </w:r>
      <w:r>
        <w:t xml:space="preserve">: each ANI band (80–85, 85–90, 90–95, 95–99) is</w:t>
      </w:r>
      <w:r>
        <w:t xml:space="preserve"> </w:t>
      </w:r>
      <w:r>
        <w:t xml:space="preserve">predicted by a model trained on the other three only. Calibrated output is a</w:t>
      </w:r>
      <w:r>
        <w:t xml:space="preserve"> </w:t>
      </w:r>
      <w:r>
        <w:t xml:space="preserve">separate column (</w:t>
      </w:r>
      <w:r>
        <w:rPr>
          <w:rStyle w:val="VerbatimChar"/>
        </w:rPr>
        <w:t xml:space="preserve">--calibrate</w:t>
      </w:r>
      <w:r>
        <w:t xml:space="preserve">) and is omitted on</w:t>
      </w:r>
      <w:r>
        <w:t xml:space="preserve"> </w:t>
      </w:r>
      <w:r>
        <w:rPr>
          <w:rStyle w:val="VerbatimChar"/>
        </w:rPr>
        <w:t xml:space="preserve">BELOW_DETECTION</w:t>
      </w:r>
      <w:r>
        <w:t xml:space="preserve"> </w:t>
      </w:r>
      <w:r>
        <w:t xml:space="preserve">pairs rather</w:t>
      </w:r>
      <w:r>
        <w:t xml:space="preserve"> </w:t>
      </w:r>
      <w:r>
        <w:t xml:space="preserve">than extrapolated. Learning-curve, feature-expansion, and model-comparison</w:t>
      </w:r>
      <w:r>
        <w:t xml:space="preserve"> </w:t>
      </w:r>
      <w:r>
        <w:t xml:space="preserve">details are in Supplementary Notes 2 and 6.</w:t>
      </w:r>
    </w:p>
    <w:bookmarkEnd w:id="30"/>
    <w:bookmarkStart w:id="31" w:name="Xd3b37ce8f62a83dd9d52f682daa388ffbd3bd4e"/>
    <w:p>
      <w:pPr>
        <w:pStyle w:val="Heading3"/>
      </w:pPr>
      <w:r>
        <w:t xml:space="preserve">The spatial-model negative result (identifiability analysis)</w:t>
      </w:r>
    </w:p>
    <w:p>
      <w:pPr>
        <w:pStyle w:val="FirstParagraph"/>
      </w:pPr>
      <w:r>
        <w:t xml:space="preserve">A mechanistic spatial-rate model was also evaluated as an alternative to</w:t>
      </w:r>
      <w:r>
        <w:t xml:space="preserve"> </w:t>
      </w:r>
      <w:r>
        <w:t xml:space="preserve">post-hoc calibration. The raw estimator is already at its identifiability floor</w:t>
      </w:r>
      <w:r>
        <w:t xml:space="preserve"> </w:t>
      </w:r>
      <w:r>
        <w:t xml:space="preserve">at 4-enzyme tag density: in-chain distribution-family changes can fix at most</w:t>
      </w:r>
      <w:r>
        <w:t xml:space="preserve"> </w:t>
      </w:r>
      <w:r>
        <w:t xml:space="preserve">~0.1–0.2 ANI points, and the divergence of the unchained fraction is not</w:t>
      </w:r>
      <w:r>
        <w:t xml:space="preserve"> </w:t>
      </w:r>
      <w:r>
        <w:t xml:space="preserve">identifiable from tag data. No candidate spatial model (AF-weighted mixtures,</w:t>
      </w:r>
      <w:r>
        <w:t xml:space="preserve"> </w:t>
      </w:r>
      <w:r>
        <w:t xml:space="preserve">discrete mixtures, ascertainment-aware tilts, capped NPMLE, model averaging)</w:t>
      </w:r>
      <w:r>
        <w:t xml:space="preserve"> </w:t>
      </w:r>
      <w:r>
        <w:t xml:space="preserve">beats the gated baseline while preserving exact-truth simulation gates. The full</w:t>
      </w:r>
      <w:r>
        <w:t xml:space="preserve"> </w:t>
      </w:r>
      <w:r>
        <w:t xml:space="preserve">negative result is reported in Supplementary Note 5.</w:t>
      </w:r>
    </w:p>
    <w:bookmarkEnd w:id="31"/>
    <w:bookmarkStart w:id="32"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For circular chromosomes,</w:t>
      </w:r>
      <w:r>
        <w:t xml:space="preserve"> </w:t>
      </w:r>
      <w:r>
        <w:rPr>
          <w:rStyle w:val="VerbatimChar"/>
        </w:rPr>
        <w:t xml:space="preserve">syn2bani struct --circular &lt;ref_name&gt;</w:t>
      </w:r>
      <w:r>
        <w:t xml:space="preserve"> </w:t>
      </w:r>
      <w:r>
        <w:t xml:space="preserve">marks the reference as circular; genome-spanning calls that exceed</w:t>
      </w:r>
      <w:r>
        <w:t xml:space="preserve"> </w:t>
      </w:r>
      <w:r>
        <w:rPr>
          <w:rStyle w:val="VerbatimChar"/>
        </w:rPr>
        <w:t xml:space="preserve">--artifact-threshold</w:t>
      </w:r>
      <w:r>
        <w:t xml:space="preserve"> </w:t>
      </w:r>
      <w:r>
        <w:t xml:space="preserve">(default 50% of the reference length) are reported but flagged as likely circular-origin coordinate artifacts rather than biological rearrangements.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2"/>
    <w:bookmarkStart w:id="33"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3"/>
    <w:bookmarkStart w:id="34"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are summarized in Supplementary analysis.</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6;</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H. pylori</w:t>
      </w:r>
      <w:r>
        <w:rPr>
          <w:b/>
          <w:bCs/>
        </w:rPr>
        <w:t xml:space="preserve"> </w:t>
      </w:r>
      <w:r>
        <w:rPr>
          <w:b/>
          <w:bCs/>
        </w:rPr>
        <w:t xml:space="preserve">cagPAI cohort.</w:t>
      </w:r>
      <w:r>
        <w:t xml:space="preserve"> </w:t>
      </w:r>
      <w:r>
        <w:t xml:space="preserve">Five hundred and twenty-eight</w:t>
      </w:r>
      <w:r>
        <w:t xml:space="preserve"> </w:t>
      </w:r>
      <w:r>
        <w:rPr>
          <w:i/>
          <w:iCs/>
        </w:rPr>
        <w:t xml:space="preserve">H. pylori</w:t>
      </w:r>
      <w:r>
        <w:t xml:space="preserve"> </w:t>
      </w:r>
      <w:r>
        <w:t xml:space="preserve">genomes from Song et al. (2026) were compared against reference 26695 with</w:t>
      </w:r>
      <w:r>
        <w:t xml:space="preserve"> </w:t>
      </w:r>
      <w:r>
        <w:rPr>
          <w:rStyle w:val="VerbatimChar"/>
        </w:rPr>
        <w:t xml:space="preserve">syn2bani struct --bed --circular NC_000915.1</w:t>
      </w:r>
      <w:r>
        <w:t xml:space="preserve">. Marker-gene presence for 28 cagPAI CDS (HP0520–HP0547) was assessed with</w:t>
      </w:r>
      <w:r>
        <w:t xml:space="preserve"> </w:t>
      </w:r>
      <w:r>
        <w:rPr>
          <w:rStyle w:val="VerbatimChar"/>
        </w:rPr>
        <w:t xml:space="preserve">minimap2 -x asm5</w:t>
      </w:r>
      <w:r>
        <w:t xml:space="preserve"> </w:t>
      </w:r>
      <w:r>
        <w:t xml:space="preserve">(≥80% coverage, ≥80% identity). Genomes with ≥90% markers present were classified as</w:t>
      </w:r>
      <w:r>
        <w:t xml:space="preserve"> </w:t>
      </w:r>
      <w:r>
        <w:rPr>
          <w:rStyle w:val="VerbatimChar"/>
        </w:rPr>
        <w:t xml:space="preserve">complete</w:t>
      </w:r>
      <w:r>
        <w:t xml:space="preserve">; among these, any inversion or translocation overlapping cagPAI coordinates (NC_000915.1: 547,327–583,481, ±2 kb buffer) was classified as</w:t>
      </w:r>
      <w:r>
        <w:t xml:space="preserve"> </w:t>
      </w:r>
      <w:r>
        <w:rPr>
          <w:rStyle w:val="VerbatimChar"/>
        </w:rPr>
        <w:t xml:space="preserve">complete_rearranged</w:t>
      </w:r>
      <w:r>
        <w:t xml:space="preserve">, otherwise</w:t>
      </w:r>
      <w:r>
        <w:t xml:space="preserve"> </w:t>
      </w:r>
      <w:r>
        <w:rPr>
          <w:rStyle w:val="VerbatimChar"/>
        </w:rPr>
        <w:t xml:space="preserve">complete_collinear</w:t>
      </w:r>
      <w:r>
        <w:t xml:space="preserve">. Complete-marker genomes whose only cagPAI-overlapping SV was a genome-spanning call (&gt;50% of the 1,667,825 bp chromosome) were reclassified as</w:t>
      </w:r>
      <w:r>
        <w:t xml:space="preserve"> </w:t>
      </w:r>
      <w:r>
        <w:rPr>
          <w:rStyle w:val="VerbatimChar"/>
        </w:rPr>
        <w:t xml:space="preserve">complete_collinear</w:t>
      </w:r>
      <w:r>
        <w:t xml:space="preserve"> </w:t>
      </w:r>
      <w:r>
        <w:t xml:space="preserve">because such calls reflect the arbitrary choice of start coordinate on a circular chromosome rather than a local rearrangement. Isolation metadata (disease stage, country, FastBAPS lineage, phylogenetic population) were taken from the original publication. Disease-stage associations were tested with Pearson χ² and with Cochran–Mantel–Haenszel stratified by FastBAPS lineage (</w:t>
      </w:r>
      <w:r>
        <w:rPr>
          <w:rStyle w:val="VerbatimChar"/>
        </w:rPr>
        <w:t xml:space="preserve">case_studies/h_pylori_cagpai/</w:t>
      </w:r>
      <w:r>
        <w:t xml:space="preserve">).</w:t>
      </w:r>
      <w:r>
        <w:t xml:space="preserve"> </w:t>
      </w:r>
      <w:r>
        <w:t xml:space="preserve">-</w:t>
      </w:r>
      <w:r>
        <w:t xml:space="preserve"> </w:t>
      </w:r>
      <w:r>
        <w:rPr>
          <w:b/>
          <w:bCs/>
          <w:i/>
          <w:iCs/>
        </w:rPr>
        <w:t xml:space="preserve">E. coli</w:t>
      </w:r>
      <w:r>
        <w:rPr>
          <w:b/>
          <w:bCs/>
        </w:rPr>
        <w:t xml:space="preserve"> </w:t>
      </w:r>
      <w:r>
        <w:rPr>
          <w:b/>
          <w:bCs/>
        </w:rPr>
        <w:t xml:space="preserve">O157:H7 collection.</w:t>
      </w:r>
      <w:r>
        <w:t xml:space="preserve"> </w:t>
      </w:r>
      <w:r>
        <w:t xml:space="preserve">Seventy-four</w:t>
      </w:r>
      <w:r>
        <w:t xml:space="preserve"> </w:t>
      </w:r>
      <w:r>
        <w:rPr>
          <w:i/>
          <w:iCs/>
        </w:rPr>
        <w:t xml:space="preserve">E. coli</w:t>
      </w:r>
      <w:r>
        <w:t xml:space="preserve"> </w:t>
      </w:r>
      <w:r>
        <w:t xml:space="preserve">O157:H7 genomes from Fitzgerald et al. (2021) were compared all-vs-all with</w:t>
      </w:r>
      <w:r>
        <w:t xml:space="preserve"> </w:t>
      </w:r>
      <w:r>
        <w:rPr>
          <w:rStyle w:val="VerbatimChar"/>
        </w:rPr>
        <w:t xml:space="preserve">syn2bani ani</w:t>
      </w:r>
      <w:r>
        <w:t xml:space="preserve"> </w:t>
      </w:r>
      <w:r>
        <w:t xml:space="preserve">(2,701 pairs). Host source and lineage assignments were taken from the original publication; lineages were grouped as I/II, II, Ia, and Ic (</w:t>
      </w:r>
      <w:r>
        <w:rPr>
          <w:rStyle w:val="VerbatimChar"/>
        </w:rPr>
        <w:t xml:space="preserve">case_studies/ecoli_o157_fitzgerald_2021/</w:t>
      </w:r>
      <w:r>
        <w:t xml:space="preserve">).</w:t>
      </w:r>
      <w:r>
        <w:t xml:space="preserve"> </w:t>
      </w:r>
      <w:r>
        <w:t xml:space="preserve">-</w:t>
      </w:r>
      <w:r>
        <w:t xml:space="preserve"> </w:t>
      </w:r>
      <w:r>
        <w:rPr>
          <w:b/>
          <w:bCs/>
        </w:rPr>
        <w:t xml:space="preserve">FDA-ARGOS</w:t>
      </w:r>
      <w:r>
        <w:rPr>
          <w:b/>
          <w:bCs/>
        </w:rPr>
        <w:t xml:space="preserve"> </w:t>
      </w:r>
      <w:r>
        <w:rPr>
          <w:b/>
          <w:bCs/>
          <w:i/>
          <w:iCs/>
        </w:rPr>
        <w:t xml:space="preserve">S. aureus</w:t>
      </w:r>
      <w:r>
        <w:rPr>
          <w:b/>
          <w:bCs/>
        </w:rPr>
        <w:t xml:space="preserve">.</w:t>
      </w:r>
      <w:r>
        <w:t xml:space="preserve"> </w:t>
      </w:r>
      <w:r>
        <w:t xml:space="preserve">One hundred and twenty-two</w:t>
      </w:r>
      <w:r>
        <w:t xml:space="preserve"> </w:t>
      </w:r>
      <w:r>
        <w:rPr>
          <w:i/>
          <w:iCs/>
        </w:rPr>
        <w:t xml:space="preserve">Staphylococcus aureus</w:t>
      </w:r>
      <w:r>
        <w:t xml:space="preserve"> </w:t>
      </w:r>
      <w:r>
        <w:t xml:space="preserve">genomes from the FDA-ARGOS repository were compared all-vs-all with</w:t>
      </w:r>
      <w:r>
        <w:t xml:space="preserve"> </w:t>
      </w:r>
      <w:r>
        <w:rPr>
          <w:rStyle w:val="VerbatimChar"/>
        </w:rPr>
        <w:t xml:space="preserve">syn2bani ani</w:t>
      </w:r>
      <w:r>
        <w:t xml:space="preserve"> </w:t>
      </w:r>
      <w:r>
        <w:t xml:space="preserve">and refined to 7,381 pairs. Country and isolation-source metadata were taken from NCBI assembly records (</w:t>
      </w:r>
      <w:r>
        <w:rPr>
          <w:rStyle w:val="VerbatimChar"/>
        </w:rPr>
        <w:t xml:space="preserve">case_studies/fda_argos_s_aureus/</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4"/>
    <w:bookmarkStart w:id="35"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5"/>
    <w:bookmarkEnd w:id="36"/>
    <w:bookmarkStart w:id="37"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7"/>
    <w:bookmarkStart w:id="38"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8"/>
    <w:bookmarkStart w:id="39" w:name="acknowledgements"/>
    <w:p>
      <w:pPr>
        <w:pStyle w:val="Heading2"/>
      </w:pPr>
      <w:r>
        <w:t xml:space="preserve">Acknowledgements</w:t>
      </w:r>
    </w:p>
    <w:p>
      <w:pPr>
        <w:pStyle w:val="FirstParagraph"/>
      </w:pPr>
      <w:r>
        <w:t xml:space="preserve">[To be determined.]</w:t>
      </w:r>
    </w:p>
    <w:bookmarkEnd w:id="39"/>
    <w:bookmarkStart w:id="40" w:name="author-contributions"/>
    <w:p>
      <w:pPr>
        <w:pStyle w:val="Heading2"/>
      </w:pPr>
      <w:r>
        <w:t xml:space="preserve">Author contributions</w:t>
      </w:r>
    </w:p>
    <w:p>
      <w:pPr>
        <w:pStyle w:val="FirstParagraph"/>
      </w:pPr>
      <w:r>
        <w:t xml:space="preserve">Y.Z. implemented the software, designed and executed the benchmarks, and generated the figures. S.H. conceived the project, supervised the research, and wrote the manuscript with input from Y.Z.</w:t>
      </w:r>
    </w:p>
    <w:bookmarkEnd w:id="40"/>
    <w:bookmarkStart w:id="41" w:name="competing-interests"/>
    <w:p>
      <w:pPr>
        <w:pStyle w:val="Heading2"/>
      </w:pPr>
      <w:r>
        <w:t xml:space="preserve">Competing interests</w:t>
      </w:r>
    </w:p>
    <w:p>
      <w:pPr>
        <w:pStyle w:val="FirstParagraph"/>
      </w:pPr>
      <w:r>
        <w:t xml:space="preserve">The authors declare no competing interests.</w:t>
      </w:r>
    </w:p>
    <w:bookmarkEnd w:id="41"/>
    <w:bookmarkStart w:id="42"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rPr>
          <w:b/>
          <w:bCs/>
        </w:rPr>
        <w:t xml:space="preserve">43</w:t>
      </w:r>
      <w:r>
        <w:t xml:space="preserve">, 773–783 (2025).</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(shihuang@hku.hk)</w:t>
      </w:r>
    </w:p>
    <w:p>
      <w:r>
        <w:pict>
          <v:rect style="width:0;height:1.5pt" o:hralign="center" o:hrstd="t" o:hr="t"/>
        </w:pict>
      </w:r>
    </w:p>
    <w:bookmarkEnd w:id="42"/>
    <w:bookmarkStart w:id="43"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skani ANI versus Syn2bANI</w:t>
      </w:r>
      <w:r>
        <w:t xml:space="preserve"> </w:t>
      </w:r>
      <w:r>
        <w:rPr>
          <w:rStyle w:val="VerbatimChar"/>
        </w:rPr>
        <w:t xml:space="preserve">breakpoint_count</w:t>
      </w:r>
      <w:r>
        <w:t xml:space="preserve"> </w:t>
      </w:r>
      <w:r>
        <w:t xml:space="preserve">for four published near-clonal isolate collections: (a)</w:t>
      </w:r>
      <w:r>
        <w:t xml:space="preserve"> </w:t>
      </w:r>
      <w:r>
        <w:rPr>
          <w:i/>
          <w:iCs/>
        </w:rPr>
        <w:t xml:space="preserve">E. coli</w:t>
      </w:r>
      <w:r>
        <w:t xml:space="preserve"> </w:t>
      </w:r>
      <w:r>
        <w:t xml:space="preserve">hypermutator (253 pairs), (b)</w:t>
      </w:r>
      <w:r>
        <w:t xml:space="preserve"> </w:t>
      </w:r>
      <w:r>
        <w:rPr>
          <w:i/>
          <w:iCs/>
        </w:rPr>
        <w:t xml:space="preserve">H. pylori</w:t>
      </w:r>
      <w:r>
        <w:t xml:space="preserve"> </w:t>
      </w:r>
      <w:r>
        <w:t xml:space="preserve">(2,926 pairs), (c)</w:t>
      </w:r>
      <w:r>
        <w:t xml:space="preserve"> </w:t>
      </w:r>
      <w:r>
        <w:rPr>
          <w:i/>
          <w:iCs/>
        </w:rPr>
        <w:t xml:space="preserve">N. gonorrhoeae</w:t>
      </w:r>
      <w:r>
        <w:t xml:space="preserve"> </w:t>
      </w:r>
      <w:r>
        <w:t xml:space="preserve">(66 pairs), and (d)</w:t>
      </w:r>
      <w:r>
        <w:t xml:space="preserve"> </w:t>
      </w:r>
      <w:r>
        <w:rPr>
          <w:i/>
          <w:iCs/>
        </w:rPr>
        <w:t xml:space="preserve">S. rimosus</w:t>
      </w:r>
      <w:r>
        <w:t xml:space="preserve"> </w:t>
      </w:r>
      <w:r>
        <w:t xml:space="preserve">(190 pairs). In all four collections ANI is pinned near 100% while breakpoint counts vary over orders of magnitude, illustrating that rearrangement burden is not captured by the divergence scalar. Annotated points are the top discordant cases by ANI–synteny rank difference; representative pairs were re-analyzed with</w:t>
      </w:r>
      <w:r>
        <w:t xml:space="preserve"> </w:t>
      </w:r>
      <w:r>
        <w:rPr>
          <w:rStyle w:val="VerbatimChar"/>
        </w:rPr>
        <w:t xml:space="preserve">syn2bani struct</w:t>
      </w:r>
      <w:r>
        <w:t xml:space="preserve"> </w:t>
      </w:r>
      <w:r>
        <w:t xml:space="preserve">(Table 1). Source:</w:t>
      </w:r>
      <w:r>
        <w:t xml:space="preserve"> </w:t>
      </w:r>
      <w:r>
        <w:rPr>
          <w:rStyle w:val="VerbatimChar"/>
        </w:rPr>
        <w:t xml:space="preserve">figures/syntracker_validation/syntracker_ani_vs_breakpoints.png</w:t>
      </w:r>
      <w:r>
        <w:t xml:space="preserve">.</w:t>
      </w:r>
    </w:p>
    <w:p>
      <w:pPr>
        <w:pStyle w:val="BodyText"/>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on reference contig; core genes 8.8–17.2 kb, peripheral region 17.2–37.1 kb). (b) Boxplot of periphery coverage (17.2–37.1 kb)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figures/report/fig_b_longum_abfa.png</w:t>
      </w:r>
      <w:r>
        <w:t xml:space="preserve">.</w:t>
      </w:r>
    </w:p>
    <w:p>
      <w:pPr>
        <w:pStyle w:val="BodyText"/>
      </w:pPr>
      <w:r>
        <w:rPr>
          <w:b/>
          <w:bCs/>
        </w:rPr>
        <w:t xml:space="preserve">Figure 8 | cagPAI architecture in 528</w:t>
      </w:r>
      <w:r>
        <w:rPr>
          <w:b/>
          <w:bCs/>
        </w:rPr>
        <w:t xml:space="preserve"> </w:t>
      </w:r>
      <w:r>
        <w:rPr>
          <w:b/>
          <w:bCs/>
          <w:i/>
          <w:iCs/>
        </w:rPr>
        <w:t xml:space="preserve">H. pylori</w:t>
      </w:r>
      <w:r>
        <w:rPr>
          <w:b/>
          <w:bCs/>
        </w:rPr>
        <w:t xml:space="preserve"> </w:t>
      </w:r>
      <w:r>
        <w:rPr>
          <w:b/>
          <w:bCs/>
        </w:rPr>
        <w:t xml:space="preserve">isolates is associated with lineage and invisible to ANI.</w:t>
      </w:r>
      <w:r>
        <w:t xml:space="preserve"> </w:t>
      </w:r>
      <w:r>
        <w:t xml:space="preserve">(a) Extended cagPAI state classification: marker-based</w:t>
      </w:r>
      <w:r>
        <w:t xml:space="preserve"> </w:t>
      </w:r>
      <w:r>
        <w:rPr>
          <w:rStyle w:val="VerbatimChar"/>
        </w:rPr>
        <w:t xml:space="preserve">empty</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complete</w:t>
      </w:r>
      <w:r>
        <w:t xml:space="preserve"> </w:t>
      </w:r>
      <w:r>
        <w:t xml:space="preserve">is refined by</w:t>
      </w:r>
      <w:r>
        <w:t xml:space="preserve"> </w:t>
      </w:r>
      <w:r>
        <w:rPr>
          <w:rStyle w:val="VerbatimChar"/>
        </w:rPr>
        <w:t xml:space="preserve">syn2bani struct</w:t>
      </w:r>
      <w:r>
        <w:t xml:space="preserve"> </w:t>
      </w:r>
      <w:r>
        <w:t xml:space="preserve">calls inside the cagPAI coordinates into</w:t>
      </w:r>
      <w:r>
        <w:t xml:space="preserve"> </w:t>
      </w:r>
      <w:r>
        <w:rPr>
          <w:rStyle w:val="VerbatimChar"/>
        </w:rPr>
        <w:t xml:space="preserve">complete_collinear</w:t>
      </w:r>
      <w:r>
        <w:t xml:space="preserve"> </w:t>
      </w:r>
      <w:r>
        <w:t xml:space="preserve">and</w:t>
      </w:r>
      <w:r>
        <w:t xml:space="preserve"> </w:t>
      </w:r>
      <w:r>
        <w:rPr>
          <w:rStyle w:val="VerbatimChar"/>
        </w:rPr>
        <w:t xml:space="preserve">complete_rearranged</w:t>
      </w:r>
      <w:r>
        <w:t xml:space="preserve">; complete-marker genomes with only a genome-spanning SV on the circular chromosome were reclassified as collinear. (b) Stacked-bar distribution of extended cagPAI states by Correa’s cascade disease stage (NAG, AG, IM, GC) and by FastBAPS lineage. (c) Same data by country and phylogenetic population. FastBAPS lineage is strongly associated with extended state (χ² = 58.75, df = 12, p = 3.8 × 10⁻⁸), but the disease-stage association is not significant after lineage stratification (CMH p ≥ 0.21 for all four contrasts). Per-group stacked bars are shown in Supplementary Figs. S17–S20. Source:</w:t>
      </w:r>
      <w:r>
        <w:t xml:space="preserve"> </w:t>
      </w:r>
      <w:r>
        <w:rPr>
          <w:rStyle w:val="VerbatimChar"/>
        </w:rPr>
        <w:t xml:space="preserve">case_studies/h_pylori_cagpai/results/cagpai_association_filtered.tsv</w:t>
      </w:r>
      <w:r>
        <w:t xml:space="preserve">.</w:t>
      </w:r>
    </w:p>
    <w:p>
      <w:pPr>
        <w:pStyle w:val="BodyText"/>
      </w:pPr>
      <w:r>
        <w:rPr>
          <w:b/>
          <w:bCs/>
        </w:rPr>
        <w:t xml:space="preserve">Supplementary Figure S15 | High-ANI</w:t>
      </w:r>
      <w:r>
        <w:rPr>
          <w:b/>
          <w:bCs/>
        </w:rPr>
        <w:t xml:space="preserve"> </w:t>
      </w:r>
      <w:r>
        <w:rPr>
          <w:b/>
          <w:bCs/>
          <w:i/>
          <w:iCs/>
        </w:rPr>
        <w:t xml:space="preserve">E. coli</w:t>
      </w:r>
      <w:r>
        <w:rPr>
          <w:b/>
          <w:bCs/>
        </w:rPr>
        <w:t xml:space="preserve"> </w:t>
      </w:r>
      <w:r>
        <w:rPr>
          <w:b/>
          <w:bCs/>
        </w:rPr>
        <w:t xml:space="preserve">O157:H7 pairs carry hundreds of breakpoints.</w:t>
      </w:r>
      <w:r>
        <w:t xml:space="preserve"> </w:t>
      </w:r>
      <w:r>
        <w:t xml:space="preserve">Seventy-four genomes from Fitzgerald et al. (2021), 2,701 non-self pairs. (a) ANI vs breakpoint count colored by lineage (I/II, II, Ia, Ic). (b) Same data colored by host category (bovine, human, other/unknown). All pairwise ANIs exceed 99.886% yet breakpoints range from 171 to &gt;1,100. Source:</w:t>
      </w:r>
      <w:r>
        <w:t xml:space="preserve"> </w:t>
      </w:r>
      <w:r>
        <w:rPr>
          <w:rStyle w:val="VerbatimChar"/>
        </w:rPr>
        <w:t xml:space="preserve">case_studies/ecoli_o157_fitzgerald_2021/results/</w:t>
      </w:r>
      <w:r>
        <w:t xml:space="preserve">.</w:t>
      </w:r>
    </w:p>
    <w:bookmarkEnd w:id="43"/>
    <w:bookmarkStart w:id="44" w:name="X2039872a057f86498f6293bbf4ab0196afa571e"/>
    <w:p>
      <w:pPr>
        <w:pStyle w:val="Heading2"/>
      </w:pPr>
      <w:r>
        <w:rPr>
          <w:b/>
          <w:bCs/>
        </w:rPr>
        <w:t xml:space="preserve">Supplementary Figure S16 | High-ANI FDA-ARGOS</w:t>
      </w:r>
      <w:r>
        <w:rPr>
          <w:b/>
          <w:bCs/>
        </w:rPr>
        <w:t xml:space="preserve"> </w:t>
      </w:r>
      <w:r>
        <w:rPr>
          <w:b/>
          <w:bCs/>
          <w:i/>
          <w:iCs/>
        </w:rPr>
        <w:t xml:space="preserve">Staphylococcus aureus</w:t>
      </w:r>
      <w:r>
        <w:rPr>
          <w:b/>
          <w:bCs/>
        </w:rPr>
        <w:t xml:space="preserve"> </w:t>
      </w:r>
      <w:r>
        <w:rPr>
          <w:b/>
          <w:bCs/>
        </w:rPr>
        <w:t xml:space="preserve">pairs show wide breakpoint variation.</w:t>
      </w:r>
      <w:r>
        <w:t xml:space="preserve"> </w:t>
      </w:r>
      <w:r>
        <w:t xml:space="preserve">One hundred and twenty-two genomes, 7,381 refined pairs. (a) ANI vs breakpoint count. (b) Breakpoint count distribution. Pairs at 100% ANI still carry &gt;150 breakpoints. Source:</w:t>
      </w:r>
      <w:r>
        <w:t xml:space="preserve"> </w:t>
      </w:r>
      <w:r>
        <w:rPr>
          <w:rStyle w:val="VerbatimChar"/>
        </w:rPr>
        <w:t xml:space="preserve">case_studies/fda_argos_s_aureus/results/</w:t>
      </w:r>
      <w:r>
        <w:t xml:space="preserve">.</w:t>
      </w:r>
    </w:p>
    <w:bookmarkEnd w:id="44"/>
    <w:bookmarkStart w:id="45"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2;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Supplementary analysis</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727 GTDB-R207 non-representative pairs (95–97 / 97–100), training genomes excluded</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5</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Results; Fig. S12</w:t>
            </w:r>
          </w:p>
        </w:tc>
      </w:tr>
      <w:tr>
        <w:tc>
          <w:tcPr/>
          <w:p>
            <w:pPr>
              <w:pStyle w:val="Compact"/>
            </w:pPr>
            <w:r>
              <w:t xml:space="preserve">20</w:t>
            </w:r>
          </w:p>
        </w:tc>
        <w:tc>
          <w:tcPr/>
          <w:p>
            <w:pPr>
              <w:pStyle w:val="Compact"/>
            </w:pPr>
            <w:r>
              <w:rPr>
                <w:i/>
                <w:iCs/>
              </w:rPr>
              <w:t xml:space="preserve">H. pylori</w:t>
            </w:r>
            <w:r>
              <w:t xml:space="preserve"> </w:t>
            </w:r>
            <w:r>
              <w:t xml:space="preserve">cagPAI cohort</w:t>
            </w:r>
          </w:p>
        </w:tc>
        <w:tc>
          <w:tcPr/>
          <w:p>
            <w:pPr>
              <w:pStyle w:val="Compact"/>
            </w:pPr>
            <w:r>
              <w:t xml:space="preserve">real</w:t>
            </w:r>
          </w:p>
        </w:tc>
        <w:tc>
          <w:tcPr/>
          <w:p>
            <w:pPr>
              <w:pStyle w:val="Compact"/>
            </w:pPr>
            <w:r>
              <w:t xml:space="preserve">528 genomes from Song et al. (2026); marker + struct state vs 26695</w:t>
            </w:r>
          </w:p>
        </w:tc>
        <w:tc>
          <w:tcPr/>
          <w:p>
            <w:pPr>
              <w:pStyle w:val="Compact"/>
            </w:pPr>
            <w:r>
              <w:t xml:space="preserve">disease stage, FastBAPS, country, population</w:t>
            </w:r>
          </w:p>
        </w:tc>
        <w:tc>
          <w:tcPr/>
          <w:p>
            <w:pPr>
              <w:pStyle w:val="Compact"/>
            </w:pPr>
            <w:r>
              <w:t xml:space="preserve">Fig. 8</w:t>
            </w:r>
          </w:p>
        </w:tc>
      </w:tr>
      <w:tr>
        <w:tc>
          <w:tcPr/>
          <w:p>
            <w:pPr>
              <w:pStyle w:val="Compact"/>
            </w:pPr>
            <w:r>
              <w:t xml:space="preserve">21</w:t>
            </w:r>
          </w:p>
        </w:tc>
        <w:tc>
          <w:tcPr/>
          <w:p>
            <w:pPr>
              <w:pStyle w:val="Compact"/>
            </w:pPr>
            <w:r>
              <w:rPr>
                <w:i/>
                <w:iCs/>
              </w:rPr>
              <w:t xml:space="preserve">E. coli</w:t>
            </w:r>
            <w:r>
              <w:t xml:space="preserve"> </w:t>
            </w:r>
            <w:r>
              <w:t xml:space="preserve">O157:H7 collection</w:t>
            </w:r>
          </w:p>
        </w:tc>
        <w:tc>
          <w:tcPr/>
          <w:p>
            <w:pPr>
              <w:pStyle w:val="Compact"/>
            </w:pPr>
            <w:r>
              <w:t xml:space="preserve">real</w:t>
            </w:r>
          </w:p>
        </w:tc>
        <w:tc>
          <w:tcPr/>
          <w:p>
            <w:pPr>
              <w:pStyle w:val="Compact"/>
            </w:pPr>
            <w:r>
              <w:t xml:space="preserve">74 genomes from Fitzgerald et al. (2021); 2,701 pairs</w:t>
            </w:r>
          </w:p>
        </w:tc>
        <w:tc>
          <w:tcPr/>
          <w:p>
            <w:pPr>
              <w:pStyle w:val="Compact"/>
            </w:pPr>
            <w:r>
              <w:t xml:space="preserve">lineage, host source</w:t>
            </w:r>
          </w:p>
        </w:tc>
        <w:tc>
          <w:tcPr/>
          <w:p>
            <w:pPr>
              <w:pStyle w:val="Compact"/>
            </w:pPr>
            <w:r>
              <w:t xml:space="preserve">Results; Fig. S15</w:t>
            </w:r>
          </w:p>
        </w:tc>
      </w:tr>
      <w:tr>
        <w:tc>
          <w:tcPr/>
          <w:p>
            <w:pPr>
              <w:pStyle w:val="Compact"/>
            </w:pPr>
            <w:r>
              <w:t xml:space="preserve">22</w:t>
            </w:r>
          </w:p>
        </w:tc>
        <w:tc>
          <w:tcPr/>
          <w:p>
            <w:pPr>
              <w:pStyle w:val="Compact"/>
            </w:pPr>
            <w:r>
              <w:t xml:space="preserve">FDA-ARGOS</w:t>
            </w:r>
            <w:r>
              <w:t xml:space="preserve"> </w:t>
            </w:r>
            <w:r>
              <w:rPr>
                <w:i/>
                <w:iCs/>
              </w:rPr>
              <w:t xml:space="preserve">S. aureus</w:t>
            </w:r>
          </w:p>
        </w:tc>
        <w:tc>
          <w:tcPr/>
          <w:p>
            <w:pPr>
              <w:pStyle w:val="Compact"/>
            </w:pPr>
            <w:r>
              <w:t xml:space="preserve">real</w:t>
            </w:r>
          </w:p>
        </w:tc>
        <w:tc>
          <w:tcPr/>
          <w:p>
            <w:pPr>
              <w:pStyle w:val="Compact"/>
            </w:pPr>
            <w:r>
              <w:t xml:space="preserve">122 genomes; 7,381 refined pairs</w:t>
            </w:r>
          </w:p>
        </w:tc>
        <w:tc>
          <w:tcPr/>
          <w:p>
            <w:pPr>
              <w:pStyle w:val="Compact"/>
            </w:pPr>
            <w:r>
              <w:t xml:space="preserve">country, isolation source</w:t>
            </w:r>
          </w:p>
        </w:tc>
        <w:tc>
          <w:tcPr/>
          <w:p>
            <w:pPr>
              <w:pStyle w:val="Compact"/>
            </w:pPr>
            <w:r>
              <w:t xml:space="preserve">Results; Fig. S16</w:t>
            </w:r>
          </w:p>
        </w:tc>
      </w:tr>
      <w:tr>
        <w:tc>
          <w:tcPr/>
          <w:p>
            <w:pPr>
              <w:pStyle w:val="Compact"/>
            </w:pPr>
            <w:r>
              <w:t xml:space="preserve">23</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2026-09-04T09:34:08Z</dcterms:created>
  <dcterms:modified xsi:type="dcterms:W3CDTF">2026-09-04T09:34:08Z</dcterms:modified>
</cp:coreProperties>
</file>

<file path=docProps/custom.xml><?xml version="1.0" encoding="utf-8"?>
<Properties xmlns="http://schemas.openxmlformats.org/officeDocument/2006/custom-properties" xmlns:vt="http://schemas.openxmlformats.org/officeDocument/2006/docPropsVTypes"/>
</file>