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[To be determined]</w:t>
      </w:r>
    </w:p>
    <w:p>
      <w:pPr>
        <w:pStyle w:val="BodyText"/>
      </w:pPr>
      <w:r>
        <w:rPr>
          <w:b/>
          <w:bCs/>
        </w:rPr>
        <w:t xml:space="preserve">Affiliations</w:t>
      </w:r>
      <w:r>
        <w:t xml:space="preserve"> </w:t>
      </w:r>
      <w:r>
        <w:t xml:space="preserve">1. State Key Laboratory of Crop Genetics and Germplasm Enhancement, Nanjing Agricultural University, Nanjing, China</w:t>
      </w:r>
      <w:r>
        <w:t xml:space="preserve"> </w:t>
      </w:r>
      <w:r>
        <w:t xml:space="preserve">2. [Additional affiliations as needed]</w:t>
      </w:r>
    </w:p>
    <w:p>
      <w:pPr>
        <w:pStyle w:val="BodyText"/>
      </w:pPr>
      <w:r>
        <w:rPr>
          <w:b/>
          <w:bCs/>
        </w:rPr>
        <w:t xml:space="preserve">Corresponding author</w:t>
      </w:r>
      <w:r>
        <w:t xml:space="preserve"> </w:t>
      </w:r>
      <w:r>
        <w:t xml:space="preserve">Shi Huang — huangshi@njau.edu.cn</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and a ridge calibration trained on alignment-based truth corrects real-genome rate heterogeneity.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it achieves MAE 0.619% against ANIm, compared with 0.957% for skani and 0.977% for FastANI.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 FastANI popularized an alignment-free approximation from 20-mer seed matches and fragment-level chaining2; skani replaced seeding with sparse k-mer sketches and a regressed chain statistic, gaining orders of magnitude in speed6.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synteny scores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The result is a tool that matches or exceeds skani and FastANI on held-out GTDB-R207 pairs while additionally providing synteny and SV outputs that k-mer tools cannot.</w:t>
      </w:r>
    </w:p>
    <w:p>
      <w:r>
        <w:pict>
          <v:rect style="width:0;height:1.5pt" o:hralign="center" o:hrstd="t" o:hr="t"/>
        </w:pict>
      </w:r>
    </w:p>
    <w:bookmarkEnd w:id="11"/>
    <w:bookmarkStart w:id="18"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w:t>
      </w:r>
    </w:p>
    <w:bookmarkEnd w:id="14"/>
    <w:bookmarkStart w:id="15"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tier,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5"/>
    <w:bookmarkStart w:id="16"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We quantified this on four published isolate collections.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68–103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6"/>
    <w:bookmarkStart w:id="17"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we state openly.</w:t>
      </w:r>
    </w:p>
    <w:p>
      <w:r>
        <w:pict>
          <v:rect style="width:0;height:1.5pt" o:hralign="center" o:hrstd="t" o:hr="t"/>
        </w:pict>
      </w:r>
    </w:p>
    <w:bookmarkEnd w:id="17"/>
    <w:bookmarkEnd w:id="18"/>
    <w:bookmarkStart w:id="19"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Two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 the raw gated estimate is preferred for draft inputs, and the consistency flag marks pairs at the identifiability boundary.</w:t>
      </w:r>
    </w:p>
    <w:p>
      <w:pPr>
        <w:pStyle w:val="BodyText"/>
      </w:pPr>
      <w:r>
        <w:t xml:space="preserve">The structural outputs are not an afterthought: they are a direct consequence of using coordinate-carrying anchors. In an era of strain-resolved metagenomics, ANI alone is insufficient to decide whether two genomes are truly equivalent. The synteny score and SV calls provide a second axis of comparison that is orthogonal to divergence and biologically interpretable.</w:t>
      </w:r>
    </w:p>
    <w:p>
      <w:r>
        <w:pict>
          <v:rect style="width:0;height:1.5pt" o:hralign="center" o:hrstd="t" o:hr="t"/>
        </w:pict>
      </w:r>
    </w:p>
    <w:bookmarkEnd w:id="19"/>
    <w:bookmarkStart w:id="42" w:name="online-methods"/>
    <w:p>
      <w:pPr>
        <w:pStyle w:val="Heading2"/>
      </w:pPr>
      <w:r>
        <w:t xml:space="preserve">Online Methods</w:t>
      </w:r>
    </w:p>
    <w:bookmarkStart w:id="20" w:name="X585a6a8b67378bd6645996598d95979c15b1236"/>
    <w:p>
      <w:pPr>
        <w:pStyle w:val="Heading3"/>
      </w:pPr>
      <w:r>
        <w:t xml:space="preserve">In-silico digestion and IUPAC-aware tag geometry</w:t>
      </w:r>
    </w:p>
    <w:bookmarkEnd w:id="20"/>
    <w:bookmarkStart w:id="21" w:name="X6c2e7bbce9b512ed90b314513470352d805d728"/>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1"/>
    <w:bookmarkStart w:id="22" w:name="Xd100f60785764278c40c45b7debf06888935c47"/>
    <w:p>
      <w:pPr>
        <w:pStyle w:val="Heading3"/>
      </w:pPr>
      <w:r>
        <w:t xml:space="preserve">Anchoring, chaining, and the adaptive chain-break test</w:t>
      </w:r>
    </w:p>
    <w:bookmarkEnd w:id="22"/>
    <w:bookmarkStart w:id="23" w:name="Xe724ef8a97b65c531074dd8b3bf22515af120f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3"/>
    <w:bookmarkStart w:id="24" w:name="Xc84f212d8323a8f017575d3d7a92fc22fb23227"/>
    <w:p>
      <w:pPr>
        <w:pStyle w:val="Heading3"/>
      </w:pPr>
      <w:r>
        <w:t xml:space="preserve">Chain-restricted stratified MLE, gating, and flags</w:t>
      </w:r>
    </w:p>
    <w:bookmarkEnd w:id="24"/>
    <w:bookmarkStart w:id="25" w:name="X8e7679bef5781bf7d25bcbf35a3362fe9329dc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5"/>
    <w:bookmarkStart w:id="26" w:name="short-contig-rescue-pass"/>
    <w:p>
      <w:pPr>
        <w:pStyle w:val="Heading3"/>
      </w:pPr>
      <w:r>
        <w:t xml:space="preserve">Short-contig rescue pass</w:t>
      </w:r>
    </w:p>
    <w:bookmarkEnd w:id="26"/>
    <w:bookmarkStart w:id="27" w:name="short-contig-rescue-pass-1"/>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bookmarkEnd w:id="28"/>
    <w:bookmarkStart w:id="29" w:name="database-scale-screen-1"/>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9"/>
    <w:bookmarkStart w:id="30" w:name="ridge-calibration-protocol"/>
    <w:p>
      <w:pPr>
        <w:pStyle w:val="Heading3"/>
      </w:pPr>
      <w:r>
        <w:t xml:space="preserve">Ridge calibration protocol</w:t>
      </w:r>
    </w:p>
    <w:bookmarkEnd w:id="30"/>
    <w:bookmarkStart w:id="31" w:name="ridge-calibration-protocol-1"/>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31"/>
    <w:bookmarkStart w:id="32" w:name="Xd3b37ce8f62a83dd9d52f682daa388ffbd3bd4e"/>
    <w:p>
      <w:pPr>
        <w:pStyle w:val="Heading3"/>
      </w:pPr>
      <w:r>
        <w:t xml:space="preserve">The spatial-model negative result (identifiability analysis)</w:t>
      </w:r>
    </w:p>
    <w:bookmarkEnd w:id="32"/>
    <w:bookmarkStart w:id="33" w:name="Xddb916f5865693a609ce3020ded8303c9837499"/>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3"/>
    <w:bookmarkStart w:id="34" w:name="structural-variant-calling"/>
    <w:p>
      <w:pPr>
        <w:pStyle w:val="Heading3"/>
      </w:pPr>
      <w:r>
        <w:t xml:space="preserve">Structural-variant calling</w:t>
      </w:r>
    </w:p>
    <w:bookmarkEnd w:id="34"/>
    <w:bookmarkStart w:id="35" w:name="structural-variant-calling-1"/>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35"/>
    <w:bookmarkStart w:id="36" w:name="simulation-framework-with-exact-truth"/>
    <w:p>
      <w:pPr>
        <w:pStyle w:val="Heading3"/>
      </w:pPr>
      <w:r>
        <w:t xml:space="preserve">Simulation framework with exact truth</w:t>
      </w:r>
    </w:p>
    <w:bookmarkEnd w:id="36"/>
    <w:bookmarkStart w:id="37" w:name="simulation-framework-with-exact-truth-1"/>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7"/>
    <w:bookmarkStart w:id="38" w:name="benchmark-datasets-truth-and-tools"/>
    <w:p>
      <w:pPr>
        <w:pStyle w:val="Heading3"/>
      </w:pPr>
      <w:r>
        <w:t xml:space="preserve">Benchmark datasets, truth, and tools</w:t>
      </w:r>
    </w:p>
    <w:bookmarkEnd w:id="38"/>
    <w:bookmarkStart w:id="39" w:name="benchmark-datasets-truth-and-tools-1"/>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 binned with MetaBAT2, and quality-scored with CheckM2;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11, Fig. 12;</w:t>
      </w:r>
      <w:r>
        <w:t xml:space="preserve"> </w:t>
      </w:r>
      <w:r>
        <w:rPr>
          <w:rStyle w:val="VerbatimChar"/>
        </w:rPr>
        <w:t xml:space="preserve">results/syntracker_validation/</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9"/>
    <w:bookmarkStart w:id="40" w:name="implementation"/>
    <w:p>
      <w:pPr>
        <w:pStyle w:val="Heading3"/>
      </w:pPr>
      <w:r>
        <w:t xml:space="preserve">Implementation</w:t>
      </w:r>
    </w:p>
    <w:bookmarkEnd w:id="40"/>
    <w:bookmarkStart w:id="41" w:name="implementation-1"/>
    <w:p>
      <w:pPr>
        <w:pStyle w:val="Heading3"/>
      </w:pPr>
      <w:r>
        <w:t xml:space="preserve">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41"/>
    <w:bookmarkEnd w:id="42"/>
    <w:bookmarkStart w:id="43"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43"/>
    <w:bookmarkStart w:id="44"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44"/>
    <w:bookmarkStart w:id="45" w:name="acknowledgements"/>
    <w:p>
      <w:pPr>
        <w:pStyle w:val="Heading2"/>
      </w:pPr>
      <w:r>
        <w:t xml:space="preserve">Acknowledgements</w:t>
      </w:r>
    </w:p>
    <w:p>
      <w:pPr>
        <w:pStyle w:val="FirstParagraph"/>
      </w:pPr>
      <w:r>
        <w:t xml:space="preserve">[To be determined.]</w:t>
      </w:r>
    </w:p>
    <w:bookmarkEnd w:id="45"/>
    <w:bookmarkStart w:id="46" w:name="author-contributions"/>
    <w:p>
      <w:pPr>
        <w:pStyle w:val="Heading2"/>
      </w:pPr>
      <w:r>
        <w:t xml:space="preserve">Author contributions</w:t>
      </w:r>
    </w:p>
    <w:p>
      <w:pPr>
        <w:pStyle w:val="FirstParagraph"/>
      </w:pPr>
      <w:r>
        <w:t xml:space="preserve">[To be determined — placeholder.]</w:t>
      </w:r>
    </w:p>
    <w:bookmarkEnd w:id="46"/>
    <w:bookmarkStart w:id="47" w:name="competing-interests"/>
    <w:p>
      <w:pPr>
        <w:pStyle w:val="Heading2"/>
      </w:pPr>
      <w:r>
        <w:t xml:space="preserve">Competing interests</w:t>
      </w:r>
    </w:p>
    <w:p>
      <w:pPr>
        <w:pStyle w:val="FirstParagraph"/>
      </w:pPr>
      <w:r>
        <w:t xml:space="preserve">[To be determined — placeholder: The authors declare no competing interests.]</w:t>
      </w:r>
    </w:p>
    <w:bookmarkEnd w:id="47"/>
    <w:bookmarkStart w:id="48"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48"/>
    <w:bookmarkStart w:id="49"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2026-08-26T00:08:37Z</dcterms:created>
  <dcterms:modified xsi:type="dcterms:W3CDTF">2026-08-26T00:08:37Z</dcterms:modified>
</cp:coreProperties>
</file>

<file path=docProps/custom.xml><?xml version="1.0" encoding="utf-8"?>
<Properties xmlns="http://schemas.openxmlformats.org/officeDocument/2006/custom-properties" xmlns:vt="http://schemas.openxmlformats.org/officeDocument/2006/docPropsVTypes"/>
</file>