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 ridge calibration trained on alignment-based truth corrects real-genome rate heterogeneity where it matters most. In one pass the same anchors yield aligned fraction, an anchor adjacency, and structural-variant calls. On simulations with exact truth Syn2bANI attains MAE 0.073% versus 0.377% (skani) and 0.742% (FastANI), and remains robust to indels, GC variation, accessory content, and fragmentation. On 43,334 held-out GTDB-R207 pairs the calibrated estimator achieves MAE 0.619% against ANIm, compared with 0.957% for skani and 0.977% for FastANI; a hybrid rule restores skani-level accuracy in the near-clonal 97–100% regime.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aligned fraction, an anchor-adjacency conservation score, breakpoint counts,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is more accurate than skani and FastANI at 80–95% ANI, while a hybrid rule restores skani-level accuracy at 97–100% ANI. The same pass additionally provides synteny and SV outputs that k-mer tools do not report.</w:t>
      </w:r>
    </w:p>
    <w:p>
      <w:r>
        <w:pict>
          <v:rect style="width:0;height:1.5pt" o:hralign="center" o:hrstd="t" o:hr="t"/>
        </w:pict>
      </w:r>
    </w:p>
    <w:bookmarkEnd w:id="11"/>
    <w:bookmarkStart w:id="22"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1b).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 Supplementary Figs. S5–S8). At fixed 95% ANI with 0–4 deletions per 100 kb, errors stay between +0.032 and +0.184 (MAE 0.081). Simulated fragmentation into 20–201 contigs yields errors of +0.018 to +0.179 (MAE 0.093). Ladders on five genomes spanning GC 27.2–72.1% give MAE 0.074–0.356, not monotone in GC.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(Fig. 3a). On a strictly held-out set of</w:t>
      </w:r>
      <w:r>
        <w:t xml:space="preserve"> </w:t>
      </w:r>
      <w:r>
        <w:rPr>
          <w:b/>
          <w:bCs/>
        </w:rPr>
        <w:t xml:space="preserve">43,334</w:t>
      </w:r>
      <w:r>
        <w:t xml:space="preserve"> </w:t>
      </w:r>
      <w:r>
        <w:t xml:space="preserve">same-genus pairs with training genomes excluded in both directions, the calibrated estimator attains MAE</w:t>
      </w:r>
      <w:r>
        <w:t xml:space="preserve"> </w:t>
      </w:r>
      <w:r>
        <w:rPr>
          <w:b/>
          <w:bCs/>
        </w:rPr>
        <w:t xml:space="preserve">0.619</w:t>
      </w:r>
      <w:r>
        <w:t xml:space="preserve"> </w:t>
      </w:r>
      <w:r>
        <w:t xml:space="preserve">(bias −0.12, r = 0.962), versus skani 0.957 and FastANI 0.977 on the same pairs (Fig. 3b). The advantage is largest at 80–90% ANI, where skani and FastANI carry a ~1.9-point downward bias. The one-sided upper bound covers ANIm truth on 99.4% of all 43,334 pairs.</w:t>
      </w:r>
    </w:p>
    <w:p>
      <w:pPr>
        <w:pStyle w:val="BodyText"/>
      </w:pPr>
      <w:r>
        <w:t xml:space="preserve">A unified 80–100% benchmark combines the 43,334 held-out pairs with 727 high-ANI test pairs sampled from non-representative GTDB-R207 genomes. A simple hybrid rule — raw gated estimate at ≥98% ANI, calibrated estimate below — gives the lowest overall MAE (</w:t>
      </w:r>
      <w:r>
        <w:rPr>
          <w:b/>
          <w:bCs/>
        </w:rPr>
        <w:t xml:space="preserve">0.615</w:t>
      </w:r>
      <w:r>
        <w:t xml:space="preserve">), recovering the strong raw performance in the 97–100% regime (MAE 0.23) without degrading 95–97% (Fig. 4; Supplementary Fig. S3). A threshold sweep shows the boundary is not critical: 97% gives MAE 0.619, 98% gives 0.615, and 99% gives 0.614.</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(Fig. 5).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7"/>
    <w:bookmarkStart w:id="18"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Syn2bANI reports three structurally informative quantities from the same anchor chains:</w:t>
      </w:r>
      <w:r>
        <w:t xml:space="preserve"> </w:t>
      </w:r>
      <w:r>
        <w:rPr>
          <w:rStyle w:val="VerbatimChar"/>
        </w:rPr>
        <w:t xml:space="preserve">breakpoint_count</w:t>
      </w:r>
      <w:r>
        <w:t xml:space="preserve">, the number of chain-disrupting orientation flips and large indels;</w:t>
      </w:r>
      <w:r>
        <w:t xml:space="preserve"> </w:t>
      </w:r>
      <w:r>
        <w:rPr>
          <w:rStyle w:val="VerbatimChar"/>
        </w:rPr>
        <w:t xml:space="preserve">anchor_adjacency</w:t>
      </w:r>
      <w:r>
        <w:t xml:space="preserve">, the fraction of chained-anchor adjacencies that remain collinear; and</w:t>
      </w:r>
      <w:r>
        <w:t xml:space="preserve"> </w:t>
      </w:r>
      <w:r>
        <w:rPr>
          <w:rStyle w:val="VerbatimChar"/>
        </w:rPr>
        <w:t xml:space="preserve">af_query</w:t>
      </w:r>
      <w:r>
        <w:t xml:space="preserve">, the base-pair fraction of the query covered by chains.</w:t>
      </w:r>
      <w:r>
        <w:t xml:space="preserve"> </w:t>
      </w:r>
      <w:r>
        <w:rPr>
          <w:rStyle w:val="VerbatimChar"/>
        </w:rPr>
        <w:t xml:space="preserve">breakpoint_count</w:t>
      </w:r>
      <w:r>
        <w:t xml:space="preserve"> </w:t>
      </w:r>
      <w:r>
        <w:t xml:space="preserve">and</w:t>
      </w:r>
      <w:r>
        <w:t xml:space="preserve"> </w:t>
      </w:r>
      <w:r>
        <w:rPr>
          <w:rStyle w:val="VerbatimChar"/>
        </w:rPr>
        <w:t xml:space="preserve">synteny_blocks</w:t>
      </w:r>
      <w:r>
        <w:t xml:space="preserve"> </w:t>
      </w:r>
      <w:r>
        <w:t xml:space="preserve">are rearrangement statistics;</w:t>
      </w:r>
      <w:r>
        <w:t xml:space="preserve"> </w:t>
      </w:r>
      <w:r>
        <w:rPr>
          <w:rStyle w:val="VerbatimChar"/>
        </w:rPr>
        <w:t xml:space="preserve">anchor_adjacency</w:t>
      </w:r>
      <w:r>
        <w:t xml:space="preserve"> </w:t>
      </w:r>
      <w:r>
        <w:t xml:space="preserve">is an anchor-adjacency conservation metric;</w:t>
      </w:r>
      <w:r>
        <w:t xml:space="preserve"> </w:t>
      </w:r>
      <w:r>
        <w:rPr>
          <w:rStyle w:val="VerbatimChar"/>
        </w:rPr>
        <w:t xml:space="preserve">af_query</w:t>
      </w:r>
      <w:r>
        <w:t xml:space="preserve"> </w:t>
      </w:r>
      <w:r>
        <w:t xml:space="preserve">is the coverage metric that corresponds to alignment-based aligned fraction.</w:t>
      </w:r>
    </w:p>
    <w:p>
      <w:pPr>
        <w:pStyle w:val="BodyText"/>
      </w:pPr>
      <w:r>
        <w:t xml:space="preserve">We quantified this on four published isolate collections from a recent synteny-based strain-tracking study10. In a longitudinal</w:t>
      </w:r>
      <w:r>
        <w:t xml:space="preserve"> </w:t>
      </w:r>
      <w:r>
        <w:rPr>
          <w:i/>
          <w:iCs/>
        </w:rPr>
        <w:t xml:space="preserve">E. coli</w:t>
      </w:r>
      <w:r>
        <w:t xml:space="preserve"> </w:t>
      </w:r>
      <w:r>
        <w:t xml:space="preserve">hypermutator lineage, every cross-time pair with ANI &gt;99.9% shows an anchor adjacency of only 0.70–0.76 and 850–1,130 breakpoints. Re-analysis with</w:t>
      </w:r>
      <w:r>
        <w:t xml:space="preserve"> </w:t>
      </w:r>
      <w:r>
        <w:rPr>
          <w:rStyle w:val="VerbatimChar"/>
        </w:rPr>
        <w:t xml:space="preserve">syn2bani struct</w:t>
      </w:r>
      <w:r>
        <w:t xml:space="preserve"> </w:t>
      </w:r>
      <w:r>
        <w:t xml:space="preserve">resolves representative pairs into dozens of chains with tens of inversions and translocations (Fig. 6a; Table 1).</w:t>
      </w:r>
      <w:r>
        <w:t xml:space="preserve"> </w:t>
      </w:r>
      <w:r>
        <w:rPr>
          <w:i/>
          <w:iCs/>
        </w:rPr>
        <w:t xml:space="preserve">Helicobacter pylori</w:t>
      </w:r>
      <w:r>
        <w:t xml:space="preserve"> </w:t>
      </w:r>
      <w:r>
        <w:t xml:space="preserve">same-host pairs cluster at ANI &gt;99.9% but the lowest-anchor-adjacency cases carry 44–63 breakpoints.</w:t>
      </w:r>
      <w:r>
        <w:t xml:space="preserve"> </w:t>
      </w:r>
      <w:r>
        <w:rPr>
          <w:i/>
          <w:iCs/>
        </w:rPr>
        <w:t xml:space="preserve">Neisseria gonorrhoeae</w:t>
      </w:r>
      <w:r>
        <w:t xml:space="preserve"> </w:t>
      </w:r>
      <w:r>
        <w:t xml:space="preserve">and</w:t>
      </w:r>
      <w:r>
        <w:t xml:space="preserve"> </w:t>
      </w:r>
      <w:r>
        <w:rPr>
          <w:i/>
          <w:iCs/>
        </w:rPr>
        <w:t xml:space="preserve">Streptomyces rimosus</w:t>
      </w:r>
      <w:r>
        <w:t xml:space="preserve"> </w:t>
      </w:r>
      <w:r>
        <w:t xml:space="preserve">near-clonal pairs show the same decoupling, with</w:t>
      </w:r>
      <w:r>
        <w:t xml:space="preserve"> </w:t>
      </w:r>
      <w:r>
        <w:rPr>
          <w:i/>
          <w:iCs/>
        </w:rPr>
        <w:t xml:space="preserve">S. rimosus</w:t>
      </w:r>
      <w:r>
        <w:t xml:space="preserve"> </w:t>
      </w:r>
      <w:r>
        <w:t xml:space="preserve">reaching 2,957 breakpoints at 99.9945% ANI (Fig. 6b; Supplementary Fig. S11).</w:t>
      </w:r>
    </w:p>
    <w:p>
      <w:pPr>
        <w:pStyle w:val="BodyText"/>
      </w:pPr>
      <w:r>
        <w:t xml:space="preserve">The same pattern appears at database scale. Among 336 GTDB-R207 representative pairs with ANI ≥ 99.0% and aligned fraction ≥ 0.9 in both directions, 7.4% have an anchor adjacency &lt; 0.99 and 2.4% fall below 0.98 — i.e. pairs an ANI-only search would return as near-clonal yet which are structurally divergent.</w:t>
      </w:r>
    </w:p>
    <w:bookmarkEnd w:id="18"/>
    <w:bookmarkStart w:id="19" w:name="X92400c92582d6c59801983ff28fc6c6eb37ec86"/>
    <w:p>
      <w:pPr>
        <w:pStyle w:val="Heading3"/>
      </w:pPr>
      <w:r>
        <w:t xml:space="preserve">Structural outputs agree with independent truth</w:t>
      </w:r>
    </w:p>
    <w:p>
      <w:pPr>
        <w:pStyle w:val="FirstParagraph"/>
      </w:pPr>
      <w:r>
        <w:t xml:space="preserve">To test whether the breakpoint and coverage metrics are reliable, we compared them with alignment-based truth on the GTDB-R207 held-out benchmark (43,334 pairs). Syn2bANI</w:t>
      </w:r>
      <w:r>
        <w:t xml:space="preserve"> </w:t>
      </w:r>
      <w:r>
        <w:rPr>
          <w:rStyle w:val="VerbatimChar"/>
        </w:rPr>
        <w:t xml:space="preserve">breakpoint_count</w:t>
      </w:r>
      <w:r>
        <w:t xml:space="preserve"> </w:t>
      </w:r>
      <w:r>
        <w:t xml:space="preserve">correlates with dnadiff breakpoints (Spearman r = 0.54–0.56) and with dnadiff large indels after a 10 kb gap filter (Spearman r = 0.70);</w:t>
      </w:r>
      <w:r>
        <w:t xml:space="preserve"> </w:t>
      </w:r>
      <w:r>
        <w:rPr>
          <w:rStyle w:val="VerbatimChar"/>
        </w:rPr>
        <w:t xml:space="preserve">synteny_blocks</w:t>
      </w:r>
      <w:r>
        <w:t xml:space="preserve"> </w:t>
      </w:r>
      <w:r>
        <w:t xml:space="preserve">shows similar agreement (Spearman r = 0.61–0.62). An independent minimap2 truth set (standard PAF without CIGAR) gives a moderate positive correlation with</w:t>
      </w:r>
      <w:r>
        <w:t xml:space="preserve"> </w:t>
      </w:r>
      <w:r>
        <w:rPr>
          <w:rStyle w:val="VerbatimChar"/>
        </w:rPr>
        <w:t xml:space="preserve">breakpoint_count</w:t>
      </w:r>
      <w:r>
        <w:t xml:space="preserve"> </w:t>
      </w:r>
      <w:r>
        <w:t xml:space="preserve">(Spearman r = 0.36), consistent with the two aligners resolving rearrangements at different granularities. The base-pair coverage metric</w:t>
      </w:r>
      <w:r>
        <w:t xml:space="preserve"> </w:t>
      </w:r>
      <w:r>
        <w:rPr>
          <w:rStyle w:val="VerbatimChar"/>
        </w:rPr>
        <w:t xml:space="preserve">af_query</w:t>
      </w:r>
      <w:r>
        <w:t xml:space="preserve"> </w:t>
      </w:r>
      <w:r>
        <w:t xml:space="preserve">correlates with dnadiff and minimap2 synteny/coverage scores (Spearman r = 0.39 and 0.26), confirming that it is the output that aligns with alignment-based aligned fraction. By contrast, the anchor-adjacency metric</w:t>
      </w:r>
      <w:r>
        <w:t xml:space="preserve"> </w:t>
      </w:r>
      <w:r>
        <w:rPr>
          <w:rStyle w:val="VerbatimChar"/>
        </w:rPr>
        <w:t xml:space="preserve">anchor_adjacency</w:t>
      </w:r>
      <w:r>
        <w:t xml:space="preserve"> </w:t>
      </w:r>
      <w:r>
        <w:t xml:space="preserve">is uncorrelated with rearrangement count (Spearman r ≈ −0.27 with dnadiff and −0.01 with minimap2) and only weakly correlated with base-pair synteny/coverage scores (Spearman r = 0.33 and −0.01). The two Syn2bANI metrics are themselves only weakly correlated (Pearson r = 0.29), and a diagnostic plot of the held-out benchmark reveals four interpretable quadrants (Supplementary Fig. S13): 6,764 pairs have high</w:t>
      </w:r>
      <w:r>
        <w:t xml:space="preserve"> </w:t>
      </w:r>
      <w:r>
        <w:rPr>
          <w:rStyle w:val="VerbatimChar"/>
        </w:rPr>
        <w:t xml:space="preserve">anchor_adjacency</w:t>
      </w:r>
      <w:r>
        <w:t xml:space="preserve"> </w:t>
      </w:r>
      <w:r>
        <w:t xml:space="preserve">(&gt;0.99) but low alignment-based synteny (&lt;0.5), because the few anchors that remain chained happen to be collinear while most of the genome is unchained; 2,242 pairs have high</w:t>
      </w:r>
      <w:r>
        <w:t xml:space="preserve"> </w:t>
      </w:r>
      <w:r>
        <w:rPr>
          <w:rStyle w:val="VerbatimChar"/>
        </w:rPr>
        <w:t xml:space="preserve">af_query</w:t>
      </w:r>
      <w:r>
        <w:t xml:space="preserve"> </w:t>
      </w:r>
      <w:r>
        <w:t xml:space="preserve">(&gt;0.8) but low alignment-based synteny, the signature of extensive rearrangement inside an otherwise alignable genome; 2,281 pairs have low coverage but locally collinear anchors; and 470 pairs show the opposite mismatch. These deviations explain why</w:t>
      </w:r>
      <w:r>
        <w:t xml:space="preserve"> </w:t>
      </w:r>
      <w:r>
        <w:rPr>
          <w:rStyle w:val="VerbatimChar"/>
        </w:rPr>
        <w:t xml:space="preserve">anchor_adjacency</w:t>
      </w:r>
      <w:r>
        <w:t xml:space="preserve"> </w:t>
      </w:r>
      <w:r>
        <w:t xml:space="preserve">should not be read as a proxy for base-pair synteny, and why the two metrics are reported separately. On an engineered</w:t>
      </w:r>
      <w:r>
        <w:t xml:space="preserve"> </w:t>
      </w:r>
      <w:r>
        <w:rPr>
          <w:i/>
          <w:iCs/>
        </w:rPr>
        <w:t xml:space="preserve">H. pylori</w:t>
      </w:r>
      <w:r>
        <w:t xml:space="preserve"> </w:t>
      </w:r>
      <w:r>
        <w:t xml:space="preserve">cagPAI test panel, a 36,154 bp deletion/insertion is recovered as a single insertion call of 36,154 bp (Supplementary Fig. S12).</w:t>
      </w:r>
    </w:p>
    <w:bookmarkEnd w:id="19"/>
    <w:bookmarkStart w:id="20" w:name="X22ca90b5ddbcd0e54633185a36b80aa5112cf3f"/>
    <w:p>
      <w:pPr>
        <w:pStyle w:val="Heading3"/>
      </w:pPr>
      <w:r>
        <w:t xml:space="preserve">A functional locus invisible to ANI is detectable by local chain coverage</w:t>
      </w:r>
    </w:p>
    <w:p>
      <w:pPr>
        <w:pStyle w:val="FirstParagraph"/>
      </w:pPr>
      <w:r>
        <w:t xml:space="preserve">The limitation of a single ANI value is not merely theoretical. In a published collection of 185</w:t>
      </w:r>
      <w:r>
        <w:t xml:space="preserve"> </w:t>
      </w:r>
      <w:r>
        <w:rPr>
          <w:i/>
          <w:iCs/>
        </w:rPr>
        <w:t xml:space="preserve">Bifidobacterium longum</w:t>
      </w:r>
      <w:r>
        <w:t xml:space="preserve"> </w:t>
      </w:r>
      <w:r>
        <w:t xml:space="preserve">isolates associated with constipation treatment, all pairwise ANIs are ≥98.67% and cannot separate strains that carry a complete abfA gene cluster from those with a deleted or peripheral-truncated cluster. Whole-genome aligned fraction is also uninformative (median 0.861 vs 0.867, MWU p = 0.66). However, locus-targeted Syn2bANI chain coverage over the abfA cluster periphery (17.2–37.1 kb) differs significantly between complete and deleted groups (median coverage 1.0 vs 0.16, MWU p = 1.4 × 10⁻³; Fig. 7). The signal is specific to the functional locus (the adjacent downstream region is indistinguishable, p = 0.40) and demonstrates that coordinate-carrying anchors can localize phenotype-relevant structural differences that are invisible to genome-wide ANI.</w:t>
      </w:r>
    </w:p>
    <w:bookmarkEnd w:id="20"/>
    <w:bookmarkStart w:id="21" w:name="computational-efficiency"/>
    <w:p>
      <w:pPr>
        <w:pStyle w:val="Heading3"/>
      </w:pPr>
      <w:r>
        <w:t xml:space="preserve">Computational efficiency</w:t>
      </w:r>
    </w:p>
    <w:p>
      <w:pPr>
        <w:pStyle w:val="FirstParagraph"/>
      </w:pPr>
      <w:r>
        <w:t xml:space="preserve">On all-vs-all comparison of 22 genomes (14 complete Enterobacteriaceae plus 8 real draft</w:t>
      </w:r>
      <w:r>
        <w:t xml:space="preserve"> </w:t>
      </w:r>
      <w:r>
        <w:rPr>
          <w:i/>
          <w:iCs/>
        </w:rPr>
        <w:t xml:space="preserve">E. coli</w:t>
      </w:r>
      <w:r>
        <w:t xml:space="preserve">), Syn2bANI computes all 484 pairs in 3.73 s from FASTA or 2.79 s reusing sketches, against 17.7 s for FastANI and 0.15 s for skani (the latter reports only 302/484 pairs because of its minimum-AF filter and excludes sketching). Peak memory is 58 MB with sketch reuse versus 185 MB (skani) and 912 MB (FastANI); the sketch store is ~5× smaller than skani’s (Supplementary Fig. S6).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 skani remains faster at scale, a trade-off that is stated openly.</w:t>
      </w:r>
    </w:p>
    <w:p>
      <w:r>
        <w:pict>
          <v:rect style="width:0;height:1.5pt" o:hralign="center" o:hrstd="t" o:hr="t"/>
        </w:pict>
      </w:r>
    </w:p>
    <w:bookmarkEnd w:id="21"/>
    <w:bookmarkEnd w:id="22"/>
    <w:bookmarkStart w:id="23"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a direct consequence of using coordinate-carrying anchors: in an era of strain-resolved metagenomics, ANI alone is insufficient to decide whether two genomes are truly equivalent, and breakpoint counts, synteny blocks, and SV calls provide a second, biologically interpretable axis of comparison. Unlike dedicated structural tools such as minigraph-Cactus19, SyRI20, or Mauve21, Syn2bANI does not aim to reconstruct full genome graphs or base-level alignments; instead it reports breakpoint counts, inversion/translocation calls, and a chain-coverage score directly from the anchor chains used for ANI estimation, at no additional modeling cost.</w:t>
      </w:r>
    </w:p>
    <w:p>
      <w:r>
        <w:pict>
          <v:rect style="width:0;height:1.5pt" o:hralign="center" o:hrstd="t" o:hr="t"/>
        </w:pict>
      </w:r>
    </w:p>
    <w:bookmarkEnd w:id="23"/>
    <w:bookmarkStart w:id="35" w:name="online-methods"/>
    <w:p>
      <w:pPr>
        <w:pStyle w:val="Heading2"/>
      </w:pPr>
      <w:r>
        <w:t xml:space="preserve">Online Methods</w:t>
      </w:r>
    </w:p>
    <w:bookmarkStart w:id="24"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4"/>
    <w:bookmarkStart w:id="25"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5"/>
    <w:bookmarkStart w:id="26" w:name="Xc84f212d8323a8f017575d3d7a92fc22fb23227"/>
    <w:p>
      <w:pPr>
        <w:pStyle w:val="Heading3"/>
      </w:pPr>
      <w:r>
        <w:t xml:space="preserve">Chain-restricted stratified MLE, gating, and flags</w:t>
      </w:r>
    </w:p>
    <w:p>
      <w:pPr>
        <w:pStyle w:val="FirstParagraph"/>
      </w:pPr>
      <w:r>
        <w:t xml:space="preserve">For a query tag inside a chained region, with tag length k, recognition-site length s, mutable body b = k − s, and mismatch budget tol, the outcome probabilities under per-base identity a are: found with m body mismatches, P_m(a) = C(b, m)·(1−a)</w:t>
      </w:r>
      <w:r>
        <w:rPr>
          <w:vertAlign w:val="superscript"/>
        </w:rPr>
        <w:t xml:space="preserve">m·a</w:t>
      </w:r>
      <w:r>
        <w:t xml:space="preserve">(k−m) for m ≤ tol; not found, P_miss(a) = 1 − Σ P_m(a). Mismatches are observable only in the body — a site mutation deletes the tag — so the site contributes a^s but never appears in the histogram; this also sets a hard retention ceiling (~0.72 at 95% ANI, ~0.50 at 90%). The log-likelihood is summed over per-enzyme strata (each with its own k and b) and maximized over the scalar a by golden-section search. Two partial estimators —</w:t>
      </w:r>
      <w:r>
        <w:t xml:space="preserve"> </w:t>
      </w:r>
      <w:r>
        <w:rPr>
          <w:rStyle w:val="VerbatimChar"/>
        </w:rPr>
        <w:t xml:space="preserve">ani_from_loss</w:t>
      </w:r>
      <w:r>
        <w:t xml:space="preserve"> </w:t>
      </w:r>
      <w:r>
        <w:t xml:space="preserve">(miss rate only) and</w:t>
      </w:r>
      <w:r>
        <w:t xml:space="preserve"> </w:t>
      </w:r>
      <w:r>
        <w:rPr>
          <w:rStyle w:val="VerbatimChar"/>
        </w:rPr>
        <w:t xml:space="preserve">ani_from_hist</w:t>
      </w:r>
      <w:r>
        <w:t xml:space="preserve"> </w:t>
      </w:r>
      <w:r>
        <w:t xml:space="preserve">(histogram only, renormalized by P(found)) — are independent estimates of the same quantity and power the diagnostics.</w:t>
      </w:r>
    </w:p>
    <w:p>
      <w:pPr>
        <w:pStyle w:val="BodyText"/>
      </w:pPr>
      <w:r>
        <w:t xml:space="preserve">The heterogeneous model gives each region a rate multiplier r ~ Gamma(α, α); because rate variation acts at kilobase scale while a tag is ~30 bp, all sites in a tag share one r, and integrating r out turns the mismatch count negative binomial with two parameters (mean divergence d, shape α) identifiable from the three histogram degrees of freedom plus the miss count. Guardrails: the second parameter is spent only when the likelihood-ratio statistic exceeds 3.841, and α is clamped to [0.1, 200]. Because the gamma shape and mean couple at the identifiability boundary when few tags survive (overshoots of 4–10 ANI points at mid-ANI), the shipped point estimate is</w:t>
      </w:r>
      <w:r>
        <w:t xml:space="preserve"> </w:t>
      </w:r>
      <w:r>
        <w:rPr>
          <w:b/>
          <w:bCs/>
        </w:rPr>
        <w:t xml:space="preserve">gated</w:t>
      </w:r>
      <w:r>
        <w:t xml:space="preserve">: report the homogeneous fit when |ani_from_loss − ani_from_hist| &gt; 5 ANI points, else the gamma fit. The threshold is an effect size, not a significance level — significance-scaled variants invert their error ranking on GTDB — and was chosen at the flat optimum (4.5–6 points) of a threshold sweep on the GTDB-ANIm matrix. It fires on 5.5% of GTDB pairs (MAE 2.819 vs 2.881 always-gamma; per-pair oracle bound 2.788), on all 15 mid-ANI pairs (gamma MAE 4.48 → uniform fallback MAE 1.42), and never on uniform-rate sims, mosaic sims, or oral/gut same-species pairs, preserving gamma’s advantage exactly where it is real. The</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 precedence),</w:t>
      </w:r>
      <w:r>
        <w:t xml:space="preserve"> </w:t>
      </w:r>
      <w:r>
        <w:rPr>
          <w:rStyle w:val="VerbatimChar"/>
        </w:rPr>
        <w:t xml:space="preserve">INCONSISTENT</w:t>
      </w:r>
      <w:r>
        <w:t xml:space="preserve"> </w:t>
      </w:r>
      <w:r>
        <w:t xml:space="preserve">(the gate fell back, or the chains carry &gt; 0.5 rearrangement breakpoints per anchor — a structural statistic that does not share the chain-restricted likelihood denominator), else</w:t>
      </w:r>
      <w:r>
        <w:t xml:space="preserve"> </w:t>
      </w:r>
      <w:r>
        <w:rPr>
          <w:rStyle w:val="VerbatimChar"/>
        </w:rPr>
        <w:t xml:space="preserve">ok</w:t>
      </w:r>
      <w:r>
        <w:t xml:space="preserve">. The recalibrated flag never inverts its error ranking on any validation set (kept vs flagged MAE: GTDB-ANIm 2.415 vs 4.153; oral/gut 0.514 vs 4.269; mid-ANI 0.343 vs 1.113), at a disclosed cost in near-clonal sensitivity.</w:t>
      </w:r>
    </w:p>
    <w:bookmarkEnd w:id="26"/>
    <w:bookmarkStart w:id="27"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8"/>
    <w:bookmarkStart w:id="29" w:name="ridge-calibration-protocol"/>
    <w:p>
      <w:pPr>
        <w:pStyle w:val="Heading3"/>
      </w:pPr>
      <w:r>
        <w:t xml:space="preserve">Ridge calibration protocol</w:t>
      </w:r>
    </w:p>
    <w:p>
      <w:pPr>
        <w:pStyle w:val="FirstParagraph"/>
      </w:pPr>
      <w:r>
        <w:t xml:space="preserve">The calibration model is ridge regression on nine Syn2bANI-internal features —</w:t>
      </w:r>
      <w:r>
        <w:t xml:space="preserve"> </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t>
      </w:r>
      <w:r>
        <w:t xml:space="preserve">— with median imputation and standardization, regularization α = 10 selected by inner cross-validation (scikit-learn29), trained on 2,520 ANIm-truth pairs (2,053 finite pairs from the stratified 2,074-pair GTDB benchmark plus 467 targeted 95.0–99.15% ANIm pairs from a skani screen of all 2.26 M same-genus GTDB-R207 pairs followed by dnadiff on 650 selected candidates; 607 species, 26 phyla, zero overlap with the existing set). Validation is</w:t>
      </w:r>
      <w:r>
        <w:t xml:space="preserve"> </w:t>
      </w:r>
      <w:r>
        <w:rPr>
          <w:b/>
          <w:bCs/>
        </w:rPr>
        <w:t xml:space="preserve">band-holdout</w:t>
      </w:r>
      <w:r>
        <w:t xml:space="preserve">: each of the four ANI bands (80–85, 85–90, 90–95, 95–99) is predicted by a model trained on the other three only. Training rows are shuffled with a fixed seed before CV (the inner KFold of the ridge CV is order-sensitive); seed spread over 5 seeds is ≤ 0.0015 MAE. An expanded 18-feature variant and a gradient-boosted model on the same features were evaluated and rejected (nonlinearity buys nothing at n ≈ 2,500, and the expanded set degrades out-of-distribution on near-clonal pairs). A learning-curve analysis (492/984/1,476/1,969 training pairs → CV MAE 0.952/0.902/0.887/0.893) shows the linear model plateaus at ~1,500 pairs. The model ships as a versioned JSON swapped into the binary; all feature matrices were re-run with the post-rescue binary before training, so there is no version skew between the shipped estimator and the deployed model. Calibrated output is a separate column (</w:t>
      </w:r>
      <w:r>
        <w:rPr>
          <w:rStyle w:val="VerbatimChar"/>
        </w:rPr>
        <w:t xml:space="preserve">--calibrate</w:t>
      </w:r>
      <w:r>
        <w:t xml:space="preserve">); it returns no value on</w:t>
      </w:r>
      <w:r>
        <w:t xml:space="preserve"> </w:t>
      </w:r>
      <w:r>
        <w:rPr>
          <w:rStyle w:val="VerbatimChar"/>
        </w:rPr>
        <w:t xml:space="preserve">BELOW_DETECTION</w:t>
      </w:r>
      <w:r>
        <w:t xml:space="preserve"> </w:t>
      </w:r>
      <w:r>
        <w:t xml:space="preserve">pairs rather than extrapolating.</w:t>
      </w:r>
    </w:p>
    <w:bookmarkEnd w:id="29"/>
    <w:bookmarkStart w:id="30" w:name="Xd3b37ce8f62a83dd9d52f682daa388ffbd3bd4e"/>
    <w:p>
      <w:pPr>
        <w:pStyle w:val="Heading3"/>
      </w:pPr>
      <w:r>
        <w:t xml:space="preserve">The spatial-model negative result (identifiability analysis)</w:t>
      </w:r>
    </w:p>
    <w:p>
      <w:pPr>
        <w:pStyle w:val="FirstParagraph"/>
      </w:pPr>
      <w:r>
        <w:t xml:space="preserve">The mechanistic alternative to calibration was evaluated in full (prototype in Python against 19 exact-truth mosaic simulations, then the GTDB-ANIm matrix). The bias decomposes into an in-chain distribution-family term — asymptotic in-chain MAE 2.25 for gamma, 1.25 for a capped grid NPMLE, so a nonparametric fit fixes at most ~0.1–0.2 GTDB MAE — and a coverage term: the divergence of the unchained fraction is not identifiable from tag data, since the out-of-chain anchor residual is ≈ 0 within multi-match noise whether the unchained mass is saturated-divergent or accessory, and an oracle given the exact identity of the chained sample still errs by MAE 1.36 against whole-genome truth. No candidate (AF-weighted mixtures, discrete mixtures, ascertainment-aware tilts, capped NPMLE with and without LRT gating, model averaging) beats the gated baseline while holding all simulation gates. The raw estimator is therefore at its identifiability floor at 4-enzyme tag density; this analysis is why calibration, not a new likelihood, is the deployed correction layer.</w:t>
      </w:r>
    </w:p>
    <w:bookmarkEnd w:id="30"/>
    <w:bookmarkStart w:id="31"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Validation against dnadiff used span-based one-to-many matching because dnadiff fragments large accessory regions into many small events while Syn2bANI calls each junction once.</w:t>
      </w:r>
    </w:p>
    <w:p>
      <w:pPr>
        <w:pStyle w:val="BodyText"/>
      </w:pPr>
      <w:r>
        <w:t xml:space="preserve">Three structural metrics are exported for every pair.</w:t>
      </w:r>
      <w:r>
        <w:t xml:space="preserve"> </w:t>
      </w:r>
      <w:r>
        <w:rPr>
          <w:rStyle w:val="VerbatimChar"/>
        </w:rPr>
        <w:t xml:space="preserve">synteny_blocks</w:t>
      </w:r>
      <w:r>
        <w:t xml:space="preserve"> </w:t>
      </w:r>
      <w:r>
        <w:t xml:space="preserve">is the number of collinear chains;</w:t>
      </w:r>
      <w:r>
        <w:t xml:space="preserve"> </w:t>
      </w:r>
      <w:r>
        <w:rPr>
          <w:rStyle w:val="VerbatimChar"/>
        </w:rPr>
        <w:t xml:space="preserve">breakpoint_count</w:t>
      </w:r>
      <w:r>
        <w:t xml:space="preserve"> </w:t>
      </w:r>
      <w:r>
        <w:t xml:space="preserve">is the number of chain-disrupting events — orientation flips between consecutive chains, reference-order violations, and large indels — and is the primary rearrangement statistic.</w:t>
      </w:r>
      <w:r>
        <w:t xml:space="preserve"> </w:t>
      </w:r>
      <w:r>
        <w:rPr>
          <w:rStyle w:val="VerbatimChar"/>
        </w:rPr>
        <w:t xml:space="preserve">anchor_adjacency</w:t>
      </w:r>
      <w:r>
        <w:t xml:space="preserve"> </w:t>
      </w:r>
      <w:r>
        <w:t xml:space="preserve">is the fraction of possible adjacent anchor pairs (within chained query contigs) that remain collinear neighbors inside a chain; it is an anchor-adjacency conservation metric, not a base-pair coverage metric.</w:t>
      </w:r>
      <w:r>
        <w:t xml:space="preserve"> </w:t>
      </w:r>
      <w:r>
        <w:rPr>
          <w:rStyle w:val="VerbatimChar"/>
        </w:rPr>
        <w:t xml:space="preserve">af_query</w:t>
      </w:r>
      <w:r>
        <w:t xml:space="preserve"> </w:t>
      </w:r>
      <w:r>
        <w:t xml:space="preserve">is the fraction of query bases covered by chained anchors (base-pair aligned fraction) and is the quantity that corresponds to alignment-based synteny/coverage scores.</w:t>
      </w:r>
      <w:r>
        <w:t xml:space="preserve"> </w:t>
      </w:r>
      <w:r>
        <w:rPr>
          <w:rStyle w:val="VerbatimChar"/>
        </w:rPr>
        <w:t xml:space="preserve">af_reference</w:t>
      </w:r>
      <w:r>
        <w:t xml:space="preserve"> </w:t>
      </w:r>
      <w:r>
        <w:t xml:space="preserve">is the reference-side analogue.</w:t>
      </w:r>
    </w:p>
    <w:p>
      <w:pPr>
        <w:pStyle w:val="BodyText"/>
      </w:pPr>
      <w:r>
        <w:t xml:space="preserve">The reason</w:t>
      </w:r>
      <w:r>
        <w:t xml:space="preserve"> </w:t>
      </w:r>
      <w:r>
        <w:rPr>
          <w:rStyle w:val="VerbatimChar"/>
        </w:rPr>
        <w:t xml:space="preserve">anchor_adjacency</w:t>
      </w:r>
      <w:r>
        <w:t xml:space="preserve"> </w:t>
      </w:r>
      <w:r>
        <w:t xml:space="preserve">is only weakly correlated with alignment-based synteny scores is that the two quantities measure structurally different things.</w:t>
      </w:r>
      <w:r>
        <w:t xml:space="preserve"> </w:t>
      </w:r>
      <w:r>
        <w:rPr>
          <w:rStyle w:val="VerbatimChar"/>
        </w:rPr>
        <w:t xml:space="preserve">anchor_adjacency</w:t>
      </w:r>
      <w:r>
        <w:t xml:space="preserve"> </w:t>
      </w:r>
      <w:r>
        <w:t xml:space="preserve">is a combinatorial count over the fixed, sparse set of in-silico restriction anchors: a value of 1.0 means every pair of anchors that are neighbors on a query contig are also neighbors inside a collinear chain, and lower values record how often local anchor order is interrupted by inversions, indels, or translocations. Because the anchors are spaced at kilobase-scale intervals across the genome, a single large rearrangement that happens to fall between two adjacent anchors leaves</w:t>
      </w:r>
      <w:r>
        <w:t xml:space="preserve"> </w:t>
      </w:r>
      <w:r>
        <w:rPr>
          <w:rStyle w:val="VerbatimChar"/>
        </w:rPr>
        <w:t xml:space="preserve">anchor_adjacency</w:t>
      </w:r>
      <w:r>
        <w:t xml:space="preserve"> </w:t>
      </w:r>
      <w:r>
        <w:t xml:space="preserve">unchanged, while a small inversion that reorders only a few anchors can reduce it sharply even when the majority of base pairs are still alignable. Conversely,</w:t>
      </w:r>
      <w:r>
        <w:t xml:space="preserve"> </w:t>
      </w:r>
      <w:r>
        <w:rPr>
          <w:rStyle w:val="VerbatimChar"/>
        </w:rPr>
        <w:t xml:space="preserve">af_query</w:t>
      </w:r>
      <w:r>
        <w:t xml:space="preserve"> </w:t>
      </w:r>
      <w:r>
        <w:t xml:space="preserve">and</w:t>
      </w:r>
      <w:r>
        <w:t xml:space="preserve"> </w:t>
      </w:r>
      <w:r>
        <w:rPr>
          <w:rStyle w:val="VerbatimChar"/>
        </w:rPr>
        <w:t xml:space="preserve">breakpoint_count</w:t>
      </w:r>
      <w:r>
        <w:t xml:space="preserve"> </w:t>
      </w:r>
      <w:r>
        <w:t xml:space="preserve">report base-pair coverage and rearrangement counts, respectively, so</w:t>
      </w:r>
      <w:r>
        <w:t xml:space="preserve"> </w:t>
      </w:r>
      <w:r>
        <w:rPr>
          <w:rStyle w:val="VerbatimChar"/>
        </w:rPr>
        <w:t xml:space="preserve">af_query</w:t>
      </w:r>
      <w:r>
        <w:t xml:space="preserve"> </w:t>
      </w:r>
      <w:r>
        <w:t xml:space="preserve">aligns with dnadiff/minimap2 coverage metrics and</w:t>
      </w:r>
      <w:r>
        <w:t xml:space="preserve"> </w:t>
      </w:r>
      <w:r>
        <w:rPr>
          <w:rStyle w:val="VerbatimChar"/>
        </w:rPr>
        <w:t xml:space="preserve">breakpoint_count</w:t>
      </w:r>
      <w:r>
        <w:t xml:space="preserve"> </w:t>
      </w:r>
      <w:r>
        <w:t xml:space="preserve">aligns with alignment-based breakpoint counts. Treating</w:t>
      </w:r>
      <w:r>
        <w:t xml:space="preserve"> </w:t>
      </w:r>
      <w:r>
        <w:rPr>
          <w:rStyle w:val="VerbatimChar"/>
        </w:rPr>
        <w:t xml:space="preserve">anchor_adjacency</w:t>
      </w:r>
      <w:r>
        <w:t xml:space="preserve"> </w:t>
      </w:r>
      <w:r>
        <w:t xml:space="preserve">as a separate anchor-order statistic rather than as a proxy for base-pair synteny is therefore deliberate: it captures the fine-scale collinearity of the anchor map, which is invisible to an ANI scalar and only partially correlated with alignment-based coverage.</w:t>
      </w:r>
    </w:p>
    <w:bookmarkEnd w:id="31"/>
    <w:bookmarkStart w:id="32"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2"/>
    <w:bookmarkStart w:id="33"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provide the large-scale comparison in Fig. 6.</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anchor_adjacency</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(Fig. 6;</w:t>
      </w:r>
      <w:r>
        <w:t xml:space="preserve"> </w:t>
      </w:r>
      <w:r>
        <w:rPr>
          <w:rStyle w:val="VerbatimChar"/>
        </w:rPr>
        <w:t xml:space="preserve">results/syntracker_validation/</w:t>
      </w:r>
      <w:r>
        <w:t xml:space="preserve">).</w:t>
      </w:r>
      <w:r>
        <w:t xml:space="preserve"> </w:t>
      </w:r>
      <w:r>
        <w:t xml:space="preserve">-</w:t>
      </w:r>
      <w:r>
        <w:t xml:space="preserve"> </w:t>
      </w:r>
      <w:r>
        <w:rPr>
          <w:b/>
          <w:bCs/>
        </w:rPr>
        <w:t xml:space="preserve">cagPAI pilot panel.</w:t>
      </w:r>
      <w:r>
        <w:t xml:space="preserve"> </w:t>
      </w:r>
      <w:r>
        <w:t xml:space="preserve">Eight</w:t>
      </w:r>
      <w:r>
        <w:t xml:space="preserve"> </w:t>
      </w:r>
      <w:r>
        <w:rPr>
          <w:i/>
          <w:iCs/>
        </w:rPr>
        <w:t xml:space="preserve">H. pylori</w:t>
      </w:r>
      <w:r>
        <w:t xml:space="preserve"> </w:t>
      </w:r>
      <w:r>
        <w:t xml:space="preserve">26695-derived genomes were generated to test exact SV recovery: wild-type, a 36,154 bp cagPAI deletion, a 36,154 bp cagPAI inversion, a 36,154 bp cagPAI translocation, and the same three events on a mutated background carrying ~1% substitutions (mut1). All eight genomes were compared all-vs-all with</w:t>
      </w:r>
      <w:r>
        <w:t xml:space="preserve"> </w:t>
      </w:r>
      <w:r>
        <w:rPr>
          <w:rStyle w:val="VerbatimChar"/>
        </w:rPr>
        <w:t xml:space="preserve">syn2bani ani</w:t>
      </w:r>
      <w:r>
        <w:t xml:space="preserve"> </w:t>
      </w:r>
      <w:r>
        <w:t xml:space="preserve">and</w:t>
      </w:r>
      <w:r>
        <w:t xml:space="preserve"> </w:t>
      </w:r>
      <w:r>
        <w:rPr>
          <w:rStyle w:val="VerbatimChar"/>
        </w:rPr>
        <w:t xml:space="preserve">syn2bani struct</w:t>
      </w:r>
      <w:r>
        <w:t xml:space="preserve">; event sizes and coordinates are known by construction (</w:t>
      </w:r>
      <w:r>
        <w:rPr>
          <w:rStyle w:val="VerbatimChar"/>
        </w:rPr>
        <w:t xml:space="preserve">data/cagpai_pilot/</w:t>
      </w:r>
      <w:r>
        <w:t xml:space="preserve">).</w:t>
      </w:r>
      <w:r>
        <w:t xml:space="preserve"> </w:t>
      </w:r>
      <w:r>
        <w:t xml:space="preserve">-</w:t>
      </w:r>
      <w:r>
        <w:t xml:space="preserve"> </w:t>
      </w:r>
      <w:r>
        <w:rPr>
          <w:b/>
          <w:bCs/>
          <w:i/>
          <w:iCs/>
        </w:rPr>
        <w:t xml:space="preserve">B. longum</w:t>
      </w:r>
      <w:r>
        <w:rPr>
          <w:b/>
          <w:bCs/>
        </w:rPr>
        <w:t xml:space="preserve"> </w:t>
      </w:r>
      <w:r>
        <w:rPr>
          <w:b/>
          <w:bCs/>
        </w:rPr>
        <w:t xml:space="preserve">abfA collection.</w:t>
      </w:r>
      <w:r>
        <w:t xml:space="preserve"> </w:t>
      </w:r>
      <w:r>
        <w:t xml:space="preserve">One hundred and eighty-five</w:t>
      </w:r>
      <w:r>
        <w:t xml:space="preserve"> </w:t>
      </w:r>
      <w:r>
        <w:rPr>
          <w:i/>
          <w:iCs/>
        </w:rPr>
        <w:t xml:space="preserve">Bifidobacterium longum</w:t>
      </w:r>
      <w:r>
        <w:t xml:space="preserve"> </w:t>
      </w:r>
      <w:r>
        <w:t xml:space="preserve">isolates from a constipation-treatment study were compared all-vs-all with</w:t>
      </w:r>
      <w:r>
        <w:t xml:space="preserve"> </w:t>
      </w:r>
      <w:r>
        <w:rPr>
          <w:rStyle w:val="VerbatimChar"/>
        </w:rPr>
        <w:t xml:space="preserve">syn2bani ani</w:t>
      </w:r>
      <w:r>
        <w:t xml:space="preserve"> </w:t>
      </w:r>
      <w:r>
        <w:t xml:space="preserve">(17,020 pairs). Curated metadata labels each strain as abfA-cluster-complete or deleted/peripheral-truncated (cluster2 in the original study). Locus-targeted chain coverage was computed by aligning each genome against an abfA-complete reference (FSHHK16M1) with</w:t>
      </w:r>
      <w:r>
        <w:t xml:space="preserve"> </w:t>
      </w:r>
      <w:r>
        <w:rPr>
          <w:rStyle w:val="VerbatimChar"/>
        </w:rPr>
        <w:t xml:space="preserve">syn2bani struct --paf</w:t>
      </w:r>
      <w:r>
        <w:t xml:space="preserve"> </w:t>
      </w:r>
      <w:r>
        <w:t xml:space="preserve">and summing chain coverage in 1 kb bins across the 8.5–37.1 kb abfA locus (</w:t>
      </w:r>
      <w:r>
        <w:rPr>
          <w:rStyle w:val="VerbatimChar"/>
        </w:rPr>
        <w:t xml:space="preserve">results/b_longum_abfA/</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3"/>
    <w:bookmarkStart w:id="34"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4"/>
    <w:bookmarkEnd w:id="35"/>
    <w:bookmarkStart w:id="36"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6"/>
    <w:bookmarkStart w:id="37"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7"/>
    <w:bookmarkStart w:id="38" w:name="acknowledgements"/>
    <w:p>
      <w:pPr>
        <w:pStyle w:val="Heading2"/>
      </w:pPr>
      <w:r>
        <w:t xml:space="preserve">Acknowledgements</w:t>
      </w:r>
    </w:p>
    <w:p>
      <w:pPr>
        <w:pStyle w:val="FirstParagraph"/>
      </w:pPr>
      <w:r>
        <w:t xml:space="preserve">[To be determined.]</w:t>
      </w:r>
    </w:p>
    <w:bookmarkEnd w:id="38"/>
    <w:bookmarkStart w:id="39" w:name="author-contributions"/>
    <w:p>
      <w:pPr>
        <w:pStyle w:val="Heading2"/>
      </w:pPr>
      <w:r>
        <w:t xml:space="preserve">Author contributions</w:t>
      </w:r>
    </w:p>
    <w:p>
      <w:pPr>
        <w:pStyle w:val="FirstParagraph"/>
      </w:pPr>
      <w:r>
        <w:t xml:space="preserve">[To be determined — placeholder.]</w:t>
      </w:r>
    </w:p>
    <w:bookmarkEnd w:id="39"/>
    <w:bookmarkStart w:id="40" w:name="competing-interests"/>
    <w:p>
      <w:pPr>
        <w:pStyle w:val="Heading2"/>
      </w:pPr>
      <w:r>
        <w:t xml:space="preserve">Competing interests</w:t>
      </w:r>
    </w:p>
    <w:p>
      <w:pPr>
        <w:pStyle w:val="FirstParagraph"/>
      </w:pPr>
      <w:r>
        <w:t xml:space="preserve">[To be determined — placeholder: The authors declare no competing interests.]</w:t>
      </w:r>
    </w:p>
    <w:bookmarkEnd w:id="40"/>
    <w:bookmarkStart w:id="41"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t xml:space="preserve">(2024).</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(huangshi@njau.edu.cn)</w:t>
      </w:r>
    </w:p>
    <w:p>
      <w:r>
        <w:pict>
          <v:rect style="width:0;height:1.5pt" o:hralign="center" o:hrstd="t" o:hr="t"/>
        </w:pict>
      </w:r>
    </w:p>
    <w:bookmarkEnd w:id="41"/>
    <w:bookmarkStart w:id="42"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anchor adjacency, SV calls, reliability flag, and</w:t>
      </w:r>
      <w:r>
        <w:t xml:space="preserve"> </w:t>
      </w:r>
      <w:r>
        <w:rPr>
          <w:rStyle w:val="VerbatimChar"/>
        </w:rPr>
        <w:t xml:space="preserve">ani_upper95</w:t>
      </w:r>
      <w:r>
        <w:t xml:space="preserve">. Source:</w:t>
      </w:r>
      <w:r>
        <w:t xml:space="preserve"> </w:t>
      </w:r>
      <w:r>
        <w:rPr>
          <w:rStyle w:val="VerbatimChar"/>
        </w:rPr>
        <w:t xml:space="preserve">figures/report/fig1_algorithm_schematic.png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GC ladders on five genomes (27.2–72.1% GC): MAE 0.074–0.356. (f) Accessory-content sweep (0–50% shuffled blocks at 95% core ANI): ANI estimate flat,</w:t>
      </w:r>
      <w:r>
        <w:t xml:space="preserve"> </w:t>
      </w:r>
      <w:r>
        <w:rPr>
          <w:rStyle w:val="VerbatimChar"/>
        </w:rPr>
        <w:t xml:space="preserve">af_query</w:t>
      </w:r>
      <w:r>
        <w:t xml:space="preserve"> </w:t>
      </w:r>
      <w:r>
        <w:t xml:space="preserve">tracks true shared fraction. Source panels:</w:t>
      </w:r>
      <w:r>
        <w:t xml:space="preserve"> </w:t>
      </w:r>
      <w:r>
        <w:rPr>
          <w:rStyle w:val="VerbatimChar"/>
        </w:rPr>
        <w:t xml:space="preserve">figures/report/fig1_simulation_ladder.png</w:t>
      </w:r>
      <w:r>
        <w:t xml:space="preserve"> </w:t>
      </w:r>
      <w:r>
        <w:t xml:space="preserve">and</w:t>
      </w:r>
      <w:r>
        <w:t xml:space="preserve"> </w:t>
      </w:r>
      <w:r>
        <w:rPr>
          <w:rStyle w:val="VerbatimChar"/>
        </w:rPr>
        <w:t xml:space="preserve">figures/report/fig2_robustness.png</w:t>
      </w:r>
      <w:r>
        <w:t xml:space="preserve">.</w:t>
      </w:r>
    </w:p>
    <w:p>
      <w:pPr>
        <w:pStyle w:val="BodyText"/>
      </w:pPr>
      <w:r>
        <w:rPr>
          <w:b/>
          <w:bCs/>
        </w:rPr>
        <w:t xml:space="preserve">Figure 3 | GTDB-R207 benchmark against ANIm truth.</w:t>
      </w:r>
      <w:r>
        <w:t xml:space="preserve"> </w:t>
      </w:r>
      <w:r>
        <w:t xml:space="preserve">(a) Band-holdout cross-validation on 2,520 training pairs: MAE by ANI band for raw gamma, calibrated v5, skani, and FastANI. (b) Strictly held-out 43,334 same-genus pairs with training genomes excluded: calibrated Syn2bANI v5 vs skani and FastANI. Source:</w:t>
      </w:r>
      <w:r>
        <w:t xml:space="preserve"> </w:t>
      </w:r>
      <w:r>
        <w:rPr>
          <w:rStyle w:val="VerbatimChar"/>
        </w:rPr>
        <w:t xml:space="preserve">figures/report/fig7_anim_by_band.png</w:t>
      </w:r>
      <w:r>
        <w:t xml:space="preserve"> </w:t>
      </w:r>
      <w:r>
        <w:t xml:space="preserve">and</w:t>
      </w:r>
      <w:r>
        <w:t xml:space="preserve"> </w:t>
      </w:r>
      <w:r>
        <w:rPr>
          <w:rStyle w:val="VerbatimChar"/>
        </w:rPr>
        <w:t xml:space="preserve">figures/report/fig_gtdb50k_heldout.png</w:t>
      </w:r>
      <w:r>
        <w:t xml:space="preserve">.</w:t>
      </w:r>
    </w:p>
    <w:p>
      <w:pPr>
        <w:pStyle w:val="BodyText"/>
      </w:pPr>
      <w:r>
        <w:rPr>
          <w:b/>
          <w:bCs/>
        </w:rPr>
        <w:t xml:space="preserve">Figure 4 | Unified 80–100% GTDB-R207 benchmark and hybrid estimator.</w:t>
      </w:r>
      <w:r>
        <w:t xml:space="preserve"> </w:t>
      </w:r>
      <w:r>
        <w:t xml:space="preserve">43,334 held-out pairs plus 727 high-ANI test pairs. (a) Estimated vs ANIm truth for raw gated, v6-calibrated, hybrid (raw ≥98% / calibrated &lt;98%), skani, and FastANI. (b) Per-band MAE. (c) Signed-error distributions. (d) High-ANI zoom. Source:</w:t>
      </w:r>
      <w:r>
        <w:t xml:space="preserve"> </w:t>
      </w:r>
      <w:r>
        <w:rPr>
          <w:rStyle w:val="VerbatimChar"/>
        </w:rPr>
        <w:t xml:space="preserve">figures/gtdb_r207_unified_benchmark.png</w:t>
      </w:r>
      <w:r>
        <w:t xml:space="preserve">.</w:t>
      </w:r>
    </w:p>
    <w:p>
      <w:pPr>
        <w:pStyle w:val="BodyText"/>
      </w:pPr>
      <w:r>
        <w:rPr>
          <w:b/>
          <w:bCs/>
        </w:rPr>
        <w:t xml:space="preserve">Figure 5 | Accuracy on 695 CAMI2 MAGs.</w:t>
      </w:r>
      <w:r>
        <w:t xml:space="preserve"> </w:t>
      </w:r>
      <w:r>
        <w:t xml:space="preserve">(a) Syn2bANI raw gated estimate vs dnadiff ANIm truth, colored by contamination class. (b) Absolute-error distributions by tool. (c) Syn2bANI error by CheckM2 quality tier. Source:</w:t>
      </w:r>
      <w:r>
        <w:t xml:space="preserve"> </w:t>
      </w:r>
      <w:r>
        <w:rPr>
          <w:rStyle w:val="VerbatimChar"/>
        </w:rPr>
        <w:t xml:space="preserve">figures/report/mag_validation.png</w:t>
      </w:r>
      <w:r>
        <w:t xml:space="preserve">.</w:t>
      </w:r>
    </w:p>
    <w:p>
      <w:pPr>
        <w:pStyle w:val="BodyText"/>
      </w:pPr>
      <w:r>
        <w:rPr>
          <w:b/>
          <w:bCs/>
        </w:rPr>
        <w:t xml:space="preserve">Figure 6 | High-ANI pairs hide extensive rearrangements.</w:t>
      </w:r>
      <w:r>
        <w:t xml:space="preserve"> </w:t>
      </w:r>
      <w:r>
        <w:t xml:space="preserve">(a)</w:t>
      </w:r>
      <w:r>
        <w:t xml:space="preserve"> </w:t>
      </w:r>
      <w:r>
        <w:rPr>
          <w:i/>
          <w:iCs/>
        </w:rPr>
        <w:t xml:space="preserve">E. coli</w:t>
      </w:r>
      <w:r>
        <w:t xml:space="preserve"> </w:t>
      </w:r>
      <w:r>
        <w:t xml:space="preserve">hypermutator and</w:t>
      </w:r>
      <w:r>
        <w:t xml:space="preserve"> </w:t>
      </w:r>
      <w:r>
        <w:rPr>
          <w:i/>
          <w:iCs/>
        </w:rPr>
        <w:t xml:space="preserve">H. pylori</w:t>
      </w:r>
      <w:r>
        <w:t xml:space="preserve"> </w:t>
      </w:r>
      <w:r>
        <w:t xml:space="preserve">isolates: ANI vs anchor adjacency (Syn2bANI left, skani right); highlighted pairs were re-analyzed with</w:t>
      </w:r>
      <w:r>
        <w:t xml:space="preserve"> </w:t>
      </w:r>
      <w:r>
        <w:rPr>
          <w:rStyle w:val="VerbatimChar"/>
        </w:rPr>
        <w:t xml:space="preserve">syn2bani struct</w:t>
      </w:r>
      <w:r>
        <w:t xml:space="preserve">. (b)</w:t>
      </w:r>
      <w:r>
        <w:t xml:space="preserve"> </w:t>
      </w:r>
      <w:r>
        <w:rPr>
          <w:i/>
          <w:iCs/>
        </w:rPr>
        <w:t xml:space="preserve">N. gonorrhoeae</w:t>
      </w:r>
      <w:r>
        <w:t xml:space="preserve"> </w:t>
      </w:r>
      <w:r>
        <w:t xml:space="preserve">and</w:t>
      </w:r>
      <w:r>
        <w:t xml:space="preserve"> </w:t>
      </w:r>
      <w:r>
        <w:rPr>
          <w:i/>
          <w:iCs/>
        </w:rPr>
        <w:t xml:space="preserve">S. rimosus</w:t>
      </w:r>
      <w:r>
        <w:t xml:space="preserve"> </w:t>
      </w:r>
      <w:r>
        <w:t xml:space="preserve">isolates show the same ANI–anchor-adjacency decoupling. Source:</w:t>
      </w:r>
      <w:r>
        <w:t xml:space="preserve"> </w:t>
      </w:r>
      <w:r>
        <w:rPr>
          <w:rStyle w:val="VerbatimChar"/>
        </w:rPr>
        <w:t xml:space="preserve">figures/syntracker_validation/syntracker_high_ani_low_synteny.png</w:t>
      </w:r>
      <w:r>
        <w:t xml:space="preserve"> </w:t>
      </w:r>
      <w:r>
        <w:t xml:space="preserve">and</w:t>
      </w:r>
      <w:r>
        <w:t xml:space="preserve"> </w:t>
      </w:r>
      <w:r>
        <w:rPr>
          <w:rStyle w:val="VerbatimChar"/>
        </w:rPr>
        <w:t xml:space="preserve">figures/syntracker_validation/syntracker_supp_ngonorrhoeae_srimosus.png</w:t>
      </w:r>
      <w:r>
        <w:t xml:space="preserve">.</w:t>
      </w:r>
    </w:p>
    <w:bookmarkEnd w:id="42"/>
    <w:bookmarkStart w:id="43" w:name="Xc726a833e5182f8377620c8e41412d6ae80dab8"/>
    <w:p>
      <w:pPr>
        <w:pStyle w:val="Heading2"/>
      </w:pPr>
      <w:r>
        <w:rPr>
          <w:b/>
          <w:bCs/>
        </w:rPr>
        <w:t xml:space="preserve">Figure 7 | Locus-targeted chain coverage detects a phenotype-associated structural difference invisible to genome-wide ANI.</w:t>
      </w:r>
      <w:r>
        <w:t xml:space="preserve"> </w:t>
      </w:r>
      <w:r>
        <w:t xml:space="preserve">185</w:t>
      </w:r>
      <w:r>
        <w:t xml:space="preserve"> </w:t>
      </w:r>
      <w:r>
        <w:rPr>
          <w:i/>
          <w:iCs/>
        </w:rPr>
        <w:t xml:space="preserve">Bifidobacterium longum</w:t>
      </w:r>
      <w:r>
        <w:t xml:space="preserve"> </w:t>
      </w:r>
      <w:r>
        <w:t xml:space="preserve">isolates stratified by abfA gene-cluster status (complete vs deleted/peripheral-truncated). (a) Syn2bANI chain coverage across the abfA locus (8.5–37.1 kb on reference contig; core genes 8.8–17.2 kb, peripheral region 17.2–37.1 kb). (b) Boxplot of periphery coverage (17.2–37.1 kb) by group. Whole-genome ANI and aligned fraction do not separate the groups, but local chain coverage over the cluster periphery is significantly reduced in the deleted group (MWU p = 1.4 × 10⁻³). Source:</w:t>
      </w:r>
      <w:r>
        <w:t xml:space="preserve"> </w:t>
      </w:r>
      <w:r>
        <w:rPr>
          <w:rStyle w:val="VerbatimChar"/>
        </w:rPr>
        <w:t xml:space="preserve">figures/report/fig_b_longum_abfa.png</w:t>
      </w:r>
      <w:r>
        <w:t xml:space="preserve">.</w:t>
      </w:r>
    </w:p>
    <w:bookmarkEnd w:id="43"/>
    <w:bookmarkStart w:id="44"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Lower panel: strictly held-out 43,334-pair evaluation and unified 80–100% benchmark. Raw rows are post-rescue gated estimates; v5/v6 are ridge calibrations; hybrid uses raw ≥98% ANI and calibrated &lt;98%.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 Fig. S5</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 Fig. S5</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 Fig. S7</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Fig. 2; Fig. S6</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 Fig. S8</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Results; Fig. S9</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Fig. S3</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2,342 GTDB-R207 pairs (95–97 / 97–100), genome-level train/test</w:t>
            </w:r>
          </w:p>
        </w:tc>
        <w:tc>
          <w:tcPr/>
          <w:p>
            <w:pPr>
              <w:pStyle w:val="Compact"/>
            </w:pPr>
            <w:r>
              <w:t xml:space="preserve">dnadiff ANIm</w:t>
            </w:r>
          </w:p>
        </w:tc>
        <w:tc>
          <w:tcPr/>
          <w:p>
            <w:pPr>
              <w:pStyle w:val="Compact"/>
            </w:pPr>
            <w:r>
              <w:t xml:space="preserve">Table 1, Fig. 4</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1</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 Fig. 5</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Fig. 5</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r>
        <w:tc>
          <w:tcPr/>
          <w:p>
            <w:pPr>
              <w:pStyle w:val="Compact"/>
            </w:pPr>
            <w:r>
              <w:t xml:space="preserve">18</w:t>
            </w:r>
          </w:p>
        </w:tc>
        <w:tc>
          <w:tcPr/>
          <w:p>
            <w:pPr>
              <w:pStyle w:val="Compact"/>
            </w:pPr>
            <w:r>
              <w:t xml:space="preserve">GTDB 50k SV benchmark</w:t>
            </w:r>
          </w:p>
        </w:tc>
        <w:tc>
          <w:tcPr/>
          <w:p>
            <w:pPr>
              <w:pStyle w:val="Compact"/>
            </w:pPr>
            <w:r>
              <w:t xml:space="preserve">real</w:t>
            </w:r>
          </w:p>
        </w:tc>
        <w:tc>
          <w:tcPr/>
          <w:p>
            <w:pPr>
              <w:pStyle w:val="Compact"/>
            </w:pPr>
            <w:r>
              <w:t xml:space="preserve">same 43,334 pairs as #17</w:t>
            </w:r>
          </w:p>
        </w:tc>
        <w:tc>
          <w:tcPr/>
          <w:p>
            <w:pPr>
              <w:pStyle w:val="Compact"/>
            </w:pPr>
            <w:r>
              <w:t xml:space="preserve">dnadiff structural + minimap2</w:t>
            </w:r>
          </w:p>
        </w:tc>
        <w:tc>
          <w:tcPr/>
          <w:p>
            <w:pPr>
              <w:pStyle w:val="Compact"/>
            </w:pPr>
            <w:r>
              <w:t xml:space="preserve">Results</w:t>
            </w:r>
          </w:p>
        </w:tc>
      </w:tr>
      <w:tr>
        <w:tc>
          <w:tcPr/>
          <w:p>
            <w:pPr>
              <w:pStyle w:val="Compact"/>
            </w:pPr>
            <w:r>
              <w:t xml:space="preserve">19</w:t>
            </w:r>
          </w:p>
        </w:tc>
        <w:tc>
          <w:tcPr/>
          <w:p>
            <w:pPr>
              <w:pStyle w:val="Compact"/>
            </w:pPr>
            <w:r>
              <w:t xml:space="preserve">cagPAI pilot</w:t>
            </w:r>
          </w:p>
        </w:tc>
        <w:tc>
          <w:tcPr/>
          <w:p>
            <w:pPr>
              <w:pStyle w:val="Compact"/>
            </w:pPr>
            <w:r>
              <w:t xml:space="preserve">engineered</w:t>
            </w:r>
          </w:p>
        </w:tc>
        <w:tc>
          <w:tcPr/>
          <w:p>
            <w:pPr>
              <w:pStyle w:val="Compact"/>
            </w:pPr>
            <w:r>
              <w:t xml:space="preserve">8</w:t>
            </w:r>
            <w:r>
              <w:t xml:space="preserve"> </w:t>
            </w:r>
            <w:r>
              <w:rPr>
                <w:i/>
                <w:iCs/>
              </w:rPr>
              <w:t xml:space="preserve">H. pylori</w:t>
            </w:r>
            <w:r>
              <w:t xml:space="preserve"> </w:t>
            </w:r>
            <w:r>
              <w:t xml:space="preserve">26695-derived genomes (wild-type, ΔcagPAI, inversion, translocation, and mutated backgrounds)</w:t>
            </w:r>
          </w:p>
        </w:tc>
        <w:tc>
          <w:tcPr/>
          <w:p>
            <w:pPr>
              <w:pStyle w:val="Compact"/>
            </w:pPr>
            <w:r>
              <w:t xml:space="preserve">designed event sizes</w:t>
            </w:r>
          </w:p>
        </w:tc>
        <w:tc>
          <w:tcPr/>
          <w:p>
            <w:pPr>
              <w:pStyle w:val="Compact"/>
            </w:pPr>
            <w:r>
              <w:t xml:space="preserve">Results; Fig. S12</w:t>
            </w:r>
          </w:p>
        </w:tc>
      </w:tr>
      <w:tr>
        <w:tc>
          <w:tcPr/>
          <w:p>
            <w:pPr>
              <w:pStyle w:val="Compact"/>
            </w:pPr>
            <w:r>
              <w:t xml:space="preserve">20</w:t>
            </w:r>
          </w:p>
        </w:tc>
        <w:tc>
          <w:tcPr/>
          <w:p>
            <w:pPr>
              <w:pStyle w:val="Compact"/>
            </w:pPr>
            <w:r>
              <w:rPr>
                <w:i/>
                <w:iCs/>
              </w:rPr>
              <w:t xml:space="preserve">B. longum</w:t>
            </w:r>
            <w:r>
              <w:t xml:space="preserve"> </w:t>
            </w:r>
            <w:r>
              <w:t xml:space="preserve">abfA collection</w:t>
            </w:r>
          </w:p>
        </w:tc>
        <w:tc>
          <w:tcPr/>
          <w:p>
            <w:pPr>
              <w:pStyle w:val="Compact"/>
            </w:pPr>
            <w:r>
              <w:t xml:space="preserve">real</w:t>
            </w:r>
          </w:p>
        </w:tc>
        <w:tc>
          <w:tcPr/>
          <w:p>
            <w:pPr>
              <w:pStyle w:val="Compact"/>
            </w:pPr>
            <w:r>
              <w:t xml:space="preserve">185 JNU isolates; 17,020 pairs</w:t>
            </w:r>
          </w:p>
        </w:tc>
        <w:tc>
          <w:tcPr/>
          <w:p>
            <w:pPr>
              <w:pStyle w:val="Compact"/>
            </w:pPr>
            <w:r>
              <w:t xml:space="preserve">curated abfA cluster status</w:t>
            </w:r>
          </w:p>
        </w:tc>
        <w:tc>
          <w:tcPr/>
          <w:p>
            <w:pPr>
              <w:pStyle w:val="Compact"/>
            </w:pPr>
            <w:r>
              <w:t xml:space="preserve">Fig. 7</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2026-08-27T03:04:00Z</dcterms:created>
  <dcterms:modified xsi:type="dcterms:W3CDTF">2026-08-27T03:04:00Z</dcterms:modified>
</cp:coreProperties>
</file>

<file path=docProps/custom.xml><?xml version="1.0" encoding="utf-8"?>
<Properties xmlns="http://schemas.openxmlformats.org/officeDocument/2006/custom-properties" xmlns:vt="http://schemas.openxmlformats.org/officeDocument/2006/docPropsVTypes"/>
</file>