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c3fcc6656da83e08d67075bda016bbdc5c3d5f9"/>
    <w:p>
      <w:pPr>
        <w:pStyle w:val="Heading1"/>
      </w:pPr>
      <w:r>
        <w:t xml:space="preserve">Supplementary Information — Syn2b-ANI: Strain-level ANI estimation and structural comparison via fixed restriction-site anchors</w:t>
      </w:r>
    </w:p>
    <w:p>
      <w:pPr>
        <w:pStyle w:val="FirstParagraph"/>
      </w:pPr>
      <w:r>
        <w:t xml:space="preserve">This document collects the supplementary figures and tables referenced from</w:t>
      </w:r>
      <w:r>
        <w:t xml:space="preserve"> </w:t>
      </w:r>
      <w:r>
        <w:t xml:space="preserve">the main text. All underlying data and analysis scripts are released at</w:t>
      </w:r>
      <w:r>
        <w:t xml:space="preserve"> </w:t>
      </w:r>
      <w:r>
        <w:t xml:space="preserve">https://github.com/HuangShiLab/Syn2bANI-paper.</w:t>
      </w:r>
    </w:p>
    <w:bookmarkStart w:id="9" w:name="X142c0cbb90bcdb084ecc8d3411164e03ee9deb4"/>
    <w:p>
      <w:pPr>
        <w:pStyle w:val="Heading2"/>
      </w:pPr>
      <w:r>
        <w:t xml:space="preserve">Supplementary Figure S1 — Synteny benchmark: exact-truth inversion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figures/report/fig_synteny_ladder.png</w:t>
      </w:r>
      <w:r>
        <w:t xml:space="preserve">)</w:t>
      </w:r>
    </w:p>
    <w:p>
      <w:pPr>
        <w:pStyle w:val="BodyText"/>
      </w:pPr>
      <w:r>
        <w:t xml:space="preserve">E. coli MG1655 evolved to ANI 95.00/98.00 (counted substitutions) with 0–32</w:t>
      </w:r>
      <w:r>
        <w:t xml:space="preserve"> </w:t>
      </w:r>
      <w:r>
        <w:t xml:space="preserve">non-overlapping inversions (100–400 kb; 2 true breakpoints each).</w:t>
      </w:r>
      <w:r>
        <w:t xml:space="preserve"> </w:t>
      </w:r>
      <w:r>
        <w:t xml:space="preserve">(a) syn2bani breakpoint_count vs truth: exact on all 14 rungs (0–64).</w:t>
      </w:r>
      <w:r>
        <w:t xml:space="preserve"> </w:t>
      </w:r>
      <w:r>
        <w:t xml:space="preserve">(b) anchor_adjacency vs inversion count: monotone decline 1.0000 → 0.9835.</w:t>
      </w:r>
      <w:r>
        <w:t xml:space="preserve"> </w:t>
      </w:r>
      <w:r>
        <w:t xml:space="preserve">(c) ANI estimate vs inversion count: invariant (94.95–95.00 at true 95.00;</w:t>
      </w:r>
      <w:r>
        <w:t xml:space="preserve"> </w:t>
      </w:r>
      <w:r>
        <w:t xml:space="preserve">98.00–98.01 at true 98.00). Wall time 50–70 ms per pair. Specificity on 695</w:t>
      </w:r>
      <w:r>
        <w:t xml:space="preserve"> </w:t>
      </w:r>
      <w:r>
        <w:t xml:space="preserve">real MAG pairs (dnadiff-derived truth, median 0 breaks): median</w:t>
      </w:r>
      <w:r>
        <w:t xml:space="preserve"> </w:t>
      </w:r>
      <w:r>
        <w:t xml:space="preserve">anchor_adjacency 0.9997, no spurious structural flags. Data and report:</w:t>
      </w:r>
      <w:r>
        <w:t xml:space="preserve"> </w:t>
      </w:r>
      <w:r>
        <w:rPr>
          <w:rStyle w:val="VerbatimChar"/>
        </w:rPr>
        <w:t xml:space="preserve">results/synteny_bench/</w:t>
      </w:r>
      <w:r>
        <w:t xml:space="preserve">.</w:t>
      </w:r>
    </w:p>
    <w:bookmarkEnd w:id="9"/>
    <w:bookmarkStart w:id="10" w:name="Xaf75ea201c68b3991c0a496ef9b243e8e5da9b8"/>
    <w:p>
      <w:pPr>
        <w:pStyle w:val="Heading2"/>
      </w:pPr>
      <w:r>
        <w:t xml:space="preserve">Supplementary Figure S2 — Held-out GTDB-R207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figures/report/fig_gtdb50k_heldout.png</w:t>
      </w:r>
      <w:r>
        <w:t xml:space="preserve">)</w:t>
      </w:r>
    </w:p>
    <w:p>
      <w:pPr>
        <w:pStyle w:val="BodyText"/>
      </w:pPr>
      <w:r>
        <w:t xml:space="preserve">43,334 same-genus pairs sampled from GTDB R207 representatives (24,831</w:t>
      </w:r>
      <w:r>
        <w:t xml:space="preserve"> </w:t>
      </w:r>
      <w:r>
        <w:t xml:space="preserve">genomes, 74 phyla), with every genome of the 2,520-pair calibration training</w:t>
      </w:r>
      <w:r>
        <w:t xml:space="preserve"> </w:t>
      </w:r>
      <w:r>
        <w:t xml:space="preserve">matrix excluded in both directions; dnadiff/ANIm truth for all pairs. The</w:t>
      </w:r>
      <w:r>
        <w:t xml:space="preserve"> </w:t>
      </w:r>
      <w:r>
        <w:t xml:space="preserve">gate, consistency flag, and calibration v5 were frozen before evaluation.</w:t>
      </w:r>
      <w:r>
        <w:t xml:space="preserve"> </w:t>
      </w:r>
      <w:r>
        <w:t xml:space="preserve">Panels (a–c) Calibrated Syn2bANI v5, skani, and FastANI vs ANIm (MAE 0.619, 0.958, 0.977 respectively). (d) Per-band MAE. (e) Signed-error distributions: skani and FastANI carry a large negative bias at divergent bands; the calibrated estimator is centered (bias −0.12). Per-pair truth, tool output, per-band and per-phylum metrics:</w:t>
      </w:r>
      <w:r>
        <w:t xml:space="preserve"> </w:t>
      </w:r>
      <w:r>
        <w:rPr>
          <w:rStyle w:val="VerbatimChar"/>
        </w:rPr>
        <w:t xml:space="preserve">results/gtdb50k/</w:t>
      </w:r>
      <w:r>
        <w:t xml:space="preserve"> </w:t>
      </w:r>
      <w:r>
        <w:t xml:space="preserve">(report</w:t>
      </w:r>
      <w:r>
        <w:t xml:space="preserve"> </w:t>
      </w:r>
      <w:r>
        <w:rPr>
          <w:rStyle w:val="VerbatimChar"/>
        </w:rPr>
        <w:t xml:space="preserve">GTDB50K_HELDOUT_REPORT.md</w:t>
      </w:r>
      <w:r>
        <w:t xml:space="preserve">, metrics</w:t>
      </w:r>
      <w:r>
        <w:t xml:space="preserve"> </w:t>
      </w:r>
      <w:r>
        <w:rPr>
          <w:rStyle w:val="VerbatimChar"/>
        </w:rPr>
        <w:t xml:space="preserve">gtdb50k_metrics.tsv</w:t>
      </w:r>
      <w:r>
        <w:t xml:space="preserve">); pipeline</w:t>
      </w:r>
      <w:r>
        <w:t xml:space="preserve"> </w:t>
      </w:r>
      <w:r>
        <w:rPr>
          <w:rStyle w:val="VerbatimChar"/>
        </w:rPr>
        <w:t xml:space="preserve">scripts/gtdb50k/</w:t>
      </w:r>
      <w:r>
        <w:t xml:space="preserve">.</w:t>
      </w:r>
    </w:p>
    <w:bookmarkEnd w:id="10"/>
    <w:bookmarkStart w:id="11" w:name="X6e0b9eecebc3bbf314ac8a2bb7a52303cf3a9cc"/>
    <w:p>
      <w:pPr>
        <w:pStyle w:val="Heading2"/>
      </w:pPr>
      <w:r>
        <w:t xml:space="preserve">Supplementary Figure S3 — Unified GTDB-R207 80–100% benchmark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figures/gtdb_r207_unified_benchmark.png</w:t>
      </w:r>
      <w:r>
        <w:t xml:space="preserve">)</w:t>
      </w:r>
    </w:p>
    <w:p>
      <w:pPr>
        <w:pStyle w:val="BodyText"/>
      </w:pPr>
      <w:r>
        <w:t xml:space="preserve">43,334 held-out same-genus pairs (80–95% plus the 95–100% stratum split into</w:t>
      </w:r>
      <w:r>
        <w:t xml:space="preserve"> </w:t>
      </w:r>
      <w:r>
        <w:t xml:space="preserve">95–97 and 97–100 by truth) combined with 727 high-ANI test pairs sampled from</w:t>
      </w:r>
      <w:r>
        <w:t xml:space="preserve"> </w:t>
      </w:r>
      <w:r>
        <w:t xml:space="preserve">non-representative GTDB-R207 genomes. (a) Estimated vs ANIm truth for Syn2bANI</w:t>
      </w:r>
      <w:r>
        <w:t xml:space="preserve"> </w:t>
      </w:r>
      <w:r>
        <w:t xml:space="preserve">raw gated, Syn2bANI v6-calibrated, Syn2bANI hybrid (raw ≥98% / calibrated</w:t>
      </w:r>
      <w:r>
        <w:t xml:space="preserve"> </w:t>
      </w:r>
      <w:r>
        <w:t xml:space="preserve">&lt;98%), skani, and FastANI. (b) Per-band MAE. (c) Signed-error distributions.</w:t>
      </w:r>
      <w:r>
        <w:t xml:space="preserve"> </w:t>
      </w:r>
      <w:r>
        <w:t xml:space="preserve">(d) High-ANI zoom (95–100%). On the full 80–100% range the Syn2bANI hybrid</w:t>
      </w:r>
      <w:r>
        <w:t xml:space="preserve"> </w:t>
      </w:r>
      <w:r>
        <w:t xml:space="preserve">estimator attains the lowest overall MAE (</w:t>
      </w:r>
      <w:r>
        <w:rPr>
          <w:b/>
          <w:bCs/>
        </w:rPr>
        <w:t xml:space="preserve">0.615</w:t>
      </w:r>
      <w:r>
        <w:t xml:space="preserve">), while recovering the</w:t>
      </w:r>
      <w:r>
        <w:t xml:space="preserve"> </w:t>
      </w:r>
      <w:r>
        <w:t xml:space="preserve">accurate raw gated estimate in the 97–100% sub-band (MAE 0.23).</w:t>
      </w:r>
    </w:p>
    <w:bookmarkEnd w:id="11"/>
    <w:bookmarkStart w:id="12" w:name="X9c05ab7676dba1214c8a6507a30270464495a16"/>
    <w:p>
      <w:pPr>
        <w:pStyle w:val="Heading2"/>
      </w:pPr>
      <w:r>
        <w:t xml:space="preserve">Supplementary Figure S4 — Genome quality does not drive ANI error on GTDB-R207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figures/report/gtdb_quality_vs_mae_combined.png</w:t>
      </w:r>
      <w:r>
        <w:t xml:space="preserve">)</w:t>
      </w:r>
    </w:p>
    <w:p>
      <w:pPr>
        <w:pStyle w:val="BodyText"/>
      </w:pPr>
      <w:r>
        <w:t xml:space="preserve">39,903 held-out same-genus pairs with GTDB R207 metadata (completeness,</w:t>
      </w:r>
      <w:r>
        <w:t xml:space="preserve"> </w:t>
      </w:r>
      <w:r>
        <w:t xml:space="preserve">contamination, contig count, mean contig length) and dnadiff/ANIm truth.</w:t>
      </w:r>
      <w:r>
        <w:t xml:space="preserve"> </w:t>
      </w:r>
      <w:r>
        <w:t xml:space="preserve">Calibrated Syn2bANI v5 overall MAE = 0.619, Pearson r = 0.962. (a) MAE by</w:t>
      </w:r>
      <w:r>
        <w:t xml:space="preserve"> </w:t>
      </w:r>
      <w:r>
        <w:t xml:space="preserve">minimum pair completeness (n = 3,972 below 70%, MAE 0.82; n = 22,259 at</w:t>
      </w:r>
      <w:r>
        <w:t xml:space="preserve"> </w:t>
      </w:r>
      <w:r>
        <w:t xml:space="preserve">95–100%, MAE 0.59). (b) MAE by maximum pair contamination. (c) MAE by maximum</w:t>
      </w:r>
      <w:r>
        <w:t xml:space="preserve"> </w:t>
      </w:r>
      <w:r>
        <w:t xml:space="preserve">contig count. (d) MAE by minimum mean contig length (&lt;5 kb: MAE 0.81; ≥10 kb:</w:t>
      </w:r>
      <w:r>
        <w:t xml:space="preserve"> </w:t>
      </w:r>
      <w:r>
        <w:t xml:space="preserve">MAE 0.59–0.66). Error bars are 95% confidence intervals by bootstrap. Only the</w:t>
      </w:r>
      <w:r>
        <w:t xml:space="preserve"> </w:t>
      </w:r>
      <w:r>
        <w:t xml:space="preserve">most fragmented genomes (&lt;5 kb mean contig length) show a modest accuracy</w:t>
      </w:r>
      <w:r>
        <w:t xml:space="preserve"> </w:t>
      </w:r>
      <w:r>
        <w:t xml:space="preserve">degradation; typical MAG-level completeness/contamination variation has little</w:t>
      </w:r>
      <w:r>
        <w:t xml:space="preserve"> </w:t>
      </w:r>
      <w:r>
        <w:t xml:space="preserve">effect on ANI accuracy.</w:t>
      </w:r>
    </w:p>
    <w:bookmarkEnd w:id="12"/>
    <w:bookmarkStart w:id="13" w:name="Xb9aadcf455a7400e875f71e07652b618a72b771"/>
    <w:p>
      <w:pPr>
        <w:pStyle w:val="Heading2"/>
      </w:pPr>
      <w:r>
        <w:t xml:space="preserve">Supplementary Figure S5 — Exact-truth indel ladder and indel sweep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figures/report/fig_s5_simulation_indel.png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ANI ladder evolved from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K-12 MG1655 at 85.0–99.9% true ANI with</w:t>
      </w:r>
      <w:r>
        <w:t xml:space="preserve"> </w:t>
      </w:r>
      <w:r>
        <w:t xml:space="preserve">a 400 kb inversion plus ~1 deletion per 100 kb; Syn2bANI (4-enzyme panel) MAE</w:t>
      </w:r>
      <w:r>
        <w:t xml:space="preserve"> </w:t>
      </w:r>
      <w:r>
        <w:t xml:space="preserve">= 0.073 ANI points. (b) Indel sweep at fixed true ANI 95.000 with 0–4 deletions</w:t>
      </w:r>
      <w:r>
        <w:t xml:space="preserve"> </w:t>
      </w:r>
      <w:r>
        <w:t xml:space="preserve">per 100 kb; error stays between +0.032 and +0.184 (MAE 0.081). Gamma and</w:t>
      </w:r>
      <w:r>
        <w:t xml:space="preserve"> </w:t>
      </w:r>
      <w:r>
        <w:t xml:space="preserve">uniform estimates are identical on uniform-rate data.</w:t>
      </w:r>
    </w:p>
    <w:bookmarkEnd w:id="13"/>
    <w:bookmarkStart w:id="14" w:name="X9219aba7d48231b41a1133743bdf123496fe817"/>
    <w:p>
      <w:pPr>
        <w:pStyle w:val="Heading2"/>
      </w:pPr>
      <w:r>
        <w:t xml:space="preserve">Supplementary Figure S6 — GC coverage ladder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figures/report/fig_s6_simulation_gc.png</w:t>
      </w:r>
      <w:r>
        <w:t xml:space="preserve">)</w:t>
      </w:r>
    </w:p>
    <w:p>
      <w:pPr>
        <w:pStyle w:val="BodyText"/>
      </w:pPr>
      <w:r>
        <w:t xml:space="preserve">Substitution ladders evolved on five real template genomes spanning GC</w:t>
      </w:r>
      <w:r>
        <w:t xml:space="preserve"> </w:t>
      </w:r>
      <w:r>
        <w:t xml:space="preserve">27.2–72.1%. Syn2bANI error is 0.074–0.356 ANI points and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monotone in</w:t>
      </w:r>
      <w:r>
        <w:t xml:space="preserve"> </w:t>
      </w:r>
      <w:r>
        <w:t xml:space="preserve">GC; the worst genome (</w:t>
      </w:r>
      <w:r>
        <w:rPr>
          <w:i/>
          <w:iCs/>
        </w:rPr>
        <w:t xml:space="preserve">B. longum</w:t>
      </w:r>
      <w:r>
        <w:t xml:space="preserve">, GC 60.1%) sits mid-range. The GC sweep</w:t>
      </w:r>
      <w:r>
        <w:t xml:space="preserve"> </w:t>
      </w:r>
      <w:r>
        <w:t xml:space="preserve">source genomes are not present in the repository, so this panel reproduces the</w:t>
      </w:r>
      <w:r>
        <w:t xml:space="preserve"> </w:t>
      </w:r>
      <w:r>
        <w:t xml:space="preserve">historical 4-enzyme sweep reported in</w:t>
      </w:r>
      <w:r>
        <w:t xml:space="preserve"> </w:t>
      </w:r>
      <w:r>
        <w:rPr>
          <w:rStyle w:val="VerbatimChar"/>
        </w:rPr>
        <w:t xml:space="preserve">ALGORITHM_MLE.md</w:t>
      </w:r>
      <w:r>
        <w:t xml:space="preserve"> </w:t>
      </w:r>
      <w:r>
        <w:t xml:space="preserve">§4.8.</w:t>
      </w:r>
    </w:p>
    <w:bookmarkEnd w:id="14"/>
    <w:bookmarkStart w:id="15" w:name="X61eb234984ace44e0cbdb79e3b450674d3917ff"/>
    <w:p>
      <w:pPr>
        <w:pStyle w:val="Heading2"/>
      </w:pPr>
      <w:r>
        <w:t xml:space="preserve">Supplementary Figure S7 — Simulated fragmentation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figures/report/fig_s7_simulation_fragment.png</w:t>
      </w:r>
      <w:r>
        <w:t xml:space="preserve">)</w:t>
      </w:r>
    </w:p>
    <w:p>
      <w:pPr>
        <w:pStyle w:val="BodyText"/>
      </w:pPr>
      <w:r>
        <w:t xml:space="preserve">A 95% ANI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query was fragmented into 20–201 contigs (~50%</w:t>
      </w:r>
      <w:r>
        <w:t xml:space="preserve"> </w:t>
      </w:r>
      <w:r>
        <w:t xml:space="preserve">reverse-complemented, order shuffled, no sequence lost). Syn2bANI error is</w:t>
      </w:r>
      <w:r>
        <w:t xml:space="preserve"> </w:t>
      </w:r>
      <w:r>
        <w:t xml:space="preserve">0.018–0.179 (MAE 0.070), confirming that random fragmentation per se does not</w:t>
      </w:r>
      <w:r>
        <w:t xml:space="preserve"> </w:t>
      </w:r>
      <w:r>
        <w:t xml:space="preserve">bias the chain-restricted MLE. Real assemblies below ~20 kb N50 behave</w:t>
      </w:r>
      <w:r>
        <w:t xml:space="preserve"> </w:t>
      </w:r>
      <w:r>
        <w:t xml:space="preserve">differently because they lose sequence at repeat boundaries; see Results 2.3</w:t>
      </w:r>
      <w:r>
        <w:t xml:space="preserve"> </w:t>
      </w:r>
      <w:r>
        <w:t xml:space="preserve">and Fig. 10c.</w:t>
      </w:r>
    </w:p>
    <w:bookmarkEnd w:id="15"/>
    <w:bookmarkStart w:id="16" w:name="X255f769d9dfa38e9ab64bc08df98141a49fdfa6"/>
    <w:p>
      <w:pPr>
        <w:pStyle w:val="Heading2"/>
      </w:pPr>
      <w:r>
        <w:t xml:space="preserve">Supplementary Figure S8 — Accessory-content confound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figures/report/fig_s8_simulation_accessory.png</w:t>
      </w:r>
      <w:r>
        <w:t xml:space="preserve">)</w:t>
      </w:r>
    </w:p>
    <w:p>
      <w:pPr>
        <w:pStyle w:val="BodyText"/>
      </w:pPr>
      <w:r>
        <w:t xml:space="preserve">Core ANI fixed at 95.000 with 0–50% of the genome replaced by</w:t>
      </w:r>
      <w:r>
        <w:t xml:space="preserve"> </w:t>
      </w:r>
      <w:r>
        <w:t xml:space="preserve">composition-preserving, homology-destroying shuffled blocks. (a) ANI estimate</w:t>
      </w:r>
      <w:r>
        <w:t xml:space="preserve"> </w:t>
      </w:r>
      <w:r>
        <w:t xml:space="preserve">remains flat across accessory fractions (+0.044 to +0.250, MAE 0.112) because</w:t>
      </w:r>
      <w:r>
        <w:t xml:space="preserve"> </w:t>
      </w:r>
      <w:r>
        <w:t xml:space="preserve">only tags inside chains contribute to the likelihood. (b)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 </w:t>
      </w:r>
      <w:r>
        <w:t xml:space="preserve">tracks</w:t>
      </w:r>
      <w:r>
        <w:t xml:space="preserve"> </w:t>
      </w:r>
      <w:r>
        <w:t xml:space="preserve">the true shared fraction (1 − F) to within 0.004, demonstrating the decoupling</w:t>
      </w:r>
      <w:r>
        <w:t xml:space="preserve"> </w:t>
      </w:r>
      <w:r>
        <w:t xml:space="preserve">of divergence and shared-content estimates.</w:t>
      </w:r>
    </w:p>
    <w:bookmarkEnd w:id="16"/>
    <w:bookmarkStart w:id="17" w:name="Xb1b4e0d6fb143f378a2ff2503f4916df308316e"/>
    <w:p>
      <w:pPr>
        <w:pStyle w:val="Heading2"/>
      </w:pPr>
      <w:r>
        <w:t xml:space="preserve">Supplementary Figure S9 — Mosaic/rate-heterogeneity family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figures/report/fig_s9_simulation_mosaic.png</w:t>
      </w:r>
      <w:r>
        <w:t xml:space="preserve">)</w:t>
      </w:r>
    </w:p>
    <w:p>
      <w:pPr>
        <w:pStyle w:val="BodyText"/>
      </w:pPr>
      <w:r>
        <w:t xml:space="preserve">Per-block divergence rates sampled from Gamma(α, α) with α = 0.5/1/2 (mean</w:t>
      </w:r>
      <w:r>
        <w:t xml:space="preserve"> </w:t>
      </w:r>
      <w:r>
        <w:t xml:space="preserve">ANI 90–98) and deliberately misspecified bimodal 50/70%-core cases. The gamma</w:t>
      </w:r>
      <w:r>
        <w:t xml:space="preserve"> </w:t>
      </w:r>
      <w:r>
        <w:t xml:space="preserve">estimator reduces error relative to the uniform estimator (e.g., gamma MAE</w:t>
      </w:r>
      <w:r>
        <w:t xml:space="preserve"> </w:t>
      </w:r>
      <w:r>
        <w:t xml:space="preserve">1.35 vs uniform 2.75 on gamma regimes), but residual bias remains on bimodal</w:t>
      </w:r>
      <w:r>
        <w:t xml:space="preserve"> </w:t>
      </w:r>
      <w:r>
        <w:t xml:space="preserve">misspecification (gamma MAE 2.43 vs uniform 3.42), motivating the real-genome</w:t>
      </w:r>
      <w:r>
        <w:t xml:space="preserve"> </w:t>
      </w:r>
      <w:r>
        <w:t xml:space="preserve">ridge calibration of Results 2.5.</w:t>
      </w:r>
    </w:p>
    <w:bookmarkEnd w:id="17"/>
    <w:bookmarkStart w:id="18" w:name="Xe1cceedd7fe263e162e74e3896e191392fdf8fb"/>
    <w:p>
      <w:pPr>
        <w:pStyle w:val="Heading2"/>
      </w:pPr>
      <w:r>
        <w:t xml:space="preserve">Supplementary Figure S10 — Breakpoint counts scale independently of ANI in high-ANI isolate collections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figures/syntracker_validation/syntracker_breakpoints_vs_ani.png</w:t>
      </w:r>
      <w:r>
        <w:t xml:space="preserve">)</w:t>
      </w:r>
    </w:p>
    <w:p>
      <w:pPr>
        <w:pStyle w:val="BodyText"/>
      </w:pPr>
      <w:r>
        <w:t xml:space="preserve">Syn2bANI ANI versus breakpoint count for (a)</w:t>
      </w:r>
      <w:r>
        <w:t xml:space="preserve"> </w:t>
      </w:r>
      <w:r>
        <w:rPr>
          <w:i/>
          <w:iCs/>
        </w:rPr>
        <w:t xml:space="preserve">E. coli</w:t>
      </w:r>
      <w:r>
        <w:t xml:space="preserve"> </w:t>
      </w:r>
      <w:r>
        <w:t xml:space="preserve">hypermutator (23</w:t>
      </w:r>
      <w:r>
        <w:t xml:space="preserve"> </w:t>
      </w:r>
      <w:r>
        <w:t xml:space="preserve">isolates, 253 pairs) and (b)</w:t>
      </w:r>
      <w:r>
        <w:t xml:space="preserve"> </w:t>
      </w:r>
      <w:r>
        <w:rPr>
          <w:i/>
          <w:iCs/>
        </w:rPr>
        <w:t xml:space="preserve">H. pylori</w:t>
      </w:r>
      <w:r>
        <w:t xml:space="preserve"> </w:t>
      </w:r>
      <w:r>
        <w:t xml:space="preserve">(77 isolates, 2,926 pairs). In both</w:t>
      </w:r>
      <w:r>
        <w:t xml:space="preserve"> </w:t>
      </w:r>
      <w:r>
        <w:t xml:space="preserve">collections ANI is pinned near 100% while breakpoint counts vary over more</w:t>
      </w:r>
      <w:r>
        <w:t xml:space="preserve"> </w:t>
      </w:r>
      <w:r>
        <w:t xml:space="preserve">than an order of magnitude, illustrating that rearrangement burden is not</w:t>
      </w:r>
      <w:r>
        <w:t xml:space="preserve"> </w:t>
      </w:r>
      <w:r>
        <w:t xml:space="preserve">captured by the divergence scalar. Annotated points are the top discordant</w:t>
      </w:r>
      <w:r>
        <w:t xml:space="preserve"> </w:t>
      </w:r>
      <w:r>
        <w:t xml:space="preserve">cases by ANI–synteny rank difference.</w:t>
      </w:r>
    </w:p>
    <w:bookmarkEnd w:id="18"/>
    <w:bookmarkStart w:id="19" w:name="Xbfd4f00bec33d994e275cc2a80737a7d591fe4d"/>
    <w:p>
      <w:pPr>
        <w:pStyle w:val="Heading2"/>
      </w:pPr>
      <w:r>
        <w:t xml:space="preserve">Supplementary Figure S11 — Near-clonal</w:t>
      </w:r>
      <w:r>
        <w:t xml:space="preserve"> </w:t>
      </w:r>
      <w:r>
        <w:rPr>
          <w:i/>
          <w:iCs/>
        </w:rPr>
        <w:t xml:space="preserve">Neisseria gonorrhoeae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Streptomyces rimosus</w:t>
      </w:r>
      <w:r>
        <w:t xml:space="preserve"> </w:t>
      </w:r>
      <w:r>
        <w:t xml:space="preserve">isolates also show ANI–anchor-adjacency decoupling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figures/syntracker_validation/syntracker_supp_ngonorrhoeae_srimosus.png</w:t>
      </w:r>
      <w:r>
        <w:t xml:space="preserve">)</w:t>
      </w:r>
    </w:p>
    <w:p>
      <w:pPr>
        <w:pStyle w:val="BodyText"/>
      </w:pPr>
      <w:r>
        <w:t xml:space="preserve">Left column: Syn2bANI ANI vs anchor adjacency; right column: skani ANI vs the</w:t>
      </w:r>
      <w:r>
        <w:t xml:space="preserve"> </w:t>
      </w:r>
      <w:r>
        <w:t xml:space="preserve">same anchor adjacency. (a,b) 12</w:t>
      </w:r>
      <w:r>
        <w:t xml:space="preserve"> </w:t>
      </w:r>
      <w:r>
        <w:rPr>
          <w:i/>
          <w:iCs/>
        </w:rPr>
        <w:t xml:space="preserve">N. gonorrhoeae</w:t>
      </w:r>
      <w:r>
        <w:t xml:space="preserve"> </w:t>
      </w:r>
      <w:r>
        <w:t xml:space="preserve">isolates (66 pairs); pairs with</w:t>
      </w:r>
      <w:r>
        <w:t xml:space="preserve"> </w:t>
      </w:r>
      <w:r>
        <w:t xml:space="preserve">ANI &gt;99.9% have anchor adjacencies 0.85–0.89 and up to 376 breakpoints. (c,d) 20</w:t>
      </w:r>
      <w:r>
        <w:t xml:space="preserve"> </w:t>
      </w:r>
      <w:r>
        <w:rPr>
          <w:i/>
          <w:iCs/>
        </w:rPr>
        <w:t xml:space="preserve">S. rimosus</w:t>
      </w:r>
      <w:r>
        <w:t xml:space="preserve"> </w:t>
      </w:r>
      <w:r>
        <w:t xml:space="preserve">isolates (190 pairs); near-clonal pairs (ANI 99.99–100%) have</w:t>
      </w:r>
      <w:r>
        <w:t xml:space="preserve"> </w:t>
      </w:r>
      <w:r>
        <w:t xml:space="preserve">anchor adjacencies 0.89–0.96 and an average of ~1,980 breakpoints. The most</w:t>
      </w:r>
      <w:r>
        <w:t xml:space="preserve"> </w:t>
      </w:r>
      <w:r>
        <w:t xml:space="preserve">discordant cases (NG_05 vs NG_10 and SR_06 vs SR_10) were re-analyzed with</w:t>
      </w:r>
      <w:r>
        <w:t xml:space="preserve"> </w:t>
      </w:r>
      <w:r>
        <w:rPr>
          <w:rStyle w:val="VerbatimChar"/>
        </w:rPr>
        <w:t xml:space="preserve">syn2bani struct</w:t>
      </w:r>
      <w:r>
        <w:t xml:space="preserve">; counts are in Table 4 and</w:t>
      </w:r>
      <w:r>
        <w:t xml:space="preserve"> </w:t>
      </w:r>
      <w:r>
        <w:rPr>
          <w:rStyle w:val="VerbatimChar"/>
        </w:rPr>
        <w:t xml:space="preserve">results/syntracker_validation/struct_top_cases_summary.tsv</w:t>
      </w:r>
      <w:r>
        <w:t xml:space="preserve">.</w:t>
      </w:r>
    </w:p>
    <w:bookmarkEnd w:id="19"/>
    <w:bookmarkStart w:id="20" w:name="X555626c33a66c415d746c3ce63da45e42bbec1d"/>
    <w:p>
      <w:pPr>
        <w:pStyle w:val="Heading2"/>
      </w:pPr>
      <w:r>
        <w:t xml:space="preserve">Supplementary Figure S13 — Diagnostic plot of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anchor_adjacency</w:t>
      </w:r>
      <w:r>
        <w:t xml:space="preserve"> </w:t>
      </w:r>
      <w:r>
        <w:t xml:space="preserve">on GTDB-R207 held-out pairs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figures/report/fig_diagnostic_af_query_vs_anchor_adjacency.png</w:t>
      </w:r>
      <w:r>
        <w:t xml:space="preserve">)</w:t>
      </w:r>
    </w:p>
    <w:p>
      <w:pPr>
        <w:pStyle w:val="BodyText"/>
      </w:pPr>
      <w:r>
        <w:t xml:space="preserve">43,334 held-out same-genus representative pairs from GTDB-R207, coloured by</w:t>
      </w:r>
      <w:r>
        <w:t xml:space="preserve"> </w:t>
      </w:r>
      <w:r>
        <w:t xml:space="preserve">dnadiff alignment-based synteny score. (a)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 </w:t>
      </w:r>
      <w:r>
        <w:t xml:space="preserve">(base-pair chain</w:t>
      </w:r>
      <w:r>
        <w:t xml:space="preserve"> </w:t>
      </w:r>
      <w:r>
        <w:t xml:space="preserve">coverage) and</w:t>
      </w:r>
      <w:r>
        <w:t xml:space="preserve"> </w:t>
      </w:r>
      <w:r>
        <w:rPr>
          <w:rStyle w:val="VerbatimChar"/>
        </w:rPr>
        <w:t xml:space="preserve">anchor_adjacency</w:t>
      </w:r>
      <w:r>
        <w:t xml:space="preserve"> </w:t>
      </w:r>
      <w:r>
        <w:t xml:space="preserve">(ordered-anchor conservation) are only weakly</w:t>
      </w:r>
      <w:r>
        <w:t xml:space="preserve"> </w:t>
      </w:r>
      <w:r>
        <w:t xml:space="preserve">correlated (Pearson r = 0.29) and are best understood as two independent</w:t>
      </w:r>
      <w:r>
        <w:t xml:space="preserve"> </w:t>
      </w:r>
      <w:r>
        <w:t xml:space="preserve">structural axes. The colour gradient shows that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 </w:t>
      </w:r>
      <w:r>
        <w:t xml:space="preserve">is the output that</w:t>
      </w:r>
      <w:r>
        <w:t xml:space="preserve"> </w:t>
      </w:r>
      <w:r>
        <w:t xml:space="preserve">tracks alignment-based synteny/coverage. (b) Four interpretable quadrants:</w:t>
      </w:r>
      <w:r>
        <w:t xml:space="preserve"> </w:t>
      </w:r>
      <w:r>
        <w:t xml:space="preserve">6,764 pairs have high</w:t>
      </w:r>
      <w:r>
        <w:t xml:space="preserve"> </w:t>
      </w:r>
      <w:r>
        <w:rPr>
          <w:rStyle w:val="VerbatimChar"/>
        </w:rPr>
        <w:t xml:space="preserve">anchor_adjacency</w:t>
      </w:r>
      <w:r>
        <w:t xml:space="preserve"> </w:t>
      </w:r>
      <w:r>
        <w:t xml:space="preserve">(&gt;0.99) but low dnadiff synteny</w:t>
      </w:r>
      <w:r>
        <w:t xml:space="preserve"> </w:t>
      </w:r>
      <w:r>
        <w:t xml:space="preserve">(&lt;0.5), because sparse surviving anchors are locally collinear while most of</w:t>
      </w:r>
      <w:r>
        <w:t xml:space="preserve"> </w:t>
      </w:r>
      <w:r>
        <w:t xml:space="preserve">the genome is unchained; 2,242 pairs have high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 </w:t>
      </w:r>
      <w:r>
        <w:t xml:space="preserve">(&gt;0.8) but low</w:t>
      </w:r>
      <w:r>
        <w:t xml:space="preserve"> </w:t>
      </w:r>
      <w:r>
        <w:t xml:space="preserve">dnadiff synteny, the signature of extensive rearrangement within an</w:t>
      </w:r>
      <w:r>
        <w:t xml:space="preserve"> </w:t>
      </w:r>
      <w:r>
        <w:t xml:space="preserve">alignable genome; 2,281 pairs have low</w:t>
      </w:r>
      <w:r>
        <w:t xml:space="preserve"> </w:t>
      </w:r>
      <w:r>
        <w:rPr>
          <w:rStyle w:val="VerbatimChar"/>
        </w:rPr>
        <w:t xml:space="preserve">af_query</w:t>
      </w:r>
      <w:r>
        <w:t xml:space="preserve"> </w:t>
      </w:r>
      <w:r>
        <w:t xml:space="preserve">but locally collinear</w:t>
      </w:r>
      <w:r>
        <w:t xml:space="preserve"> </w:t>
      </w:r>
      <w:r>
        <w:t xml:space="preserve">anchors; and 470 pairs show the reverse mismatch. Source data and script:</w:t>
      </w:r>
      <w:r>
        <w:t xml:space="preserve"> </w:t>
      </w:r>
      <w:r>
        <w:rPr>
          <w:rStyle w:val="VerbatimChar"/>
        </w:rPr>
        <w:t xml:space="preserve">results/gtdb50k/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analysis/plot_anchor_adjacency_vs_af_query.py</w:t>
      </w:r>
      <w:r>
        <w:t xml:space="preserve">.</w:t>
      </w:r>
    </w:p>
    <w:bookmarkEnd w:id="20"/>
    <w:bookmarkStart w:id="21" w:name="Xb79c9bf020a903d02af45c43b651fa33d5c8e03"/>
    <w:p>
      <w:pPr>
        <w:pStyle w:val="Heading2"/>
      </w:pPr>
      <w:r>
        <w:t xml:space="preserve">Supplementary Table S1 — MAG accuracy by CheckM2 quality tier</w:t>
      </w:r>
    </w:p>
    <w:p>
      <w:pPr>
        <w:pStyle w:val="FirstParagraph"/>
      </w:pPr>
      <w:r>
        <w:t xml:space="preserve">695 CAMI2 bins vs dnadiff ANIm truth (raw gated syn2bani; skani; FastANI).</w:t>
      </w:r>
      <w:r>
        <w:t xml:space="preserve"> </w:t>
      </w:r>
      <w:r>
        <w:t xml:space="preserve">Full per-group metrics:</w:t>
      </w:r>
      <w:r>
        <w:t xml:space="preserve"> </w:t>
      </w:r>
      <w:r>
        <w:rPr>
          <w:rStyle w:val="VerbatimChar"/>
        </w:rPr>
        <w:t xml:space="preserve">results/mag_validation/MAG_METRICS.tsv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HQ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0.041</w:t>
            </w:r>
          </w:p>
        </w:tc>
        <w:tc>
          <w:tcPr/>
          <w:p>
            <w:pPr>
              <w:pStyle w:val="Compact"/>
            </w:pPr>
            <w:r>
              <w:t xml:space="preserve">0.024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</w:t>
            </w:r>
          </w:p>
        </w:tc>
        <w:tc>
          <w:tcPr/>
          <w:p>
            <w:pPr>
              <w:pStyle w:val="Compact"/>
            </w:pPr>
            <w:r>
              <w:t xml:space="preserve">210</w:t>
            </w:r>
          </w:p>
        </w:tc>
        <w:tc>
          <w:tcPr/>
          <w:p>
            <w:pPr>
              <w:pStyle w:val="Compact"/>
            </w:pPr>
            <w:r>
              <w:t xml:space="preserve">0.105</w:t>
            </w:r>
          </w:p>
        </w:tc>
        <w:tc>
          <w:tcPr/>
          <w:p>
            <w:pPr>
              <w:pStyle w:val="Compact"/>
            </w:pPr>
            <w:r>
              <w:t xml:space="preserve">0.067</w:t>
            </w:r>
          </w:p>
        </w:tc>
        <w:tc>
          <w:tcPr/>
          <w:p>
            <w:pPr>
              <w:pStyle w:val="Compact"/>
            </w:pPr>
            <w:r>
              <w:t xml:space="preserve">0.131</w:t>
            </w:r>
          </w:p>
        </w:tc>
        <w:tc>
          <w:tcPr/>
          <w:p>
            <w:pPr>
              <w:pStyle w:val="Compact"/>
            </w:pPr>
            <w:r>
              <w:t xml:space="preserve">99.0%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LQ</w:t>
            </w:r>
          </w:p>
        </w:tc>
        <w:tc>
          <w:tcPr/>
          <w:p>
            <w:pPr>
              <w:pStyle w:val="Compact"/>
            </w:pPr>
            <w:r>
              <w:t xml:space="preserve">285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0.160</w:t>
            </w:r>
          </w:p>
        </w:tc>
        <w:tc>
          <w:tcPr/>
          <w:p>
            <w:pPr>
              <w:pStyle w:val="Compact"/>
            </w:pPr>
            <w:r>
              <w:t xml:space="preserve">0.426</w:t>
            </w:r>
          </w:p>
        </w:tc>
        <w:tc>
          <w:tcPr/>
          <w:p>
            <w:pPr>
              <w:pStyle w:val="Compact"/>
            </w:pPr>
            <w:r>
              <w:t xml:space="preserve">86.7%</w:t>
            </w:r>
          </w:p>
        </w:tc>
      </w:tr>
    </w:tbl>
    <w:bookmarkEnd w:id="21"/>
    <w:bookmarkStart w:id="22" w:name="X1d1a5b89358b225a547ea735bc71b43678427f8"/>
    <w:p>
      <w:pPr>
        <w:pStyle w:val="Heading2"/>
      </w:pPr>
      <w:r>
        <w:t xml:space="preserve">Supplementary Table S2 — MAG accuracy by contamination class</w:t>
      </w:r>
    </w:p>
    <w:p>
      <w:pPr>
        <w:pStyle w:val="FirstParagraph"/>
      </w:pPr>
      <w:r>
        <w:t xml:space="preserve">Class from CAMI2 ground-truth contig assignment (clean 305 / strain-mixed</w:t>
      </w:r>
      <w:r>
        <w:t xml:space="preserve"> </w:t>
      </w:r>
      <w:r>
        <w:t xml:space="preserve">253 / cross-species 137).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bias</w:t>
            </w:r>
          </w:p>
        </w:tc>
        <w:tc>
          <w:tcPr/>
          <w:p>
            <w:pPr>
              <w:pStyle w:val="Compact"/>
            </w:pPr>
            <w:r>
              <w:t xml:space="preserve">skani MAE</w:t>
            </w:r>
          </w:p>
        </w:tc>
        <w:tc>
          <w:tcPr/>
          <w:p>
            <w:pPr>
              <w:pStyle w:val="Compact"/>
            </w:pPr>
            <w:r>
              <w:t xml:space="preserve">FastANI MAE</w:t>
            </w:r>
          </w:p>
        </w:tc>
        <w:tc>
          <w:tcPr/>
          <w:p>
            <w:pPr>
              <w:pStyle w:val="Compact"/>
            </w:pPr>
            <w:r>
              <w:t xml:space="preserve">FastANI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0.084</w:t>
            </w:r>
          </w:p>
        </w:tc>
        <w:tc>
          <w:tcPr/>
          <w:p>
            <w:pPr>
              <w:pStyle w:val="Compact"/>
            </w:pPr>
            <w:r>
              <w:t xml:space="preserve">+0.083</w:t>
            </w:r>
          </w:p>
        </w:tc>
        <w:tc>
          <w:tcPr/>
          <w:p>
            <w:pPr>
              <w:pStyle w:val="Compact"/>
            </w:pPr>
            <w:r>
              <w:t xml:space="preserve">0.030</w:t>
            </w:r>
          </w:p>
        </w:tc>
        <w:tc>
          <w:tcPr/>
          <w:p>
            <w:pPr>
              <w:pStyle w:val="Compact"/>
            </w:pPr>
            <w:r>
              <w:t xml:space="preserve">0.055</w:t>
            </w:r>
          </w:p>
        </w:tc>
        <w:tc>
          <w:tcPr/>
          <w:p>
            <w:pPr>
              <w:pStyle w:val="Compact"/>
            </w:pPr>
            <w:r>
              <w:t xml:space="preserve">+0.044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strain-mixed</w:t>
            </w:r>
          </w:p>
        </w:tc>
        <w:tc>
          <w:tcPr/>
          <w:p>
            <w:pPr>
              <w:pStyle w:val="Compact"/>
            </w:pPr>
            <w:r>
              <w:t xml:space="preserve">0.170</w:t>
            </w:r>
          </w:p>
        </w:tc>
        <w:tc>
          <w:tcPr/>
          <w:p>
            <w:pPr>
              <w:pStyle w:val="Compact"/>
            </w:pPr>
            <w:r>
              <w:t xml:space="preserve">+0.159</w:t>
            </w:r>
          </w:p>
        </w:tc>
        <w:tc>
          <w:tcPr/>
          <w:p>
            <w:pPr>
              <w:pStyle w:val="Compact"/>
            </w:pPr>
            <w:r>
              <w:t xml:space="preserve">0.111</w:t>
            </w:r>
          </w:p>
        </w:tc>
        <w:tc>
          <w:tcPr/>
          <w:p>
            <w:pPr>
              <w:pStyle w:val="Compact"/>
            </w:pPr>
            <w:r>
              <w:t xml:space="preserve">0.165</w:t>
            </w:r>
          </w:p>
        </w:tc>
        <w:tc>
          <w:tcPr/>
          <w:p>
            <w:pPr>
              <w:pStyle w:val="Compact"/>
            </w:pPr>
            <w:r>
              <w:t xml:space="preserve">−0.081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cross-species</w:t>
            </w:r>
          </w:p>
        </w:tc>
        <w:tc>
          <w:tcPr/>
          <w:p>
            <w:pPr>
              <w:pStyle w:val="Compact"/>
            </w:pPr>
            <w:r>
              <w:t xml:space="preserve">0.326</w:t>
            </w:r>
          </w:p>
        </w:tc>
        <w:tc>
          <w:tcPr/>
          <w:p>
            <w:pPr>
              <w:pStyle w:val="Compact"/>
            </w:pPr>
            <w:r>
              <w:t xml:space="preserve">+0.314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0.656</w:t>
            </w:r>
          </w:p>
        </w:tc>
        <w:tc>
          <w:tcPr/>
          <w:p>
            <w:pPr>
              <w:pStyle w:val="Compact"/>
            </w:pPr>
            <w:r>
              <w:t xml:space="preserve">−0.605</w:t>
            </w:r>
          </w:p>
        </w:tc>
      </w:tr>
    </w:tbl>
    <w:bookmarkEnd w:id="22"/>
    <w:bookmarkStart w:id="23" w:name="X791b5905c3cbd3b80da6a27b4633a9dc2eda705"/>
    <w:p>
      <w:pPr>
        <w:pStyle w:val="Heading2"/>
      </w:pPr>
      <w:r>
        <w:t xml:space="preserve">Supplementary Table S3 — MAG accuracy by dnadiff alignment-fraction tier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AF tier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syn2bani MAE</w:t>
            </w:r>
          </w:p>
        </w:tc>
        <w:tc>
          <w:tcPr/>
          <w:p>
            <w:pPr>
              <w:pStyle w:val="Compact"/>
            </w:pPr>
            <w:r>
              <w:t xml:space="preserve">syn2bani within 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strict (≥ 60%)</w:t>
            </w:r>
          </w:p>
        </w:tc>
        <w:tc>
          <w:tcPr/>
          <w:p>
            <w:pPr>
              <w:pStyle w:val="Compact"/>
            </w:pPr>
            <w:r>
              <w:t xml:space="preserve">638</w:t>
            </w:r>
          </w:p>
        </w:tc>
        <w:tc>
          <w:tcPr/>
          <w:p>
            <w:pPr>
              <w:pStyle w:val="Compact"/>
            </w:pPr>
            <w:r>
              <w:t xml:space="preserve">0.129</w:t>
            </w:r>
          </w:p>
        </w:tc>
        <w:tc>
          <w:tcPr/>
          <w:p>
            <w:pPr>
              <w:pStyle w:val="Compact"/>
            </w:pPr>
            <w:r>
              <w:t xml:space="preserve">96.7%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low-AF (30–60%)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72.5%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verylow-AF (&lt; 30%)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0.744</w:t>
            </w:r>
          </w:p>
        </w:tc>
        <w:tc>
          <w:tcPr/>
          <w:p>
            <w:pPr>
              <w:pStyle w:val="Compact"/>
            </w:pPr>
            <w:r>
              <w:t xml:space="preserve">52.9%</w:t>
            </w:r>
          </w:p>
        </w:tc>
      </w:tr>
    </w:tbl>
    <w:bookmarkEnd w:id="23"/>
    <w:bookmarkStart w:id="24" w:name="Xe280e63292e65e7cc12ffc5dad24d6a06d19d0f"/>
    <w:p>
      <w:pPr>
        <w:pStyle w:val="Heading2"/>
      </w:pPr>
      <w:r>
        <w:t xml:space="preserve">Supplementary Note 1 — Calibration is input-regime-specific (MAG test)</w:t>
      </w:r>
    </w:p>
    <w:p>
      <w:pPr>
        <w:pStyle w:val="FirstParagraph"/>
      </w:pPr>
      <w:r>
        <w:t xml:space="preserve">The 695 MAG anchor pairs were re-run with</w:t>
      </w:r>
      <w:r>
        <w:t xml:space="preserve"> </w:t>
      </w:r>
      <w:r>
        <w:rPr>
          <w:rStyle w:val="VerbatimChar"/>
        </w:rPr>
        <w:t xml:space="preserve">ani --calibrate</w:t>
      </w:r>
      <w:r>
        <w:t xml:space="preserve"> </w:t>
      </w:r>
      <w:r>
        <w:t xml:space="preserve">(deployed v5</w:t>
      </w:r>
      <w:r>
        <w:t xml:space="preserve"> </w:t>
      </w:r>
      <w:r>
        <w:t xml:space="preserve">ridge model trained on complete GTDB genomes). Calibrated MAE is 1.261</w:t>
      </w:r>
      <w:r>
        <w:t xml:space="preserve"> </w:t>
      </w:r>
      <w:r>
        <w:t xml:space="preserve">(bias −1.243) versus 0.163 for the raw gated estimate; the degradation is</w:t>
      </w:r>
      <w:r>
        <w:t xml:space="preserve"> </w:t>
      </w:r>
      <w:r>
        <w:t xml:space="preserve">worst on low-quality (2.307) and cross-species (2.091) bins, and 43</w:t>
      </w:r>
      <w:r>
        <w:t xml:space="preserve"> </w:t>
      </w:r>
      <w:r>
        <w:t xml:space="preserve">near-clonal pairs are pushed above 100. The model learned the +2.02 raw bias</w:t>
      </w:r>
      <w:r>
        <w:t xml:space="preserve"> </w:t>
      </w:r>
      <w:r>
        <w:t xml:space="preserve">of complete-genome pairs, while raw bias on MAGs is only +0.16, so the</w:t>
      </w:r>
      <w:r>
        <w:t xml:space="preserve"> </w:t>
      </w:r>
      <w:r>
        <w:t xml:space="preserve">correction overshoots. This is the direct evidence for the design rule that</w:t>
      </w:r>
      <w:r>
        <w:t xml:space="preserve"> </w:t>
      </w:r>
      <w:r>
        <w:t xml:space="preserve">calibrated output is a separate, labelled column and never a silent</w:t>
      </w:r>
      <w:r>
        <w:t xml:space="preserve"> </w:t>
      </w:r>
      <w:r>
        <w:t xml:space="preserve">replacement; on draft/MAG inputs the raw gated estimate is recommended.</w:t>
      </w:r>
      <w:r>
        <w:t xml:space="preserve"> </w:t>
      </w:r>
      <w:r>
        <w:t xml:space="preserve">Data:</w:t>
      </w:r>
      <w:r>
        <w:t xml:space="preserve"> </w:t>
      </w:r>
      <w:r>
        <w:rPr>
          <w:rStyle w:val="VerbatimChar"/>
        </w:rPr>
        <w:t xml:space="preserve">results/mag_validation/collect/ani_calibrated.tsv</w:t>
      </w:r>
      <w:r>
        <w:t xml:space="preserve">.</w:t>
      </w:r>
    </w:p>
    <w:bookmarkEnd w:id="24"/>
    <w:bookmarkStart w:id="25" w:name="Xd013ccaae7d4dde06816ab37078854f863f6c97"/>
    <w:p>
      <w:pPr>
        <w:pStyle w:val="Heading2"/>
      </w:pPr>
      <w:r>
        <w:t xml:space="preserve">Supplementary Note 2 — Calibration learning curve</w:t>
      </w:r>
    </w:p>
    <w:p>
      <w:pPr>
        <w:pStyle w:val="FirstParagraph"/>
      </w:pPr>
      <w:r>
        <w:t xml:space="preserve">Band-holdout CV MAE of the v5 ridge model as a function of training-set</w:t>
      </w:r>
      <w:r>
        <w:t xml:space="preserve"> </w:t>
      </w:r>
      <w:r>
        <w:t xml:space="preserve">size (subsampled from the 2,520-pair ANIm training matrix):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Training pairs</w:t>
            </w:r>
          </w:p>
        </w:tc>
        <w:tc>
          <w:tcPr/>
          <w:p>
            <w:pPr>
              <w:pStyle w:val="Compact"/>
            </w:pPr>
            <w:r>
              <w:t xml:space="preserve">CV MAE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492</w:t>
            </w:r>
          </w:p>
        </w:tc>
        <w:tc>
          <w:tcPr/>
          <w:p>
            <w:pPr>
              <w:pStyle w:val="Compact"/>
            </w:pPr>
            <w:r>
              <w:t xml:space="preserve">0.952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0.902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1,476</w:t>
            </w:r>
          </w:p>
        </w:tc>
        <w:tc>
          <w:tcPr/>
          <w:p>
            <w:pPr>
              <w:pStyle w:val="Compact"/>
            </w:pPr>
            <w:r>
              <w:t xml:space="preserve">0.887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1,969</w:t>
            </w:r>
          </w:p>
        </w:tc>
        <w:tc>
          <w:tcPr/>
          <w:p>
            <w:pPr>
              <w:pStyle w:val="Compact"/>
            </w:pPr>
            <w:r>
              <w:t xml:space="preserve">0.893</w:t>
            </w:r>
          </w:p>
        </w:tc>
      </w:tr>
    </w:tbl>
    <w:p>
      <w:pPr>
        <w:pStyle w:val="BodyText"/>
      </w:pPr>
      <w:r>
        <w:t xml:space="preserve">The linear model plateaus at ~1,500 pairs; expanding the training set</w:t>
      </w:r>
      <w:r>
        <w:t xml:space="preserve"> </w:t>
      </w:r>
      <w:r>
        <w:t xml:space="preserve">further is not expected to improve it (main text, Methods 4.6).</w:t>
      </w:r>
    </w:p>
    <w:bookmarkEnd w:id="25"/>
    <w:bookmarkStart w:id="26" w:name="X335171f238bd89d569aec4e4b5b6643057b0b49"/>
    <w:p>
      <w:pPr>
        <w:pStyle w:val="Heading2"/>
      </w:pPr>
      <w:r>
        <w:t xml:space="preserve">Supplementary Note 3 — Pipeline failure modes and fixes (MAG benchmark)</w:t>
      </w:r>
    </w:p>
    <w:p>
      <w:pPr>
        <w:pStyle w:val="FirstParagraph"/>
      </w:pPr>
      <w:r>
        <w:t xml:space="preserve">The CAMI2 MAG pipeline required six engineering fixes that bear on</w:t>
      </w:r>
      <w:r>
        <w:t xml:space="preserve"> </w:t>
      </w:r>
      <w:r>
        <w:t xml:space="preserve">reproducibility of metagenome benchmarks generally: (i) dnadiff/nucmer</w:t>
      </w:r>
      <w:r>
        <w:t xml:space="preserve"> </w:t>
      </w:r>
      <w:r>
        <w:t xml:space="preserve">(MUMmer 3.23) rejects FASTA files containing any embedded whitespace, and</w:t>
      </w:r>
      <w:r>
        <w:t xml:space="preserve"> </w:t>
      </w:r>
      <w:r>
        <w:t xml:space="preserve">the CAMI2 source genomes carry spaces in both headers and sequence lines —</w:t>
      </w:r>
      <w:r>
        <w:t xml:space="preserve"> </w:t>
      </w:r>
      <w:r>
        <w:t xml:space="preserve">inputs were sanitized (headers truncated at first space, sequence</w:t>
      </w:r>
      <w:r>
        <w:t xml:space="preserve"> </w:t>
      </w:r>
      <w:r>
        <w:t xml:space="preserve">whitespace stripped) with cached copies; (ii) the FastANI CLI flag for the</w:t>
      </w:r>
      <w:r>
        <w:t xml:space="preserve"> </w:t>
      </w:r>
      <w:r>
        <w:t xml:space="preserve">query is</w:t>
      </w:r>
      <w:r>
        <w:t xml:space="preserve"> </w:t>
      </w:r>
      <w:r>
        <w:rPr>
          <w:rStyle w:val="VerbatimChar"/>
        </w:rPr>
        <w:t xml:space="preserve">-q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--q</w:t>
      </w:r>
      <w:r>
        <w:t xml:space="preserve">; (iii) conda environments on shared clusters can</w:t>
      </w:r>
      <w:r>
        <w:t xml:space="preserve"> </w:t>
      </w:r>
      <w:r>
        <w:t xml:space="preserve">be shadowed by user-site packages (numpy ABI mismatch in CheckM2), fixed</w:t>
      </w:r>
      <w:r>
        <w:t xml:space="preserve"> </w:t>
      </w:r>
      <w:r>
        <w:t xml:space="preserve">with PYTHONNOUSERSITE=1. Full incident log:</w:t>
      </w:r>
      <w:r>
        <w:t xml:space="preserve"> </w:t>
      </w:r>
      <w:r>
        <w:rPr>
          <w:rStyle w:val="VerbatimChar"/>
        </w:rPr>
        <w:t xml:space="preserve">results/mag_validation/RUNBOOK.md</w:t>
      </w:r>
      <w:r>
        <w:t xml:space="preserve">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2026-08-27T03:04:00Z</dcterms:created>
  <dcterms:modified xsi:type="dcterms:W3CDTF">2026-08-27T03:04:00Z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