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and a ridge calibration trained on alignment-based truth corrects real-genome rate heterogeneity. In one pass the same anchors yield aligned fraction, a synteny score, and structural-variant calls. On simulations with exact truth Syn2bANI attains MAE 0.073% versus 0.377% (skani) and 0.742% (FastANI), and remains robust to indels, GC variation, accessory content, and fragmentation. On 43,334 held-out GTDB-R207 pairs it achieves MAE 0.619% against ANIm, compared with 0.957% for skani and 0.977% for FastANI.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 FastANI popularized an alignment-free approximation from 20-mer seed matches and fragment-level chaining2; skani replaced seeding with sparse k-mer sketches and a regressed chain statistic, gaining orders of magnitude in speed6.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synteny scores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The result is a tool that matches or exceeds skani and FastANI on held-out GTDB-R207 pairs while additionally providing synteny and SV outputs that k-mer tools cannot.</w:t>
      </w:r>
    </w:p>
    <w:p>
      <w:r>
        <w:pict>
          <v:rect style="width:0;height:1.5pt" o:hralign="center" o:hrstd="t" o:hr="t"/>
        </w:pict>
      </w:r>
    </w:p>
    <w:bookmarkEnd w:id="11"/>
    <w:bookmarkStart w:id="19"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1b).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 Supplementary Figs. S5–S8). At fixed 95% ANI with 0–4 deletions per 100 kb, errors stay between +0.032 and +0.184 (MAE 0.081). Simulated fragmentation into 20–201 contigs yields errors of +0.018 to +0.179 (MAE 0.093). Ladders on five genomes spanning GC 27.2–72.1% give MAE 0.074–0.356, not monotone in GC.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(Fig. 3a). On a strictly held-out set of</w:t>
      </w:r>
      <w:r>
        <w:t xml:space="preserve"> </w:t>
      </w:r>
      <w:r>
        <w:rPr>
          <w:b/>
          <w:bCs/>
        </w:rPr>
        <w:t xml:space="preserve">43,334</w:t>
      </w:r>
      <w:r>
        <w:t xml:space="preserve"> </w:t>
      </w:r>
      <w:r>
        <w:t xml:space="preserve">same-genus pairs with training genomes excluded in both directions, the calibrated estimator attains MAE</w:t>
      </w:r>
      <w:r>
        <w:t xml:space="preserve"> </w:t>
      </w:r>
      <w:r>
        <w:rPr>
          <w:b/>
          <w:bCs/>
        </w:rPr>
        <w:t xml:space="preserve">0.619</w:t>
      </w:r>
      <w:r>
        <w:t xml:space="preserve"> </w:t>
      </w:r>
      <w:r>
        <w:t xml:space="preserve">(bias −0.12, r = 0.962), versus skani 0.957 and FastANI 0.977 on the same pairs (Fig. 3b). The advantage is largest at 80–90% ANI, where skani and FastANI carry a ~1.9-point downward bias. The one-sided upper bound covers ANIm truth on 99.4% of all 43,334 pairs.</w:t>
      </w:r>
    </w:p>
    <w:p>
      <w:pPr>
        <w:pStyle w:val="BodyText"/>
      </w:pPr>
      <w:r>
        <w:t xml:space="preserve">A unified 80–100% benchmark combines the 43,334 held-out pairs with 727 high-ANI test pairs sampled from non-representative GTDB-R207 genomes. A simple hybrid rule — raw gated estimate at ≥98% ANI, calibrated estimate below — gives the lowest overall MAE (</w:t>
      </w:r>
      <w:r>
        <w:rPr>
          <w:b/>
          <w:bCs/>
        </w:rPr>
        <w:t xml:space="preserve">0.615</w:t>
      </w:r>
      <w:r>
        <w:t xml:space="preserve">), recovering the strong raw performance in the 97–100% regime (MAE 0.23) without degrading 95–97% (Fig. 4; Supplementary Fig. S3). A threshold sweep shows the boundary is not critical: 97% gives MAE 0.619, 98% gives 0.615, and 99% gives 0.614.</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(Fig. 5). By CheckM2 tier,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We quantified this on four published isolate collections. In a longitudinal</w:t>
      </w:r>
      <w:r>
        <w:t xml:space="preserve"> </w:t>
      </w:r>
      <w:r>
        <w:rPr>
          <w:i/>
          <w:iCs/>
        </w:rPr>
        <w:t xml:space="preserve">E. coli</w:t>
      </w:r>
      <w:r>
        <w:t xml:space="preserve"> </w:t>
      </w:r>
      <w:r>
        <w:t xml:space="preserve">hypermutator lineage, every cross-time pair with ANI &gt;99.9% shows a synteny score of only 0.70–0.76 and 850–1,130 breakpoints. Re-analysis with</w:t>
      </w:r>
      <w:r>
        <w:t xml:space="preserve"> </w:t>
      </w:r>
      <w:r>
        <w:rPr>
          <w:rStyle w:val="VerbatimChar"/>
        </w:rPr>
        <w:t xml:space="preserve">syn2bani struct</w:t>
      </w:r>
      <w:r>
        <w:t xml:space="preserve"> </w:t>
      </w:r>
      <w:r>
        <w:t xml:space="preserve">resolves representative pairs into dozens of chains with tens of inversions and translocations (Fig. 6a; Table 1).</w:t>
      </w:r>
      <w:r>
        <w:t xml:space="preserve"> </w:t>
      </w:r>
      <w:r>
        <w:rPr>
          <w:i/>
          <w:iCs/>
        </w:rPr>
        <w:t xml:space="preserve">Helicobacter pylori</w:t>
      </w:r>
      <w:r>
        <w:t xml:space="preserve"> </w:t>
      </w:r>
      <w:r>
        <w:t xml:space="preserve">same-host pairs cluster at ANI &gt;99.9% but the lowest-synteny cases carry 68–103 breakpoints.</w:t>
      </w:r>
      <w:r>
        <w:t xml:space="preserve"> </w:t>
      </w:r>
      <w:r>
        <w:rPr>
          <w:i/>
          <w:iCs/>
        </w:rPr>
        <w:t xml:space="preserve">Neisseria gonorrhoeae</w:t>
      </w:r>
      <w:r>
        <w:t xml:space="preserve"> </w:t>
      </w:r>
      <w:r>
        <w:t xml:space="preserve">and</w:t>
      </w:r>
      <w:r>
        <w:t xml:space="preserve"> </w:t>
      </w:r>
      <w:r>
        <w:rPr>
          <w:i/>
          <w:iCs/>
        </w:rPr>
        <w:t xml:space="preserve">Streptomyces rimosus</w:t>
      </w:r>
      <w:r>
        <w:t xml:space="preserve"> </w:t>
      </w:r>
      <w:r>
        <w:t xml:space="preserve">near-clonal pairs show the same decoupling, with</w:t>
      </w:r>
      <w:r>
        <w:t xml:space="preserve"> </w:t>
      </w:r>
      <w:r>
        <w:rPr>
          <w:i/>
          <w:iCs/>
        </w:rPr>
        <w:t xml:space="preserve">S. rimosus</w:t>
      </w:r>
      <w:r>
        <w:t xml:space="preserve"> </w:t>
      </w:r>
      <w:r>
        <w:t xml:space="preserve">reaching 2,957 breakpoints at 99.9945% ANI (Fig. 6b; Supplementary Fig. S11).</w:t>
      </w:r>
    </w:p>
    <w:p>
      <w:pPr>
        <w:pStyle w:val="BodyText"/>
      </w:pPr>
      <w:r>
        <w:t xml:space="preserve">The same pattern appears at database scale. Among 336 GTDB-R207 representative pairs with ANI ≥ 99.0% and aligned fraction ≥ 0.9 in both directions, 7.4% have a synteny score &lt; 0.99 and 2.4% fall below 0.98 — i.e. pairs an ANI-only search would return as near-clonal yet which are structurally divergent.</w:t>
      </w:r>
    </w:p>
    <w:bookmarkEnd w:id="17"/>
    <w:bookmarkStart w:id="18" w:name="computational-efficiency"/>
    <w:p>
      <w:pPr>
        <w:pStyle w:val="Heading3"/>
      </w:pPr>
      <w:r>
        <w:t xml:space="preserve">Computational efficiency</w:t>
      </w:r>
    </w:p>
    <w:p>
      <w:pPr>
        <w:pStyle w:val="FirstParagraph"/>
      </w:pPr>
      <w:r>
        <w:t xml:space="preserve">On all-vs-all comparison of 22 genomes (14 complete Enterobacteriaceae plus 8 real draft</w:t>
      </w:r>
      <w:r>
        <w:t xml:space="preserve"> </w:t>
      </w:r>
      <w:r>
        <w:rPr>
          <w:i/>
          <w:iCs/>
        </w:rPr>
        <w:t xml:space="preserve">E. coli</w:t>
      </w:r>
      <w:r>
        <w:t xml:space="preserve">), Syn2bANI computes all 484 pairs in 3.73 s from FASTA or 2.79 s reusing sketches, against 17.7 s for FastANI and 0.15 s for skani (the latter reports only 302/484 pairs because of its minimum-AF filter and excludes sketching). Peak memory is 58 MB with sketch reuse versus 185 MB (skani) and 912 MB (FastANI); the sketch store is ~5× smaller than skani’s (Supplementary Fig. S6).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skani remains faster at scale, a trade-off we state openly.</w:t>
      </w:r>
    </w:p>
    <w:p>
      <w:r>
        <w:pict>
          <v:rect style="width:0;height:1.5pt" o:hralign="center" o:hrstd="t" o:hr="t"/>
        </w:pict>
      </w:r>
    </w:p>
    <w:bookmarkEnd w:id="18"/>
    <w:bookmarkEnd w:id="19"/>
    <w:bookmarkStart w:id="20"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not an afterthought: they are a direct consequence of using coordinate-carrying anchors, and they provide a second axis of comparison that is orthogonal to divergence.</w:t>
      </w:r>
    </w:p>
    <w:p>
      <w:pPr>
        <w:pStyle w:val="BodyText"/>
      </w:pPr>
      <w:r>
        <w:t xml:space="preserve">The structural outputs are not an afterthought: they are a direct consequence of using coordinate-carrying anchors. In an era of strain-resolved metagenomics, ANI alone is insufficient to decide whether two genomes are truly equivalent. The synteny score and SV calls provide a second axis of comparison that is orthogonal to divergence and biologically interpretable.</w:t>
      </w:r>
    </w:p>
    <w:p>
      <w:r>
        <w:pict>
          <v:rect style="width:0;height:1.5pt" o:hralign="center" o:hrstd="t" o:hr="t"/>
        </w:pict>
      </w:r>
    </w:p>
    <w:bookmarkEnd w:id="20"/>
    <w:bookmarkStart w:id="32" w:name="online-methods"/>
    <w:p>
      <w:pPr>
        <w:pStyle w:val="Heading2"/>
      </w:pPr>
      <w:r>
        <w:t xml:space="preserve">Online Methods</w:t>
      </w:r>
    </w:p>
    <w:bookmarkStart w:id="21"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 [8,19]).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we found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1"/>
    <w:bookmarkStart w:id="22"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2"/>
    <w:bookmarkStart w:id="23" w:name="Xc84f212d8323a8f017575d3d7a92fc22fb23227"/>
    <w:p>
      <w:pPr>
        <w:pStyle w:val="Heading3"/>
      </w:pPr>
      <w:r>
        <w:t xml:space="preserve">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12/15 mid-ANI pairs (4.482 → 0.959),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3"/>
    <w:bookmarkStart w:id="24"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4"/>
    <w:bookmarkStart w:id="25"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5"/>
    <w:bookmarkStart w:id="26" w:name="ridge-calibration-protocol"/>
    <w:p>
      <w:pPr>
        <w:pStyle w:val="Heading3"/>
      </w:pPr>
      <w:r>
        <w:t xml:space="preserve">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 [18]),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6"/>
    <w:bookmarkStart w:id="27" w:name="Xd3b37ce8f62a83dd9d52f682daa388ffbd3bd4e"/>
    <w:p>
      <w:pPr>
        <w:pStyle w:val="Heading3"/>
      </w:pPr>
      <w:r>
        <w:t xml:space="preserve">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27"/>
    <w:bookmarkStart w:id="28"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28"/>
    <w:bookmarkStart w:id="29"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29"/>
    <w:bookmarkStart w:id="30"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provide the large-scale comparison in Fig. 6.</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 binned with MetaBAT2, and quality-scored with CheckM2;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synteny_score</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(Fig. 11, Fig. 12;</w:t>
      </w:r>
      <w:r>
        <w:t xml:space="preserve"> </w:t>
      </w:r>
      <w:r>
        <w:rPr>
          <w:rStyle w:val="VerbatimChar"/>
        </w:rPr>
        <w:t xml:space="preserve">results/syntracker_validation/</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we note this wherever the comparison appears.</w:t>
      </w:r>
    </w:p>
    <w:bookmarkEnd w:id="30"/>
    <w:bookmarkStart w:id="31" w:name="implementation"/>
    <w:p>
      <w:pPr>
        <w:pStyle w:val="Heading3"/>
      </w:pPr>
      <w:r>
        <w:t xml:space="preserve">Implementation</w:t>
      </w:r>
    </w:p>
    <w:p>
      <w:pPr>
        <w:pStyle w:val="FirstParagraph"/>
      </w:pPr>
      <w:r>
        <w:t xml:space="preserve">Syn2bANI is implemented in Rust (edition 2021) with needletail [13] for FASTA parsing and rayon [14]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1"/>
    <w:bookmarkEnd w:id="32"/>
    <w:bookmarkStart w:id="33"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3"/>
    <w:bookmarkStart w:id="34"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4"/>
    <w:bookmarkStart w:id="35" w:name="acknowledgements"/>
    <w:p>
      <w:pPr>
        <w:pStyle w:val="Heading2"/>
      </w:pPr>
      <w:r>
        <w:t xml:space="preserve">Acknowledgements</w:t>
      </w:r>
    </w:p>
    <w:p>
      <w:pPr>
        <w:pStyle w:val="FirstParagraph"/>
      </w:pPr>
      <w:r>
        <w:t xml:space="preserve">[To be determined.]</w:t>
      </w:r>
    </w:p>
    <w:bookmarkEnd w:id="35"/>
    <w:bookmarkStart w:id="36" w:name="author-contributions"/>
    <w:p>
      <w:pPr>
        <w:pStyle w:val="Heading2"/>
      </w:pPr>
      <w:r>
        <w:t xml:space="preserve">Author contributions</w:t>
      </w:r>
    </w:p>
    <w:p>
      <w:pPr>
        <w:pStyle w:val="FirstParagraph"/>
      </w:pPr>
      <w:r>
        <w:t xml:space="preserve">[To be determined — placeholder.]</w:t>
      </w:r>
    </w:p>
    <w:bookmarkEnd w:id="36"/>
    <w:bookmarkStart w:id="37" w:name="competing-interests"/>
    <w:p>
      <w:pPr>
        <w:pStyle w:val="Heading2"/>
      </w:pPr>
      <w:r>
        <w:t xml:space="preserve">Competing interests</w:t>
      </w:r>
    </w:p>
    <w:p>
      <w:pPr>
        <w:pStyle w:val="FirstParagraph"/>
      </w:pPr>
      <w:r>
        <w:t xml:space="preserve">[To be determined — placeholder: The authors declare no competing interests.]</w:t>
      </w:r>
    </w:p>
    <w:bookmarkEnd w:id="37"/>
    <w:bookmarkStart w:id="38"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(huangshi@njau.edu.cn)</w:t>
      </w:r>
    </w:p>
    <w:p>
      <w:r>
        <w:pict>
          <v:rect style="width:0;height:1.5pt" o:hralign="center" o:hrstd="t" o:hr="t"/>
        </w:pict>
      </w:r>
    </w:p>
    <w:bookmarkEnd w:id="38"/>
    <w:bookmarkStart w:id="39"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synteny score, SV calls, reliability flag, and</w:t>
      </w:r>
      <w:r>
        <w:t xml:space="preserve"> </w:t>
      </w:r>
      <w:r>
        <w:rPr>
          <w:rStyle w:val="VerbatimChar"/>
        </w:rPr>
        <w:t xml:space="preserve">ani_upper95</w:t>
      </w:r>
      <w:r>
        <w:t xml:space="preserve">. Source:</w:t>
      </w:r>
      <w:r>
        <w:t xml:space="preserve"> </w:t>
      </w:r>
      <w:r>
        <w:rPr>
          <w:rStyle w:val="VerbatimChar"/>
        </w:rPr>
        <w:t xml:space="preserve">figures/report/fig1_algorithm_schematic.png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GC ladders on five genomes (27.2–72.1% GC): MAE 0.074–0.356. (f) Accessory-content sweep (0–50% shuffled blocks at 95% core ANI): ANI estimate flat,</w:t>
      </w:r>
      <w:r>
        <w:t xml:space="preserve"> </w:t>
      </w:r>
      <w:r>
        <w:rPr>
          <w:rStyle w:val="VerbatimChar"/>
        </w:rPr>
        <w:t xml:space="preserve">af_query</w:t>
      </w:r>
      <w:r>
        <w:t xml:space="preserve"> </w:t>
      </w:r>
      <w:r>
        <w:t xml:space="preserve">tracks true shared fraction. Source panels:</w:t>
      </w:r>
      <w:r>
        <w:t xml:space="preserve"> </w:t>
      </w:r>
      <w:r>
        <w:rPr>
          <w:rStyle w:val="VerbatimChar"/>
        </w:rPr>
        <w:t xml:space="preserve">figures/report/fig1_simulation_ladder.png</w:t>
      </w:r>
      <w:r>
        <w:t xml:space="preserve"> </w:t>
      </w:r>
      <w:r>
        <w:t xml:space="preserve">and</w:t>
      </w:r>
      <w:r>
        <w:t xml:space="preserve"> </w:t>
      </w:r>
      <w:r>
        <w:rPr>
          <w:rStyle w:val="VerbatimChar"/>
        </w:rPr>
        <w:t xml:space="preserve">figures/report/fig2_robustness.png</w:t>
      </w:r>
      <w:r>
        <w:t xml:space="preserve">.</w:t>
      </w:r>
    </w:p>
    <w:p>
      <w:pPr>
        <w:pStyle w:val="BodyText"/>
      </w:pPr>
      <w:r>
        <w:rPr>
          <w:b/>
          <w:bCs/>
        </w:rPr>
        <w:t xml:space="preserve">Figure 3 | GTDB-R207 benchmark against ANIm truth.</w:t>
      </w:r>
      <w:r>
        <w:t xml:space="preserve"> </w:t>
      </w:r>
      <w:r>
        <w:t xml:space="preserve">(a) Band-holdout cross-validation on 2,520 training pairs: MAE by ANI band for raw gamma, calibrated v5, skani, and FastANI. (b) Strictly held-out 43,334 same-genus pairs with training genomes excluded: calibrated Syn2bANI v5 vs skani and FastANI. Source:</w:t>
      </w:r>
      <w:r>
        <w:t xml:space="preserve"> </w:t>
      </w:r>
      <w:r>
        <w:rPr>
          <w:rStyle w:val="VerbatimChar"/>
        </w:rPr>
        <w:t xml:space="preserve">figures/report/fig7_anim_by_band.png</w:t>
      </w:r>
      <w:r>
        <w:t xml:space="preserve"> </w:t>
      </w:r>
      <w:r>
        <w:t xml:space="preserve">and</w:t>
      </w:r>
      <w:r>
        <w:t xml:space="preserve"> </w:t>
      </w:r>
      <w:r>
        <w:rPr>
          <w:rStyle w:val="VerbatimChar"/>
        </w:rPr>
        <w:t xml:space="preserve">figures/report/fig_gtdb50k_heldout.png</w:t>
      </w:r>
      <w:r>
        <w:t xml:space="preserve">.</w:t>
      </w:r>
    </w:p>
    <w:p>
      <w:pPr>
        <w:pStyle w:val="BodyText"/>
      </w:pPr>
      <w:r>
        <w:rPr>
          <w:b/>
          <w:bCs/>
        </w:rPr>
        <w:t xml:space="preserve">Figure 4 | Unified 80–100% GTDB-R207 benchmark and hybrid estimator.</w:t>
      </w:r>
      <w:r>
        <w:t xml:space="preserve"> </w:t>
      </w:r>
      <w:r>
        <w:t xml:space="preserve">43,334 held-out pairs plus 727 high-ANI test pairs. (a) Estimated vs ANIm truth for raw gated, v6-calibrated, hybrid (raw ≥98% / calibrated &lt;98%), skani, and FastANI. (b) Per-band MAE. (c) Signed-error distributions. (d) High-ANI zoom. Source:</w:t>
      </w:r>
      <w:r>
        <w:t xml:space="preserve"> </w:t>
      </w:r>
      <w:r>
        <w:rPr>
          <w:rStyle w:val="VerbatimChar"/>
        </w:rPr>
        <w:t xml:space="preserve">figures/gtdb_r207_unified_benchmark.png</w:t>
      </w:r>
      <w:r>
        <w:t xml:space="preserve">.</w:t>
      </w:r>
    </w:p>
    <w:p>
      <w:pPr>
        <w:pStyle w:val="BodyText"/>
      </w:pPr>
      <w:r>
        <w:rPr>
          <w:b/>
          <w:bCs/>
        </w:rPr>
        <w:t xml:space="preserve">Figure 5 | Accuracy on 695 CAMI2 MAGs.</w:t>
      </w:r>
      <w:r>
        <w:t xml:space="preserve"> </w:t>
      </w:r>
      <w:r>
        <w:t xml:space="preserve">(a) Syn2bANI raw gated estimate vs dnadiff ANIm truth, colored by contamination class. (b) Absolute-error distributions by tool. (c) Syn2bANI error by CheckM2 quality tier. Source:</w:t>
      </w:r>
      <w:r>
        <w:t xml:space="preserve"> </w:t>
      </w:r>
      <w:r>
        <w:rPr>
          <w:rStyle w:val="VerbatimChar"/>
        </w:rPr>
        <w:t xml:space="preserve">figures/report/mag_validation.png</w:t>
      </w:r>
      <w:r>
        <w:t xml:space="preserve">.</w:t>
      </w:r>
    </w:p>
    <w:p>
      <w:pPr>
        <w:pStyle w:val="BodyText"/>
      </w:pPr>
      <w:r>
        <w:rPr>
          <w:b/>
          <w:bCs/>
        </w:rPr>
        <w:t xml:space="preserve">Figure 6 | High-ANI pairs hide extensive rearrangements.</w:t>
      </w:r>
      <w:r>
        <w:t xml:space="preserve"> </w:t>
      </w:r>
      <w:r>
        <w:t xml:space="preserve">(a)</w:t>
      </w:r>
      <w:r>
        <w:t xml:space="preserve"> </w:t>
      </w:r>
      <w:r>
        <w:rPr>
          <w:i/>
          <w:iCs/>
        </w:rPr>
        <w:t xml:space="preserve">E. coli</w:t>
      </w:r>
      <w:r>
        <w:t xml:space="preserve"> </w:t>
      </w:r>
      <w:r>
        <w:t xml:space="preserve">hypermutator and</w:t>
      </w:r>
      <w:r>
        <w:t xml:space="preserve"> </w:t>
      </w:r>
      <w:r>
        <w:rPr>
          <w:i/>
          <w:iCs/>
        </w:rPr>
        <w:t xml:space="preserve">H. pylori</w:t>
      </w:r>
      <w:r>
        <w:t xml:space="preserve"> </w:t>
      </w:r>
      <w:r>
        <w:t xml:space="preserve">isolates: ANI vs synteny score (Syn2bANI left, skani right); highlighted pairs were re-analyzed with</w:t>
      </w:r>
      <w:r>
        <w:t xml:space="preserve"> </w:t>
      </w:r>
      <w:r>
        <w:rPr>
          <w:rStyle w:val="VerbatimChar"/>
        </w:rPr>
        <w:t xml:space="preserve">syn2bani struct</w:t>
      </w:r>
      <w:r>
        <w:t xml:space="preserve">. (b)</w:t>
      </w:r>
      <w:r>
        <w:t xml:space="preserve"> </w:t>
      </w:r>
      <w:r>
        <w:rPr>
          <w:i/>
          <w:iCs/>
        </w:rPr>
        <w:t xml:space="preserve">N. gonorrhoeae</w:t>
      </w:r>
      <w:r>
        <w:t xml:space="preserve"> </w:t>
      </w:r>
      <w:r>
        <w:t xml:space="preserve">and</w:t>
      </w:r>
      <w:r>
        <w:t xml:space="preserve"> </w:t>
      </w:r>
      <w:r>
        <w:rPr>
          <w:i/>
          <w:iCs/>
        </w:rPr>
        <w:t xml:space="preserve">S. rimosus</w:t>
      </w:r>
      <w:r>
        <w:t xml:space="preserve"> </w:t>
      </w:r>
      <w:r>
        <w:t xml:space="preserve">isolates show the same ANI–synteny decoupling. Source:</w:t>
      </w:r>
      <w:r>
        <w:t xml:space="preserve"> </w:t>
      </w:r>
      <w:r>
        <w:rPr>
          <w:rStyle w:val="VerbatimChar"/>
        </w:rPr>
        <w:t xml:space="preserve">figures/syntracker_validation/syntracker_high_ani_low_synteny.png</w:t>
      </w:r>
      <w:r>
        <w:t xml:space="preserve"> </w:t>
      </w:r>
      <w:r>
        <w:t xml:space="preserve">and</w:t>
      </w:r>
      <w:r>
        <w:t xml:space="preserve"> </w:t>
      </w:r>
      <w:r>
        <w:rPr>
          <w:rStyle w:val="VerbatimChar"/>
        </w:rPr>
        <w:t xml:space="preserve">figures/syntracker_validation/syntracker_supp_ngonorrhoeae_srimosus.png</w:t>
      </w:r>
      <w:r>
        <w:t xml:space="preserve">.</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2026-08-26T00:25:01Z</dcterms:created>
  <dcterms:modified xsi:type="dcterms:W3CDTF">2026-08-26T00:25:01Z</dcterms:modified>
</cp:coreProperties>
</file>

<file path=docProps/custom.xml><?xml version="1.0" encoding="utf-8"?>
<Properties xmlns="http://schemas.openxmlformats.org/officeDocument/2006/custom-properties" xmlns:vt="http://schemas.openxmlformats.org/officeDocument/2006/docPropsVTypes"/>
</file>