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 adjacency,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three structurally informative quantities from the same anchor chains:</w:t>
      </w:r>
      <w:r>
        <w:t xml:space="preserve"> </w:t>
      </w:r>
      <w:r>
        <w:rPr>
          <w:rStyle w:val="VerbatimChar"/>
        </w:rPr>
        <w:t xml:space="preserve">breakpoint_count</w:t>
      </w:r>
      <w:r>
        <w:t xml:space="preserve">, the number of chain-disrupting orientation flips and large indels;</w:t>
      </w:r>
      <w:r>
        <w:t xml:space="preserve"> </w:t>
      </w:r>
      <w:r>
        <w:rPr>
          <w:rStyle w:val="VerbatimChar"/>
        </w:rPr>
        <w:t xml:space="preserve">anchor_adjacency</w:t>
      </w:r>
      <w:r>
        <w:t xml:space="preserve">, the fraction of chained-anchor adjacencies that remain collinear; and</w:t>
      </w:r>
      <w:r>
        <w:t xml:space="preserve"> </w:t>
      </w:r>
      <w:r>
        <w:rPr>
          <w:rStyle w:val="VerbatimChar"/>
        </w:rPr>
        <w:t xml:space="preserve">af_query</w:t>
      </w:r>
      <w:r>
        <w:t xml:space="preserve">, the base-pair fraction of the query covered by chains.</w:t>
      </w:r>
      <w:r>
        <w:t xml:space="preserve"> </w:t>
      </w:r>
      <w:r>
        <w:rPr>
          <w:rStyle w:val="VerbatimChar"/>
        </w:rPr>
        <w:t xml:space="preserve">breakpoint_count</w:t>
      </w:r>
      <w:r>
        <w:t xml:space="preserve"> </w:t>
      </w:r>
      <w:r>
        <w:t xml:space="preserve">and</w:t>
      </w:r>
      <w:r>
        <w:t xml:space="preserve"> </w:t>
      </w:r>
      <w:r>
        <w:rPr>
          <w:rStyle w:val="VerbatimChar"/>
        </w:rPr>
        <w:t xml:space="preserve">synteny_blocks</w:t>
      </w:r>
      <w:r>
        <w:t xml:space="preserve"> </w:t>
      </w:r>
      <w:r>
        <w:t xml:space="preserve">are rearrangement statistics;</w:t>
      </w:r>
      <w:r>
        <w:t xml:space="preserve"> </w:t>
      </w:r>
      <w:r>
        <w:rPr>
          <w:rStyle w:val="VerbatimChar"/>
        </w:rPr>
        <w:t xml:space="preserve">anchor_adjacency</w:t>
      </w:r>
      <w:r>
        <w:t xml:space="preserve"> </w:t>
      </w:r>
      <w:r>
        <w:t xml:space="preserve">is an anchor-adjacency conservation metric;</w:t>
      </w:r>
      <w:r>
        <w:t xml:space="preserve"> </w:t>
      </w:r>
      <w:r>
        <w:rPr>
          <w:rStyle w:val="VerbatimChar"/>
        </w:rPr>
        <w:t xml:space="preserve">af_query</w:t>
      </w:r>
      <w:r>
        <w:t xml:space="preserve"> </w:t>
      </w:r>
      <w:r>
        <w:t xml:space="preserve">is the coverage metric that corresponds to alignment-based aligned fraction.</w:t>
      </w:r>
    </w:p>
    <w:p>
      <w:pPr>
        <w:pStyle w:val="BodyText"/>
      </w:pPr>
      <w:r>
        <w:t xml:space="preserve">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an anchor adjacency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lowest-anchor-adjacency cases carry 44–63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an anchor adjacency &lt; 0.99 and 2.4% fall below 0.98 — i.e. pairs an ANI-only search would return as near-clonal yet which are structurally divergent.</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Syn2bANI</w:t>
      </w:r>
      <w:r>
        <w:t xml:space="preserve"> </w:t>
      </w:r>
      <w:r>
        <w:rPr>
          <w:rStyle w:val="VerbatimChar"/>
        </w:rPr>
        <w:t xml:space="preserve">breakpoint_count</w:t>
      </w:r>
      <w:r>
        <w:t xml:space="preserve"> </w:t>
      </w:r>
      <w:r>
        <w:t xml:space="preserve">correlates with dnadiff breakpoints (Spearman r = 0.54–0.56) and with dnadiff large indels after a 10 kb gap filter (Spearman r = 0.70);</w:t>
      </w:r>
      <w:r>
        <w:t xml:space="preserve"> </w:t>
      </w:r>
      <w:r>
        <w:rPr>
          <w:rStyle w:val="VerbatimChar"/>
        </w:rPr>
        <w:t xml:space="preserve">synteny_blocks</w:t>
      </w:r>
      <w:r>
        <w:t xml:space="preserve"> </w:t>
      </w:r>
      <w:r>
        <w:t xml:space="preserve">shows similar agreement (Spearman r = 0.61–0.62). An independent minimap2 truth set (standard PAF without CIGAR) gives a moderate positive correlation with</w:t>
      </w:r>
      <w:r>
        <w:t xml:space="preserve"> </w:t>
      </w:r>
      <w:r>
        <w:rPr>
          <w:rStyle w:val="VerbatimChar"/>
        </w:rPr>
        <w:t xml:space="preserve">breakpoint_count</w:t>
      </w:r>
      <w:r>
        <w:t xml:space="preserve"> </w:t>
      </w:r>
      <w:r>
        <w:t xml:space="preserve">(Spearman r = 0.36), consistent with the two aligners resolving rearrangements at different granularities. The base-pair coverage metric</w:t>
      </w:r>
      <w:r>
        <w:t xml:space="preserve"> </w:t>
      </w:r>
      <w:r>
        <w:rPr>
          <w:rStyle w:val="VerbatimChar"/>
        </w:rPr>
        <w:t xml:space="preserve">af_query</w:t>
      </w:r>
      <w:r>
        <w:t xml:space="preserve"> </w:t>
      </w:r>
      <w:r>
        <w:t xml:space="preserve">correlates with dnadiff and minimap2 synteny/coverage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(Spearman r ≈ −0.27 with dnadiff and −0.01 with minimap2) and only weakly correlated with base-pair synteny/coverage scores (Spearman r = 0.33 and −0.01). On an engineered</w:t>
      </w:r>
      <w:r>
        <w:t xml:space="preserve"> </w:t>
      </w:r>
      <w:r>
        <w:rPr>
          <w:i/>
          <w:iCs/>
        </w:rPr>
        <w:t xml:space="preserve">H. pylori</w:t>
      </w:r>
      <w:r>
        <w:t xml:space="preserve"> </w:t>
      </w:r>
      <w:r>
        <w:t xml:space="preserve">cagPAI test panel, a 36,154 bp deletion/insertion is recovered as a single insertion call of 36,154 bp (Supplementary Fig. S12).</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breakpoint counts, synteny blocks,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[To be determined — placeholder.]</w:t>
      </w:r>
    </w:p>
    <w:bookmarkEnd w:id="39"/>
    <w:bookmarkStart w:id="40" w:name="competing-interests"/>
    <w:p>
      <w:pPr>
        <w:pStyle w:val="Heading2"/>
      </w:pPr>
      <w:r>
        <w:t xml:space="preserve">Competing interests</w:t>
      </w:r>
    </w:p>
    <w:p>
      <w:pPr>
        <w:pStyle w:val="FirstParagraph"/>
      </w:pPr>
      <w:r>
        <w:t xml:space="preserve">[To be determined — placeholder: 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anchor adjacency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ANI–anchor-adjacency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2"/>
    <w:bookmarkStart w:id="43" w:name="Xc726a833e5182f8377620c8e41412d6ae80dab8"/>
    <w:p>
      <w:pPr>
        <w:pStyle w:val="Heading2"/>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on reference contig; core genes 8.8–17.2 kb, peripheral region 17.2–37.1 kb). (b) Boxplot of periphery coverage (17.2–37.1 kb)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figures/report/fig_b_longum_abfa.png</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Results; Fig. S12</w:t>
            </w:r>
          </w:p>
        </w:tc>
      </w:tr>
      <w:tr>
        <w:tc>
          <w:tcPr/>
          <w:p>
            <w:pPr>
              <w:pStyle w:val="Compact"/>
            </w:pPr>
            <w:r>
              <w:t xml:space="preserve">20</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2026-08-27T01:29:57Z</dcterms:created>
  <dcterms:modified xsi:type="dcterms:W3CDTF">2026-08-27T01:29:57Z</dcterms:modified>
</cp:coreProperties>
</file>

<file path=docProps/custom.xml><?xml version="1.0" encoding="utf-8"?>
<Properties xmlns="http://schemas.openxmlformats.org/officeDocument/2006/custom-properties" xmlns:vt="http://schemas.openxmlformats.org/officeDocument/2006/docPropsVTypes"/>
</file>