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e400126ade8f1e4d28af479649ace7c1902f082"/>
    <w:p>
      <w:pPr>
        <w:pStyle w:val="Heading1"/>
      </w:pPr>
      <w:r>
        <w:t xml:space="preserve">Syn2b-ANI: strain-level ANI and structural comparison from fixed restriction-site anchors</w:t>
      </w:r>
    </w:p>
    <w:bookmarkStart w:id="9" w:name="authors"/>
    <w:p>
      <w:pPr>
        <w:pStyle w:val="Heading2"/>
      </w:pPr>
      <w:r>
        <w:t xml:space="preserve">Authors</w:t>
      </w:r>
    </w:p>
    <w:p>
      <w:pPr>
        <w:pStyle w:val="FirstParagraph"/>
      </w:pPr>
      <w:r>
        <w:t xml:space="preserve">Yufeng Zhang</w:t>
      </w:r>
      <w:r>
        <w:rPr>
          <w:vertAlign w:val="superscript"/>
        </w:rPr>
        <w:t xml:space="preserve">1</w:t>
      </w:r>
      <w:r>
        <w:t xml:space="preserve">, Shi Huang</w:t>
      </w:r>
      <w:r>
        <w:rPr>
          <w:vertAlign w:val="superscript"/>
        </w:rPr>
        <w:t xml:space="preserve">2</w:t>
      </w:r>
    </w:p>
    <w:p>
      <w:pPr>
        <w:pStyle w:val="BodyText"/>
      </w:pPr>
      <w:r>
        <w:rPr>
          <w:b/>
          <w:bCs/>
        </w:rPr>
        <w:t xml:space="preserve">Affiliations</w:t>
      </w:r>
      <w:r>
        <w:t xml:space="preserve"> </w:t>
      </w:r>
      <w:r>
        <w:t xml:space="preserve">1,2 Faculty of Dentistry, the University of Hong Kong, Hong Kong SAR, China</w:t>
      </w:r>
    </w:p>
    <w:p>
      <w:pPr>
        <w:pStyle w:val="BodyText"/>
      </w:pPr>
      <w:r>
        <w:rPr>
          <w:b/>
          <w:bCs/>
        </w:rPr>
        <w:t xml:space="preserve">Corresponding author</w:t>
      </w:r>
      <w:r>
        <w:t xml:space="preserve"> </w:t>
      </w:r>
      <w:r>
        <w:t xml:space="preserve">Shi Huang — shihuang@hku.hk</w:t>
      </w:r>
    </w:p>
    <w:p>
      <w:r>
        <w:pict>
          <v:rect style="width:0;height:1.5pt" o:hralign="center" o:hrstd="t" o:hr="t"/>
        </w:pict>
      </w:r>
    </w:p>
    <w:bookmarkEnd w:id="9"/>
    <w:bookmarkStart w:id="10" w:name="abstract"/>
    <w:p>
      <w:pPr>
        <w:pStyle w:val="Heading2"/>
      </w:pPr>
      <w:r>
        <w:t xml:space="preserve">Abstract</w:t>
      </w:r>
    </w:p>
    <w:p>
      <w:pPr>
        <w:pStyle w:val="FirstParagraph"/>
      </w:pPr>
      <w:r>
        <w:t xml:space="preserve">Average nucleotide identity (ANI) is standard for prokaryotic species delineation, but alignment-free tools reduce a genome comparison to one divergence scalar and discard structural information. We introduce Syn2bANI, which uses in-silico Type IIB restriction-site tags as fixed positional anchors, chains shared anchors collinearly, and estimates ANI from tags inside trusted chains. An effect-size gate chooses rate models and a ridge calibration corrects real-genome rate heterogeneity. The same anchors yield aligned fraction, breakpoint counts, inversion/translocation calls and indel sizes in one pass. On exact-truth simulations, Syn2bANI attained MAE 0.073% versus 0.377% for skani and 0.742% for FastANI and remained robust to indels, accessory content and fragmentation. On 39,903 held-out GTDB-R207 pairs, MAE was 0.62% against ANIm, compared with 0.96% (skani) and 0.98% (FastANI); calibration brings comparators to 0.75% and 0.55%, so the gain reflects bias removal. Calibration is intended for complete genomes; the raw gated estimate is recommended for MAGs. Case studies show that structural outputs localize loci invisible to ANI; in FDA-ARGOS</w:t>
      </w:r>
      <w:r>
        <w:t xml:space="preserve"> </w:t>
      </w:r>
      <w:r>
        <w:rPr>
          <w:i/>
          <w:iCs/>
        </w:rPr>
        <w:t xml:space="preserve">E. coli</w:t>
      </w:r>
      <w:r>
        <w:t xml:space="preserve">, 58% of ANI ≥ 99.9% pairs differ in resistance genotype and 98% structurally. Syn2bANI is implemented in Rust and freely available.</w:t>
      </w:r>
    </w:p>
    <w:p>
      <w:pPr>
        <w:pStyle w:val="BodyText"/>
      </w:pPr>
      <w:r>
        <w:rPr>
          <w:b/>
          <w:bCs/>
        </w:rPr>
        <w:t xml:space="preserve">Keywords</w:t>
      </w:r>
      <w:r>
        <w:t xml:space="preserve">: ANI, restriction-site anchors, structural variation, synteny, maximum likelihood, metagenome-assembled genomes</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Average Nucleotide Identity (ANI) — the mean nucleotide identity of orthologous regions shared by two genomes — underpins prokaryotic species delineation and strain-level relatedness1,2. It is computed at scale in dereplication pipelines16, outbreak investigations, and metagenomic surveys, increasingly on metagenome-assembled genomes (MAGs) that are fragmented by construction3.</w:t>
      </w:r>
    </w:p>
    <w:p>
      <w:pPr>
        <w:pStyle w:val="BodyText"/>
      </w:pPr>
      <w:r>
        <w:t xml:space="preserve">Three tool families dominate. Alignment-based methods (ANIm/ANIb) are the direct realization of the definition but too slow for database-scale all-vs-all screens4,5,17,18. FastANI popularized an alignment-free approximation from 20-mer seed matches and fragment-level chaining2; skani replaced seeding with sparse k-mer sketches and a regressed chain statistic, gaining orders of magnitude in speed6. Related sketching approaches such as Mash13, Dashing14, and BinDash15 trade accuracy for speed by estimating distances from k-mer containment. Both k-mer tools reduce the comparison to essentially one number: ANI plus an aligned-fraction estimate. Neither reports</w:t>
      </w:r>
      <w:r>
        <w:t xml:space="preserve"> </w:t>
      </w:r>
      <w:r>
        <w:rPr>
          <w:i/>
          <w:iCs/>
        </w:rPr>
        <w:t xml:space="preserve">where</w:t>
      </w:r>
      <w:r>
        <w:t xml:space="preserve"> </w:t>
      </w:r>
      <w:r>
        <w:t xml:space="preserve">the genomes agree — collinear blocks, inversions, translocations, or indels — even though that structural information is computed and then discarded inside their own chaining steps.</w:t>
      </w:r>
    </w:p>
    <w:p>
      <w:pPr>
        <w:pStyle w:val="BodyText"/>
      </w:pPr>
      <w:r>
        <w:t xml:space="preserve">Type IIB restriction enzymes offer a different anchoring substrate. They cleave at fixed offsets from a short recognition sequence, producing short (~32 bp) tags whose genomic positions are fully determined by the motif. The 2bRAD reduced-representation sequencing family exploits this property7, and 2bRAD-M has shown species- and strain-level resolution in real microbiome data8. Syn2bANI differs from 2bRAD-M in purpose and machinery: 2bRAD-M profiles community composition from sequencing reads using tag presence/absence, whereas Syn2bANI compares two complete or draft genome sequences and estimates divergence by maximum likelihood from tag mismatch and miss statistics inside chained collinear blocks. Computationally, these tags are sparse (one per ~0.5–1.5 kb), long enough that a match is almost certainly homologous, and — crucially — the</w:t>
      </w:r>
      <w:r>
        <w:t xml:space="preserve"> </w:t>
      </w:r>
      <w:r>
        <w:rPr>
          <w:i/>
          <w:iCs/>
        </w:rPr>
        <w:t xml:space="preserve">absence</w:t>
      </w:r>
      <w:r>
        <w:t xml:space="preserve"> </w:t>
      </w:r>
      <w:r>
        <w:t xml:space="preserve">of a tag at a homologous position is informative, implying a mutation in the recognition site or tag body.</w:t>
      </w:r>
    </w:p>
    <w:p>
      <w:pPr>
        <w:pStyle w:val="BodyText"/>
      </w:pPr>
      <w:r>
        <w:t xml:space="preserve">Here we present Syn2bANI, which builds ANI estimation on these fixed anchors. Both genomes are digested in silico with a panel of Type IIB enzymes (default BcgI, AlfI, AloI, FalI). Shared tags become anchors; anchors are chained by a gap-penalized collinear dynamic program; and ANI is estimated by maximum likelihood from per-enzyme mismatch and miss counts</w:t>
      </w:r>
      <w:r>
        <w:t xml:space="preserve"> </w:t>
      </w:r>
      <w:r>
        <w:rPr>
          <w:i/>
          <w:iCs/>
        </w:rPr>
        <w:t xml:space="preserve">inside chains only</w:t>
      </w:r>
      <w:r>
        <w:t xml:space="preserve">. Restricting the likelihood to chained regions separates divergence of the shared genome (ANI) from the fraction shared (aligned fraction). Because anchors carry coordinates, the same pass yields aligned fraction, an anchor-adjacency conservation score, breakpoint counts, and structural-variant calls at no extra cost.</w:t>
      </w:r>
    </w:p>
    <w:p>
      <w:pPr>
        <w:pStyle w:val="BodyText"/>
      </w:pPr>
      <w:r>
        <w:t xml:space="preserve">We validate Syn2bANI in two regimes. Simulations with exact truth establish that the raw estimator is close to unbiased (mean signed error +0.06 ANI points over the ladder) and quantify robustness to indels, fragmentation, accessory content, and GC. Real genome pairs against ANIm truth reveal regional rate heterogeneity that biases the raw estimator upward by about two ANI points at divergent bands; a transparent ridge calibration on internal features removes this bias. On held-out GTDB-R207 pairs the calibrated estimator has lower error than skani and FastANI as shipped at 80–90% ANI, an advantage that shrinks to parity with FastANI once the comparators receive the same calibration; skani is more accurate above 90% ANI, and a hybrid rule recovers skani-level accuracy at 97–100% ANI. The same pass additionally provides synteny and SV outputs that k-mer tools do not report.</w:t>
      </w:r>
    </w:p>
    <w:p>
      <w:r>
        <w:pict>
          <v:rect style="width:0;height:1.5pt" o:hralign="center" o:hrstd="t" o:hr="t"/>
        </w:pict>
      </w:r>
    </w:p>
    <w:bookmarkEnd w:id="11"/>
    <w:bookmarkStart w:id="27" w:name="results"/>
    <w:p>
      <w:pPr>
        <w:pStyle w:val="Heading2"/>
      </w:pPr>
      <w:r>
        <w:t xml:space="preserve">Results</w:t>
      </w:r>
    </w:p>
    <w:bookmarkStart w:id="12" w:name="the-syn2bani-estimator"/>
    <w:p>
      <w:pPr>
        <w:pStyle w:val="Heading3"/>
      </w:pPr>
      <w:r>
        <w:t xml:space="preserve">The Syn2bANI estimator</w:t>
      </w:r>
    </w:p>
    <w:p>
      <w:pPr>
        <w:pStyle w:val="FirstParagraph"/>
      </w:pPr>
      <w:r>
        <w:t xml:space="preserve">Syn2bANI compares two genomes in four stages (Fig. 1a). First, both genomes are digested in silico with the default four-enzyme panel (BcgI, AlfI, AloI, FalI). Second, tags shared between genomes — exact or within a mismatch budget of 2 — become anchors; pigeonhole seeding makes tolerant recovery cheap. Third, anchors are grouped by (query contig, reference contig, orientation) and chained by gap-penalized collinear dynamic programming in two passes, with the second pass using a chain-break threshold derived from a provisional divergence fit. Fourth, per-enzyme tag outcomes inside chains enter a maximum-likelihood estimator of per-base divergence.</w:t>
      </w:r>
    </w:p>
    <w:p>
      <w:pPr>
        <w:pStyle w:val="BodyText"/>
      </w:pPr>
      <w:r>
        <w:t xml:space="preserve">The likelihood treats a Type IIB tag as a tag that contains its own recognition site: a mutation in the site deletes the tag (miss), while mutations in the tag body appear as mismatches up to the budget. The mismatch histogram and miss rate are combined by Fisher information. Two nested models are fitted — a uniform single-rate model and a gamma rate-heterogeneity model — and an effect-size gate chooses per pair. Two diagnostics accompany every estimate: a consistency flag (</w:t>
      </w:r>
      <w:r>
        <w:rPr>
          <w:rStyle w:val="VerbatimChar"/>
        </w:rPr>
        <w:t xml:space="preserve">ok</w:t>
      </w:r>
      <w:r>
        <w:t xml:space="preserve"> </w:t>
      </w:r>
      <w:r>
        <w:t xml:space="preserve">/</w:t>
      </w:r>
      <w:r>
        <w:t xml:space="preserve"> </w:t>
      </w:r>
      <w:r>
        <w:rPr>
          <w:rStyle w:val="VerbatimChar"/>
        </w:rPr>
        <w:t xml:space="preserve">INCONSISTENT</w:t>
      </w:r>
      <w:r>
        <w:t xml:space="preserve"> </w:t>
      </w:r>
      <w:r>
        <w:t xml:space="preserve">/</w:t>
      </w:r>
      <w:r>
        <w:t xml:space="preserve"> </w:t>
      </w:r>
      <w:r>
        <w:rPr>
          <w:rStyle w:val="VerbatimChar"/>
        </w:rPr>
        <w:t xml:space="preserve">BELOW_DETECTION</w:t>
      </w:r>
      <w:r>
        <w:t xml:space="preserve">) and a one-sided 95% upper bound for pairs below the detection floor. Full details are in the Online Methods.</w:t>
      </w:r>
    </w:p>
    <w:p>
      <w:pPr>
        <w:pStyle w:val="BodyText"/>
      </w:pPr>
      <w:r>
        <w:t xml:space="preserve">The design decouples ANI from aligned fraction by construction. Accessory content outside chains is excluded from the ANI denominator, while AF reports the shared fraction independently. A short-contig rescue pass ensures that contigs carrying ≥2 placeable unique anchors but no accepted chain still contribute to the likelihood (Online Methods), which is essential for real draft assemblies.</w:t>
      </w:r>
    </w:p>
    <w:bookmarkEnd w:id="12"/>
    <w:bookmarkStart w:id="13" w:name="Xf3a79588a0604797c9d961b70521271bc0e2c1b"/>
    <w:p>
      <w:pPr>
        <w:pStyle w:val="Heading3"/>
      </w:pPr>
      <w:r>
        <w:t xml:space="preserve">Accuracy and robustness under exact truth</w:t>
      </w:r>
    </w:p>
    <w:p>
      <w:pPr>
        <w:pStyle w:val="FirstParagraph"/>
      </w:pPr>
      <w:r>
        <w:t xml:space="preserve">We first validated the estimator on simulations in which true ANI is known exactly: query genomes are evolved from</w:t>
      </w:r>
      <w:r>
        <w:t xml:space="preserve"> </w:t>
      </w:r>
      <w:r>
        <w:rPr>
          <w:i/>
          <w:iCs/>
        </w:rPr>
        <w:t xml:space="preserve">Escherichia coli</w:t>
      </w:r>
      <w:r>
        <w:t xml:space="preserve"> </w:t>
      </w:r>
      <w:r>
        <w:t xml:space="preserve">K-12 MG1655 by applying a counted number of substitutions, and every ladder genome carries a 400 kb inversion plus ~46 deletions of 200–2,000 bp. Over twelve pairs spanning 85.0–99.9% true ANI, Syn2bANI attains MAE</w:t>
      </w:r>
      <w:r>
        <w:t xml:space="preserve"> </w:t>
      </w:r>
      <w:r>
        <w:rPr>
          <w:b/>
          <w:bCs/>
        </w:rPr>
        <w:t xml:space="preserve">0.073</w:t>
      </w:r>
      <w:r>
        <w:t xml:space="preserve"> </w:t>
      </w:r>
      <w:r>
        <w:t xml:space="preserve">ANI points, against</w:t>
      </w:r>
      <w:r>
        <w:t xml:space="preserve"> </w:t>
      </w:r>
      <w:r>
        <w:rPr>
          <w:b/>
          <w:bCs/>
        </w:rPr>
        <w:t xml:space="preserve">0.377</w:t>
      </w:r>
      <w:r>
        <w:t xml:space="preserve"> </w:t>
      </w:r>
      <w:r>
        <w:t xml:space="preserve">for skani and</w:t>
      </w:r>
      <w:r>
        <w:t xml:space="preserve"> </w:t>
      </w:r>
      <w:r>
        <w:rPr>
          <w:b/>
          <w:bCs/>
        </w:rPr>
        <w:t xml:space="preserve">0.742</w:t>
      </w:r>
      <w:r>
        <w:t xml:space="preserve"> </w:t>
      </w:r>
      <w:r>
        <w:t xml:space="preserve">for FastANI (Fig. 2a,b). Both comparators underestimate systematically toward low ANI. The 85% rung is flagged</w:t>
      </w:r>
      <w:r>
        <w:t xml:space="preserve"> </w:t>
      </w:r>
      <w:r>
        <w:rPr>
          <w:rStyle w:val="VerbatimChar"/>
        </w:rPr>
        <w:t xml:space="preserve">BELOW_DETECTION</w:t>
      </w:r>
      <w:r>
        <w:t xml:space="preserve"> </w:t>
      </w:r>
      <w:r>
        <w:t xml:space="preserve">rather than reported as confident, by design.</w:t>
      </w:r>
    </w:p>
    <w:p>
      <w:pPr>
        <w:pStyle w:val="BodyText"/>
      </w:pPr>
      <w:r>
        <w:t xml:space="preserve">Four further exact-truth families isolate confounders (Fig. 2c–e; Supplementary Fig. S5 for GC detail). At fixed 95% ANI with 0–4 deletions per 100 kb, errors stay between +0.032 and +0.184 (MAE 0.081). Simulated fragmentation into 20–201 contigs yields errors of +0.018 to +0.179 (MAE 0.093). With 0–50% of the genome replaced by homology-destroying shuffled blocks, the estimate stays flat (MAE 0.114) while</w:t>
      </w:r>
      <w:r>
        <w:t xml:space="preserve"> </w:t>
      </w:r>
      <w:r>
        <w:rPr>
          <w:rStyle w:val="VerbatimChar"/>
        </w:rPr>
        <w:t xml:space="preserve">af_query</w:t>
      </w:r>
      <w:r>
        <w:t xml:space="preserve"> </w:t>
      </w:r>
      <w:r>
        <w:t xml:space="preserve">tracks the true shared fraction to within 0.004. Real</w:t>
      </w:r>
      <w:r>
        <w:t xml:space="preserve"> </w:t>
      </w:r>
      <w:r>
        <w:rPr>
          <w:i/>
          <w:iCs/>
        </w:rPr>
        <w:t xml:space="preserve">E. coli</w:t>
      </w:r>
      <w:r>
        <w:t xml:space="preserve"> </w:t>
      </w:r>
      <w:r>
        <w:t xml:space="preserve">draft assemblies confirm the short-contig rescue: bias at N50 5 kb improves from +0.65 points before the fix to +0.20 after, with AF recovering from 0.434 to 0.580.</w:t>
      </w:r>
    </w:p>
    <w:bookmarkEnd w:id="13"/>
    <w:bookmarkStart w:id="14" w:name="X1c59f93cbbaac22954192484c2e49683ff59722"/>
    <w:p>
      <w:pPr>
        <w:pStyle w:val="Heading3"/>
      </w:pPr>
      <w:r>
        <w:t xml:space="preserve">Independent-truth benchmark against GTDB-R207</w:t>
      </w:r>
    </w:p>
    <w:p>
      <w:pPr>
        <w:pStyle w:val="FirstParagraph"/>
      </w:pPr>
      <w:r>
        <w:t xml:space="preserve">The main accuracy result uses GTDB-R207 genome pairs with ANIm (dnadiff 1-to-1) as truth. The deployed v5 calibration was trained on a 2,074-pair set across ANI bands (80–85%, 85–90%, 90–95%, 95–99%); a separate 467-pair expansion at 95.0–99.15% was added because the original top band was underpowered; this gave 2,520 v5 training pairs.</w:t>
      </w:r>
    </w:p>
    <w:p>
      <w:pPr>
        <w:pStyle w:val="BodyText"/>
      </w:pPr>
      <w:r>
        <w:t xml:space="preserve">On real genomes the raw estimator overestimates divergent pairs: post-rescue raw gamma MAE is 2.35 against ANIm, worst in the 80–85% band (MAE 3.21). Mosaic simulations with exact truth show the mechanism: real pairs mix a conserved core with more divergent regions, tags survive preferentially in conserved regions, and any single-rate fit reads high. The gamma model captures part of this bias, but a residual remains. A ridge regression on nine internal features (gated ANI, uniform ANI, both AFs, standard error, retention, anchor/chain/tag counts) removes the remainder. The model is trained by band-holdout cross-validation: each ANI band is predicted by a model trained only on the other three bands.</w:t>
      </w:r>
    </w:p>
    <w:p>
      <w:pPr>
        <w:pStyle w:val="BodyText"/>
      </w:pPr>
      <w:r>
        <w:t xml:space="preserve">Deployed calibration v5 attains band-holdout CV MAE</w:t>
      </w:r>
      <w:r>
        <w:t xml:space="preserve"> </w:t>
      </w:r>
      <w:r>
        <w:rPr>
          <w:b/>
          <w:bCs/>
        </w:rPr>
        <w:t xml:space="preserve">0.731</w:t>
      </w:r>
      <w:r>
        <w:t xml:space="preserve"> </w:t>
      </w:r>
      <w:r>
        <w:t xml:space="preserve">(bias +0.05, r = 0.963) on the 2,074-pair benchmark, ahead of skani (0.906) and FastANI (1.056) as shipped. Real-genome evaluation used benchmark calibration v6, which adds 1,614 usable high-ANI training pairs to the 2,520 v5 pairs (training n = 4,134) and is therefore distinct from the software snapshot’s embedded v5 model. On the strictly held-out 43,334-pair set the v6-calibrated column is defined for 39,903 pairs — the remaining 3,431, almost all in the 80–85% band, are declined as</w:t>
      </w:r>
      <w:r>
        <w:t xml:space="preserve"> </w:t>
      </w:r>
      <w:r>
        <w:rPr>
          <w:rStyle w:val="VerbatimChar"/>
        </w:rPr>
        <w:t xml:space="preserve">BELOW_DETECTION</w:t>
      </w:r>
      <w:r>
        <w:t xml:space="preserve"> </w:t>
      </w:r>
      <w:r>
        <w:t xml:space="preserve">rather than estimated — and on those pairs it attains MAE</w:t>
      </w:r>
      <w:r>
        <w:t xml:space="preserve"> </w:t>
      </w:r>
      <w:r>
        <w:rPr>
          <w:b/>
          <w:bCs/>
        </w:rPr>
        <w:t xml:space="preserve">0.619</w:t>
      </w:r>
      <w:r>
        <w:t xml:space="preserve"> </w:t>
      </w:r>
      <w:r>
        <w:t xml:space="preserve">(bias −0.12, r = 0.962) against 0.957 (skani) and 0.977 (FastANI) on the same pairs (Table 1). In a 2,000-replicate genome-level bootstrap that retains all pairs sharing a resampled genome, the v6-minus-skani MAE difference was −0.338 ANI points (95% CI −0.360 to −0.317). The raw gated estimate on the 3,431 declined pairs has MAE 1.33, against 1.90 (skani) and 1.84 (FastANI). A unified 80–100% benchmark that adds 727 high-ANI test pairs shows the hybrid estimator (raw ≥ 98% / calibrated &lt; 98%) attaining MAE</w:t>
      </w:r>
      <w:r>
        <w:t xml:space="preserve"> </w:t>
      </w:r>
      <w:r>
        <w:rPr>
          <w:b/>
          <w:bCs/>
        </w:rPr>
        <w:t xml:space="preserve">0.615</w:t>
      </w:r>
      <w:r>
        <w:t xml:space="preserve">, recovering the raw gated performance in the 97–100% regime (MAE 0.23) without degrading 95–97% (Fig. 3); the corresponding hybrid-minus-skani genome-bootstrap interval was −0.337 (95% CI −0.359 to −0.315). The one-sided upper bound covers ANIm truth on 99.4% of all 43,334 pairs. High-ANI training genomes were excluded bidirectionally from the 43,334-pair set and from the 727-pair test split.</w:t>
      </w:r>
    </w:p>
    <w:p>
      <w:pPr>
        <w:pStyle w:val="BodyText"/>
      </w:pPr>
      <w:r>
        <w:t xml:space="preserve">Two qualifications are needed. First, the comparators’ error at 80–90% ANI is almost entirely a constant downward bias (−1.97 for skani and −1.83 for FastANI in the 80–85% band), and a bias can be removed by the same post-hoc step Syn2bANI uses. Giving each comparator a band-holdout linear calibration on its own outputs (</w:t>
      </w:r>
      <w:r>
        <w:rPr>
          <w:rStyle w:val="VerbatimChar"/>
        </w:rPr>
        <w:t xml:space="preserve">analysis/calibrated_comparators.py</w:t>
      </w:r>
      <w:r>
        <w:t xml:space="preserve">;</w:t>
      </w:r>
      <w:r>
        <w:t xml:space="preserve"> </w:t>
      </w:r>
      <w:r>
        <w:rPr>
          <w:rStyle w:val="VerbatimChar"/>
        </w:rPr>
        <w:t xml:space="preserve">results/gtdb50k/CALIBRATED_COMPARATORS.md</w:t>
      </w:r>
      <w:r>
        <w:t xml:space="preserve">) brings skani to MAE 0.753 and FastANI to 0.548 on the common 39,903 pairs (0.487 with FastANI’s mapped-fragment counts as additional features), against 0.619 for calibrated Syn2bANI. The calibrated Syn2bANI estimate is therefore more accurate than calibrated skani and less accurate than calibrated FastANI; the headline gain over the tools as shipped is mostly the removal of their bias. Second, within the 80–85% band the raw gated estimate is essentially uncorrelated with ANIm (r = −0.06 on the common subset) and the calibrated estimate reaches r = 0.41, against 0.66 (skani) and 0.81 (FastANI): at that divergence the four-enzyme panel leaves too few chained anchors for the likelihood to rank pairs, and the calibration’s low MAE there reflects regression toward the band mean rather than discrimination. Above 90% ANI skani is the more accurate of the three in every configuration.</w:t>
      </w:r>
    </w:p>
    <w:p>
      <w:pPr>
        <w:pStyle w:val="BodyText"/>
      </w:pPr>
      <w:r>
        <w:t xml:space="preserve">Computational efficiency was measured on Enterobacteriaceae subsets of 2–22 genomes and on database-scale GTDB-R207 runs. For ANI-only all-vs-all comparison on 22 genomes (484 pairs), Syn2bANI takes 3.7 s from FASTA (2.8 s reusing sketches), against 17.7 s for FastANI and 0.15 s for skani (the latter reports only 302/484 pairs because of its minimum-AF filter and excludes sketching). Peak memory is 58 MB with sketch reuse versus 185 MB (skani) and 912 MB (FastANI). Because Syn2bANI reports both ANI and SV metrics in the same pass, a fair comparison with skani or FastANI requires adding an SV caller: skani + dnadiff takes ~1,843 s for the same 484 pairs, whereas Syn2bANI computes ANI plus SV in 7.6 s with sketch reuse — a &gt;240-fold speedup (Fig. 4a–d). At database scale, all-vs-all</w:t>
      </w:r>
      <w:r>
        <w:t xml:space="preserve"> </w:t>
      </w:r>
      <w:r>
        <w:rPr>
          <w:rStyle w:val="VerbatimChar"/>
        </w:rPr>
        <w:t xml:space="preserve">triangle</w:t>
      </w:r>
      <w:r>
        <w:t xml:space="preserve"> </w:t>
      </w:r>
      <w:r>
        <w:t xml:space="preserve">on 5,000 GTDB-R207 representative genomes completes in ~14 min on a 32-core node;</w:t>
      </w:r>
      <w:r>
        <w:t xml:space="preserve"> </w:t>
      </w:r>
      <w:r>
        <w:rPr>
          <w:rStyle w:val="VerbatimChar"/>
        </w:rPr>
        <w:t xml:space="preserve">search</w:t>
      </w:r>
      <w:r>
        <w:t xml:space="preserve"> </w:t>
      </w:r>
      <w:r>
        <w:t xml:space="preserve">against the same database takes ~4 min for 1,000 queries. The stage-1 screen that makes this scaling possible rejects 83–87% of random pairs while retaining all 500 validated true pairs (0% false-reject rate; stage-level decomposition and screen statistics in Supplementary Table S6).</w:t>
      </w:r>
    </w:p>
    <w:bookmarkEnd w:id="14"/>
    <w:bookmarkStart w:id="15" w:name="X9fcec0604a6a727bb74fe6dfcf89c2d8d1644b7"/>
    <w:p>
      <w:pPr>
        <w:pStyle w:val="Heading3"/>
      </w:pPr>
      <w:r>
        <w:t xml:space="preserve">Database-scale search: one-to-all against GTDB-R207</w:t>
      </w:r>
    </w:p>
    <w:p>
      <w:pPr>
        <w:pStyle w:val="FirstParagraph"/>
      </w:pPr>
      <w:r>
        <w:t xml:space="preserve">To benchmark practical database search, seven case-study genomes (</w:t>
      </w:r>
      <w:r>
        <w:rPr>
          <w:i/>
          <w:iCs/>
        </w:rPr>
        <w:t xml:space="preserve">E. coli</w:t>
      </w:r>
      <w:r>
        <w:t xml:space="preserve">,</w:t>
      </w:r>
      <w:r>
        <w:t xml:space="preserve"> </w:t>
      </w:r>
      <w:r>
        <w:rPr>
          <w:i/>
          <w:iCs/>
        </w:rPr>
        <w:t xml:space="preserve">B. longum</w:t>
      </w:r>
      <w:r>
        <w:t xml:space="preserve">,</w:t>
      </w:r>
      <w:r>
        <w:t xml:space="preserve"> </w:t>
      </w:r>
      <w:r>
        <w:rPr>
          <w:i/>
          <w:iCs/>
        </w:rPr>
        <w:t xml:space="preserve">H. pylori</w:t>
      </w:r>
      <w:r>
        <w:t xml:space="preserve">,</w:t>
      </w:r>
      <w:r>
        <w:t xml:space="preserve"> </w:t>
      </w:r>
      <w:r>
        <w:rPr>
          <w:i/>
          <w:iCs/>
        </w:rPr>
        <w:t xml:space="preserve">S. aureus</w:t>
      </w:r>
      <w:r>
        <w:t xml:space="preserve">,</w:t>
      </w:r>
      <w:r>
        <w:t xml:space="preserve"> </w:t>
      </w:r>
      <w:r>
        <w:rPr>
          <w:i/>
          <w:iCs/>
        </w:rPr>
        <w:t xml:space="preserve">P. aeruginosa</w:t>
      </w:r>
      <w:r>
        <w:t xml:space="preserve">,</w:t>
      </w:r>
      <w:r>
        <w:t xml:space="preserve"> </w:t>
      </w:r>
      <w:r>
        <w:rPr>
          <w:i/>
          <w:iCs/>
        </w:rPr>
        <w:t xml:space="preserve">S. rimosus</w:t>
      </w:r>
      <w:r>
        <w:t xml:space="preserve">,</w:t>
      </w:r>
      <w:r>
        <w:t xml:space="preserve"> </w:t>
      </w:r>
      <w:r>
        <w:rPr>
          <w:i/>
          <w:iCs/>
        </w:rPr>
        <w:t xml:space="preserve">N. gonorrhoeae</w:t>
      </w:r>
      <w:r>
        <w:t xml:space="preserve">) were queried against all 65,703 GTDB R207 representative genomes. skani</w:t>
      </w:r>
      <w:r>
        <w:t xml:space="preserve"> </w:t>
      </w:r>
      <w:r>
        <w:rPr>
          <w:rStyle w:val="VerbatimChar"/>
        </w:rPr>
        <w:t xml:space="preserve">search</w:t>
      </w:r>
      <w:r>
        <w:t xml:space="preserve"> </w:t>
      </w:r>
      <w:r>
        <w:t xml:space="preserve">remained the fastest ANI-only option: warm queries finished in 7–45 s after a one-off 1,309-s index load, with a peak RSS of 4.5 GB. FastANI could not complete any query at this scale — it was killed at 128 GB (t=16), 300 GB (t=8), 511 GB (t=32), and even a single-threaded 64-GB attempt exceeded the limit (peak RSS 65.4 GB). Syn2bANI</w:t>
      </w:r>
      <w:r>
        <w:t xml:space="preserve"> </w:t>
      </w:r>
      <w:r>
        <w:rPr>
          <w:rStyle w:val="VerbatimChar"/>
        </w:rPr>
        <w:t xml:space="preserve">search</w:t>
      </w:r>
      <w:r>
        <w:t xml:space="preserve"> </w:t>
      </w:r>
      <w:r>
        <w:t xml:space="preserve">took a median 5,536 s (1.5 h) and 44 GB per query, slower than skani but returning both ANI and structural columns in one pass; its</w:t>
      </w:r>
      <w:r>
        <w:t xml:space="preserve"> </w:t>
      </w:r>
      <w:r>
        <w:rPr>
          <w:rStyle w:val="VerbatimChar"/>
        </w:rPr>
        <w:t xml:space="preserve">dist</w:t>
      </w:r>
      <w:r>
        <w:t xml:space="preserve"> </w:t>
      </w:r>
      <w:r>
        <w:t xml:space="preserve">mode from FASTA was digestion-bound at a median 13,643 s (~3.8 h). For the SV follow-up on the top non-self hit,</w:t>
      </w:r>
      <w:r>
        <w:t xml:space="preserve"> </w:t>
      </w:r>
      <w:r>
        <w:rPr>
          <w:rStyle w:val="VerbatimChar"/>
        </w:rPr>
        <w:t xml:space="preserve">syn2bani struct</w:t>
      </w:r>
      <w:r>
        <w:t xml:space="preserve"> </w:t>
      </w:r>
      <w:r>
        <w:t xml:space="preserve">took 0.10–0.54 s and ≤15 MB, versus dnadiff at 6.1–38.9 s and 79–327 MB — a ~60–90× wall-time speedup (Fig. 4e,f; Table 2). With an aligned-fraction floor (af_query ≥ 0.5) applied to Syn2bANI search output, Syn2bANI and skani agreed on the top non-self hit for 4/7 queries; the remaining three were taxonomically close (</w:t>
      </w:r>
      <w:r>
        <w:rPr>
          <w:i/>
          <w:iCs/>
        </w:rPr>
        <w:t xml:space="preserve">H. pylori</w:t>
      </w:r>
      <w:r>
        <w:t xml:space="preserve">: same species, different clades;</w:t>
      </w:r>
      <w:r>
        <w:t xml:space="preserve"> </w:t>
      </w:r>
      <w:r>
        <w:rPr>
          <w:i/>
          <w:iCs/>
        </w:rPr>
        <w:t xml:space="preserve">S. aureus</w:t>
      </w:r>
      <w:r>
        <w:t xml:space="preserve"> </w:t>
      </w:r>
      <w:r>
        <w:t xml:space="preserve">and</w:t>
      </w:r>
      <w:r>
        <w:t xml:space="preserve"> </w:t>
      </w:r>
      <w:r>
        <w:rPr>
          <w:i/>
          <w:iCs/>
        </w:rPr>
        <w:t xml:space="preserve">S. rimosus</w:t>
      </w:r>
      <w:r>
        <w:t xml:space="preserve">: same genus, different species).</w:t>
      </w:r>
    </w:p>
    <w:bookmarkEnd w:id="15"/>
    <w:bookmarkStart w:id="16" w:name="mid-ani-validation-against-anim"/>
    <w:p>
      <w:pPr>
        <w:pStyle w:val="Heading3"/>
      </w:pPr>
      <w:r>
        <w:t xml:space="preserve">Mid-ANI validation against ANIm</w:t>
      </w:r>
    </w:p>
    <w:p>
      <w:pPr>
        <w:pStyle w:val="FirstParagraph"/>
      </w:pPr>
      <w:r>
        <w:t xml:space="preserve">Fifteen oral/gut cross-species pairs (</w:t>
      </w:r>
      <w:r>
        <w:rPr>
          <w:i/>
          <w:iCs/>
        </w:rPr>
        <w:t xml:space="preserve">Bifidobacterium longum</w:t>
      </w:r>
      <w:r>
        <w:t xml:space="preserve"> </w:t>
      </w:r>
      <w:r>
        <w:t xml:space="preserve">×</w:t>
      </w:r>
      <w:r>
        <w:t xml:space="preserve"> </w:t>
      </w:r>
      <w:r>
        <w:rPr>
          <w:i/>
          <w:iCs/>
        </w:rPr>
        <w:t xml:space="preserve">B. breve</w:t>
      </w:r>
      <w:r>
        <w:t xml:space="preserve">,</w:t>
      </w:r>
      <w:r>
        <w:t xml:space="preserve"> </w:t>
      </w:r>
      <w:r>
        <w:rPr>
          <w:i/>
          <w:iCs/>
        </w:rPr>
        <w:t xml:space="preserve">Veillonella parvula</w:t>
      </w:r>
      <w:r>
        <w:t xml:space="preserve"> </w:t>
      </w:r>
      <w:r>
        <w:t xml:space="preserve">×</w:t>
      </w:r>
      <w:r>
        <w:t xml:space="preserve"> </w:t>
      </w:r>
      <w:r>
        <w:rPr>
          <w:i/>
          <w:iCs/>
        </w:rPr>
        <w:t xml:space="preserve">V. dispar</w:t>
      </w:r>
      <w:r>
        <w:t xml:space="preserve">) with ANIm truth at 87.6–90.2% test the hardest end of the detectable range. Here the calibrated output is harmful (MAE 4.48 against ANIm), but the gate correctly falls back to the homogeneous fit on all 15 pairs, giving MAE</w:t>
      </w:r>
      <w:r>
        <w:t xml:space="preserve"> </w:t>
      </w:r>
      <w:r>
        <w:rPr>
          <w:b/>
          <w:bCs/>
        </w:rPr>
        <w:t xml:space="preserve">1.42</w:t>
      </w:r>
      <w:r>
        <w:t xml:space="preserve"> </w:t>
      </w:r>
      <w:r>
        <w:t xml:space="preserve">— comparable to skani (1.40) and better than FastANI (1.86). This set validates the diagnostic, not the point estimate: the consistency flag is the safeguard when too few tags survive for the gamma model.</w:t>
      </w:r>
    </w:p>
    <w:bookmarkEnd w:id="16"/>
    <w:bookmarkStart w:id="17" w:name="accuracy-on-metagenome-assembled-genomes"/>
    <w:p>
      <w:pPr>
        <w:pStyle w:val="Heading3"/>
      </w:pPr>
      <w:r>
        <w:t xml:space="preserve">Accuracy on metagenome-assembled genomes</w:t>
      </w:r>
    </w:p>
    <w:p>
      <w:pPr>
        <w:pStyle w:val="FirstParagraph"/>
      </w:pPr>
      <w:r>
        <w:t xml:space="preserve">On 695 CAMI2 MAG bins paired with their dominant source genomes, the raw gated estimate attains MAE</w:t>
      </w:r>
      <w:r>
        <w:t xml:space="preserve"> </w:t>
      </w:r>
      <w:r>
        <w:rPr>
          <w:b/>
          <w:bCs/>
        </w:rPr>
        <w:t xml:space="preserve">0.163</w:t>
      </w:r>
      <w:r>
        <w:t xml:space="preserve"> </w:t>
      </w:r>
      <w:r>
        <w:t xml:space="preserve">against dnadiff ANIm, versus 0.092 for skani and 0.203 for FastANI (Supplementary Fig. S7). By CheckM2 quality tier24,25, MAE is 0.041 on high-quality bins (n = 200; 100% within 0.5 points), 0.105 on medium-quality, and 0.291 on low-quality; |error| tracks contig N50 at Spearman ρ = −0.68. Applying the GTDB-trained v5 calibration to these MAGs degrades accuracy sharply (MAE 1.26), because the calibration learned real-genome associations absent in draft inputs; the raw gated estimate is therefore recommended for MAGs.</w:t>
      </w:r>
    </w:p>
    <w:bookmarkEnd w:id="17"/>
    <w:bookmarkStart w:id="18" w:name="X5be024dde2592d6a6a663fd30b3a116f84242f9"/>
    <w:p>
      <w:pPr>
        <w:pStyle w:val="Heading3"/>
      </w:pPr>
      <w:r>
        <w:t xml:space="preserve">Calibration regime-specificity and output selection</w:t>
      </w:r>
    </w:p>
    <w:p>
      <w:pPr>
        <w:pStyle w:val="FirstParagraph"/>
      </w:pPr>
      <w:r>
        <w:t xml:space="preserve">The v5 calibration is trained on complete GTDB-R207 genomes and improves accuracy only in that regime. For fragmented MAGs and mid-ANI pairs, the calibrated column can be substantially worse than the raw gated estimate (MAGs: MAE 1.26 vs 0.163; mid-ANI: 4.48 vs 1.42). We therefore recommend a simple decision rule: use the calibrated column for complete-genome database comparisons and species-level screening; use the raw gated estimate for draft genomes, MAGs, and any pair flagged</w:t>
      </w:r>
      <w:r>
        <w:t xml:space="preserve"> </w:t>
      </w:r>
      <w:r>
        <w:rPr>
          <w:rStyle w:val="VerbatimChar"/>
        </w:rPr>
        <w:t xml:space="preserve">INCONSISTENT</w:t>
      </w:r>
      <w:r>
        <w:t xml:space="preserve"> </w:t>
      </w:r>
      <w:r>
        <w:t xml:space="preserve">or</w:t>
      </w:r>
      <w:r>
        <w:t xml:space="preserve"> </w:t>
      </w:r>
      <w:r>
        <w:rPr>
          <w:rStyle w:val="VerbatimChar"/>
        </w:rPr>
        <w:t xml:space="preserve">BELOW_DETECTION</w:t>
      </w:r>
      <w:r>
        <w:t xml:space="preserve">; and use the hybrid rule (raw ≥98%, calibrated &lt;98%) when a single column must be chosen for mixed inputs.</w:t>
      </w:r>
    </w:p>
    <w:bookmarkEnd w:id="18"/>
    <w:bookmarkStart w:id="19" w:name="X9ed22b9aacf635813ce0d715761180981ac3a7a"/>
    <w:p>
      <w:pPr>
        <w:pStyle w:val="Heading3"/>
      </w:pPr>
      <w:r>
        <w:t xml:space="preserve">High ANI does not guarantee conserved architecture</w:t>
      </w:r>
    </w:p>
    <w:p>
      <w:pPr>
        <w:pStyle w:val="FirstParagraph"/>
      </w:pPr>
      <w:r>
        <w:t xml:space="preserve">ANI is a scalar average and therefore blind to genome architecture. Syn2bANI reports several structurally informative quantities from the same anchor chains:</w:t>
      </w:r>
      <w:r>
        <w:t xml:space="preserve"> </w:t>
      </w:r>
      <w:r>
        <w:rPr>
          <w:rStyle w:val="VerbatimChar"/>
        </w:rPr>
        <w:t xml:space="preserve">af_query</w:t>
      </w:r>
      <w:r>
        <w:t xml:space="preserve">,</w:t>
      </w:r>
      <w:r>
        <w:t xml:space="preserve"> </w:t>
      </w:r>
      <w:r>
        <w:rPr>
          <w:rStyle w:val="VerbatimChar"/>
        </w:rPr>
        <w:t xml:space="preserve">anchor_adjacency</w:t>
      </w:r>
      <w:r>
        <w:t xml:space="preserve">,</w:t>
      </w:r>
      <w:r>
        <w:t xml:space="preserve"> </w:t>
      </w:r>
      <w:r>
        <w:rPr>
          <w:rStyle w:val="VerbatimChar"/>
        </w:rPr>
        <w:t xml:space="preserve">breakpoint_count</w:t>
      </w:r>
      <w:r>
        <w:t xml:space="preserve">,</w:t>
      </w:r>
      <w:r>
        <w:t xml:space="preserve"> </w:t>
      </w:r>
      <w:r>
        <w:rPr>
          <w:rStyle w:val="VerbatimChar"/>
        </w:rPr>
        <w:t xml:space="preserve">synteny_blocks</w:t>
      </w:r>
      <w:r>
        <w:t xml:space="preserve">, and inversion/translocation calls from the</w:t>
      </w:r>
      <w:r>
        <w:t xml:space="preserve"> </w:t>
      </w:r>
      <w:r>
        <w:rPr>
          <w:rStyle w:val="VerbatimChar"/>
        </w:rPr>
        <w:t xml:space="preserve">struct</w:t>
      </w:r>
      <w:r>
        <w:t xml:space="preserve"> </w:t>
      </w:r>
      <w:r>
        <w:t xml:space="preserve">subcommand. A further length-weighted signal,</w:t>
      </w:r>
      <w:r>
        <w:t xml:space="preserve"> </w:t>
      </w:r>
      <w:r>
        <w:rPr>
          <w:rStyle w:val="VerbatimChar"/>
        </w:rPr>
        <w:t xml:space="preserve">raw_inverted_fraction</w:t>
      </w:r>
      <w:r>
        <w:t xml:space="preserve">, is computed by the companion tool Syn2b (https://github.com/HuangShiLab/Syn2b) from the same Type IIB anchor definition and enzyme panel; it measures the fraction of the shared genome that maps in the reverse orientation and is invariant to assembly fragmentation. We report it alongside the Syn2bANI columns because it is the structural quantity that agrees most closely with alignment-based truth (below); the two tools digest the same genomes with the same enzymes but write separate anchor files (</w:t>
      </w:r>
      <w:r>
        <w:rPr>
          <w:rStyle w:val="VerbatimChar"/>
        </w:rPr>
        <w:t xml:space="preserve">.tgt</w:t>
      </w:r>
      <w:r>
        <w:t xml:space="preserve"> </w:t>
      </w:r>
      <w:r>
        <w:t xml:space="preserve">and</w:t>
      </w:r>
      <w:r>
        <w:t xml:space="preserve"> </w:t>
      </w:r>
      <w:r>
        <w:rPr>
          <w:rStyle w:val="VerbatimChar"/>
        </w:rPr>
        <w:t xml:space="preserve">.s2ba</w:t>
      </w:r>
      <w:r>
        <w:t xml:space="preserve"> </w:t>
      </w:r>
      <w:r>
        <w:t xml:space="preserve">respectively).</w:t>
      </w:r>
      <w:r>
        <w:t xml:space="preserve"> </w:t>
      </w:r>
      <w:r>
        <w:rPr>
          <w:rStyle w:val="VerbatimChar"/>
        </w:rPr>
        <w:t xml:space="preserve">breakpoint_count</w:t>
      </w:r>
      <w:r>
        <w:t xml:space="preserve"> </w:t>
      </w:r>
      <w:r>
        <w:t xml:space="preserve">is a count-based descriptor of reference-order and orientation violations between collinear blocks; assembly fragmentation no longer inflates it (a genome re-assembled into 50 contigs scores 0 against itself), but a fragmented assembly does lose sensitivity, because a rearrangement whose two flanks fall on different contigs leaves the reference with nothing to contradict.</w:t>
      </w:r>
      <w:r>
        <w:t xml:space="preserve"> </w:t>
      </w:r>
      <w:r>
        <w:rPr>
          <w:rStyle w:val="VerbatimChar"/>
        </w:rPr>
        <w:t xml:space="preserve">anchor_adjacency</w:t>
      </w:r>
      <w:r>
        <w:t xml:space="preserve"> </w:t>
      </w:r>
      <w:r>
        <w:t xml:space="preserve">is a local anchor-order conservation metric, not a proxy for base-pair synteny.</w:t>
      </w:r>
      <w:r>
        <w:t xml:space="preserve"> </w:t>
      </w:r>
      <w:r>
        <w:rPr>
          <w:rStyle w:val="VerbatimChar"/>
        </w:rPr>
        <w:t xml:space="preserve">af_query</w:t>
      </w:r>
      <w:r>
        <w:t xml:space="preserve"> </w:t>
      </w:r>
      <w:r>
        <w:t xml:space="preserve">is the base-pair fraction of the query covered by chains and corresponds to alignment-based aligned fraction.</w:t>
      </w:r>
      <w:r>
        <w:t xml:space="preserve"> </w:t>
      </w:r>
      <w:r>
        <w:rPr>
          <w:rStyle w:val="VerbatimChar"/>
        </w:rPr>
        <w:t xml:space="preserve">synteny_blocks</w:t>
      </w:r>
      <w:r>
        <w:t xml:space="preserve"> </w:t>
      </w:r>
      <w:r>
        <w:t xml:space="preserve">is the raw chain count and is reported as an assembly-structure diagnostic rather than a rearrangement metric.</w:t>
      </w:r>
    </w:p>
    <w:p>
      <w:pPr>
        <w:pStyle w:val="BodyText"/>
      </w:pPr>
      <w:r>
        <w:rPr>
          <w:rStyle w:val="VerbatimChar"/>
        </w:rPr>
        <w:t xml:space="preserve">breakpoint_count</w:t>
      </w:r>
      <w:r>
        <w:t xml:space="preserve"> </w:t>
      </w:r>
      <w:r>
        <w:t xml:space="preserve">is an event count, and establishing that took three corrections to the statistic, each of which had inflated it by one to two orders of magnitude and each of which is detectable without any reference genome. Before Syn2bANI c974f5f a fragmented reference added one breakpoint per reference contig; before v0.1.1 chaining-rejected repeat anchors and collinear chain breaks were counted as well, so the</w:t>
      </w:r>
      <w:r>
        <w:t xml:space="preserve"> </w:t>
      </w:r>
      <w:r>
        <w:rPr>
          <w:i/>
          <w:iCs/>
        </w:rPr>
        <w:t xml:space="preserve">E. coli</w:t>
      </w:r>
      <w:r>
        <w:t xml:space="preserve"> </w:t>
      </w:r>
      <w:r>
        <w:t xml:space="preserve">O157:H7 EDL933 chromosome compared with itself reported 809 breakpoints and an</w:t>
      </w:r>
      <w:r>
        <w:t xml:space="preserve"> </w:t>
      </w:r>
      <w:r>
        <w:rPr>
          <w:i/>
          <w:iCs/>
        </w:rPr>
        <w:t xml:space="preserve">S. aureus</w:t>
      </w:r>
      <w:r>
        <w:t xml:space="preserve"> </w:t>
      </w:r>
      <w:r>
        <w:t xml:space="preserve">pair differing only in where its assembly begins reported 39. In the released statistic each primary chain contributes one block, a block transition along the query counts only when the reference does not place the two blocks consecutively in the query’s orientation, and a missing reference block is treated as absence of evidence rather than as a rearrangement (Online Methods, structural metrics). Every self-comparison, rotation and re-fragmentation then reports 0, and on in-silico</w:t>
      </w:r>
      <w:r>
        <w:t xml:space="preserve"> </w:t>
      </w:r>
      <w:r>
        <w:rPr>
          <w:i/>
          <w:iCs/>
        </w:rPr>
        <w:t xml:space="preserve">E. coli</w:t>
      </w:r>
      <w:r>
        <w:t xml:space="preserve"> </w:t>
      </w:r>
      <w:r>
        <w:t xml:space="preserve">MG1655 edits the count is exact: 2 per inversion at 500, 100 and 10 kb, 3 per translocation, 6 for three inversions, and 0 for 10-kb indels and for 1–3% substitution (</w:t>
      </w:r>
      <w:r>
        <w:rPr>
          <w:rStyle w:val="VerbatimChar"/>
        </w:rPr>
        <w:t xml:space="preserve">analysis/breakpoint_ladder.py</w:t>
      </w:r>
      <w:r>
        <w:t xml:space="preserve">,</w:t>
      </w:r>
      <w:r>
        <w:t xml:space="preserve"> </w:t>
      </w:r>
      <w:r>
        <w:rPr>
          <w:rStyle w:val="VerbatimChar"/>
        </w:rPr>
        <w:t xml:space="preserve">results/breakpoint_ladder.tsv</w:t>
      </w:r>
      <w:r>
        <w:t xml:space="preserve">). All structural numbers below were recomputed with that statistic; numbers from earlier builds, including those in previous versions of this manuscript, are withdrawn.</w:t>
      </w:r>
    </w:p>
    <w:p>
      <w:pPr>
        <w:pStyle w:val="BodyText"/>
      </w:pPr>
      <w:r>
        <w:t xml:space="preserve">On that footing the decoupling is real but modest in magnitude, and it is collection-dependent. In four published isolate collections from a synteny-based strain-tracking study10, scored through the companion Syn2b structural channel, the median pair carries 0 junctions in the hypermutator</w:t>
      </w:r>
      <w:r>
        <w:t xml:space="preserve"> </w:t>
      </w:r>
      <w:r>
        <w:rPr>
          <w:i/>
          <w:iCs/>
        </w:rPr>
        <w:t xml:space="preserve">E. coli</w:t>
      </w:r>
      <w:r>
        <w:t xml:space="preserve"> </w:t>
      </w:r>
      <w:r>
        <w:t xml:space="preserve">collection (whose divergence is predominantly sequence-level), 3 in</w:t>
      </w:r>
      <w:r>
        <w:t xml:space="preserve"> </w:t>
      </w:r>
      <w:r>
        <w:rPr>
          <w:i/>
          <w:iCs/>
        </w:rPr>
        <w:t xml:space="preserve">N. gonorrhoeae</w:t>
      </w:r>
      <w:r>
        <w:t xml:space="preserve">, 7 in</w:t>
      </w:r>
      <w:r>
        <w:t xml:space="preserve"> </w:t>
      </w:r>
      <w:r>
        <w:rPr>
          <w:i/>
          <w:iCs/>
        </w:rPr>
        <w:t xml:space="preserve">H. pylori</w:t>
      </w:r>
      <w:r>
        <w:t xml:space="preserve"> </w:t>
      </w:r>
      <w:r>
        <w:t xml:space="preserve">and 10 in</w:t>
      </w:r>
      <w:r>
        <w:t xml:space="preserve"> </w:t>
      </w:r>
      <w:r>
        <w:rPr>
          <w:i/>
          <w:iCs/>
        </w:rPr>
        <w:t xml:space="preserve">S. rimosus</w:t>
      </w:r>
      <w:r>
        <w:t xml:space="preserve"> </w:t>
      </w:r>
      <w:r>
        <w:t xml:space="preserve">(Fig. 6); within</w:t>
      </w:r>
      <w:r>
        <w:t xml:space="preserve"> </w:t>
      </w:r>
      <w:r>
        <w:rPr>
          <w:i/>
          <w:iCs/>
        </w:rPr>
        <w:t xml:space="preserve">H. pylori</w:t>
      </w:r>
      <w:r>
        <w:t xml:space="preserve">, pairs from one participant differ by a median of 0 junctions and pairs from different participants by 8 (Mann–Whitney p = 4.1 × 10⁻²²⁶). The same signal is reproduced through Syn2bANI’s own structural channel (</w:t>
      </w:r>
      <w:r>
        <w:rPr>
          <w:rStyle w:val="VerbatimChar"/>
        </w:rPr>
        <w:t xml:space="preserve">breakpoint_count</w:t>
      </w:r>
      <w:r>
        <w:t xml:space="preserve">, v0.1.1): cohort medians 0/1/5/3 for</w:t>
      </w:r>
      <w:r>
        <w:t xml:space="preserve"> </w:t>
      </w:r>
      <w:r>
        <w:rPr>
          <w:i/>
          <w:iCs/>
        </w:rPr>
        <w:t xml:space="preserve">E. coli</w:t>
      </w:r>
      <w:r>
        <w:t xml:space="preserve">/</w:t>
      </w:r>
      <w:r>
        <w:rPr>
          <w:i/>
          <w:iCs/>
        </w:rPr>
        <w:t xml:space="preserve">N. gonorrhoeae</w:t>
      </w:r>
      <w:r>
        <w:t xml:space="preserve">/</w:t>
      </w:r>
      <w:r>
        <w:rPr>
          <w:i/>
          <w:iCs/>
        </w:rPr>
        <w:t xml:space="preserve">H. pylori</w:t>
      </w:r>
      <w:r>
        <w:t xml:space="preserve">/</w:t>
      </w:r>
      <w:r>
        <w:rPr>
          <w:i/>
          <w:iCs/>
        </w:rPr>
        <w:t xml:space="preserve">S. rimosus</w:t>
      </w:r>
      <w:r>
        <w:t xml:space="preserve"> </w:t>
      </w:r>
      <w:r>
        <w:t xml:space="preserve">— systematically lower than the Syn2b count, as expected from its stricter evidence rules, but ranking the collections identically — and within-</w:t>
      </w:r>
      <w:r>
        <w:rPr>
          <w:i/>
          <w:iCs/>
        </w:rPr>
        <w:t xml:space="preserve">H. pylori</w:t>
      </w:r>
      <w:r>
        <w:t xml:space="preserve"> </w:t>
      </w:r>
      <w:r>
        <w:t xml:space="preserve">pairs again separate cleanly (median 0 within participants, 6 between; per-pair data in the Syn2b-paper repository,</w:t>
      </w:r>
      <w:r>
        <w:t xml:space="preserve"> </w:t>
      </w:r>
      <w:r>
        <w:rPr>
          <w:rStyle w:val="VerbatimChar"/>
        </w:rPr>
        <w:t xml:space="preserve">results/syntracker_validation/rerun_v032/</w:t>
      </w:r>
      <w:r>
        <w:t xml:space="preserve">). In 74 complete</w:t>
      </w:r>
      <w:r>
        <w:t xml:space="preserve"> </w:t>
      </w:r>
      <w:r>
        <w:rPr>
          <w:i/>
          <w:iCs/>
        </w:rPr>
        <w:t xml:space="preserve">E. coli</w:t>
      </w:r>
      <w:r>
        <w:t xml:space="preserve"> </w:t>
      </w:r>
      <w:r>
        <w:t xml:space="preserve">O157:H7 genomes whose pairwise ANI never falls below 99.886%, the median pair still differs by 7 breakpoints (IQR 4–9, max 19) and 74% of pairs by at least 5, over an ANI range only 0.11 points wide (Supplementary Fig. S9). The counterexample is equally informative: in 67 distinct FDA-ARGOS</w:t>
      </w:r>
      <w:r>
        <w:t xml:space="preserve"> </w:t>
      </w:r>
      <w:r>
        <w:rPr>
          <w:i/>
          <w:iCs/>
        </w:rPr>
        <w:t xml:space="preserve">S. aureus</w:t>
      </w:r>
      <w:r>
        <w:t xml:space="preserve"> </w:t>
      </w:r>
      <w:r>
        <w:t xml:space="preserve">assemblies spanning 93.6–100% ANI, 61% of pairs carry no breakpoints at all and the maximum over 2,211 pairs is 7 (Supplementary Fig. S10), so in that collection ANI and architecture are not decoupled. An ANI-only search can therefore return genomes that are nearly identical in average sequence yet differ by a handful to a few dozen rearrangements — enough to matter for strain tracking and for locus-level questions, and invisible to a scalar — but the size of the effect is species- and collection-specific and has to be measured rather than assumed.</w:t>
      </w:r>
    </w:p>
    <w:bookmarkEnd w:id="19"/>
    <w:bookmarkStart w:id="20" w:name="X92400c92582d6c59801983ff28fc6c6eb37ec86"/>
    <w:p>
      <w:pPr>
        <w:pStyle w:val="Heading3"/>
      </w:pPr>
      <w:r>
        <w:t xml:space="preserve">Structural outputs agree with independent truth</w:t>
      </w:r>
    </w:p>
    <w:p>
      <w:pPr>
        <w:pStyle w:val="FirstParagraph"/>
      </w:pPr>
      <w:r>
        <w:t xml:space="preserve">To test whether the coverage metrics are reliable, we compared them with alignment-based truth on the GTDB-R207 held-out benchmark (43,334 pairs). The base-pair coverage metric</w:t>
      </w:r>
      <w:r>
        <w:t xml:space="preserve"> </w:t>
      </w:r>
      <w:r>
        <w:rPr>
          <w:rStyle w:val="VerbatimChar"/>
        </w:rPr>
        <w:t xml:space="preserve">af_query</w:t>
      </w:r>
      <w:r>
        <w:t xml:space="preserve"> </w:t>
      </w:r>
      <w:r>
        <w:t xml:space="preserve">correlates with dnadiff and minimap2 coverage scores (Spearman r = 0.39 and 0.26), confirming that it is the output that aligns with alignment-based aligned fraction. The anchor-adjacency metric</w:t>
      </w:r>
      <w:r>
        <w:t xml:space="preserve"> </w:t>
      </w:r>
      <w:r>
        <w:rPr>
          <w:rStyle w:val="VerbatimChar"/>
        </w:rPr>
        <w:t xml:space="preserve">anchor_adjacency</w:t>
      </w:r>
      <w:r>
        <w:t xml:space="preserve"> </w:t>
      </w:r>
      <w:r>
        <w:t xml:space="preserve">is uncorrelated with rearrangement count and only weakly correlated with base-pair synteny/coverage scores; it should be read as a separate anchor-order statistic, not as a proxy for base-pair synteny.</w:t>
      </w:r>
      <w:r>
        <w:t xml:space="preserve"> </w:t>
      </w:r>
      <w:r>
        <w:rPr>
          <w:rStyle w:val="VerbatimChar"/>
        </w:rPr>
        <w:t xml:space="preserve">synteny_blocks</w:t>
      </w:r>
      <w:r>
        <w:t xml:space="preserve"> </w:t>
      </w:r>
      <w:r>
        <w:t xml:space="preserve">(the raw chain count) is dominated by assembly fragmentation (62% of its variance tracks contig count) and is therefore reported as an assembly-structure diagnostic rather than a rearrangement metric. The mathematical distinction between count-based and ratio-based synteny metrics, and the fragmentation invariance of the latter, is summarized in Supplementary Note 7 and derived in full in the companion Syn2b repository (</w:t>
      </w:r>
      <w:r>
        <w:rPr>
          <w:rStyle w:val="VerbatimChar"/>
        </w:rPr>
        <w:t xml:space="preserve">docs/MATH_REVIEW.md</w:t>
      </w:r>
      <w:r>
        <w:t xml:space="preserve">; https://github.com/HuangShiLab/Syn2b).</w:t>
      </w:r>
    </w:p>
    <w:p>
      <w:pPr>
        <w:pStyle w:val="BodyText"/>
      </w:pPr>
      <w:r>
        <w:t xml:space="preserve">The corresponding correlations for</w:t>
      </w:r>
      <w:r>
        <w:t xml:space="preserve"> </w:t>
      </w:r>
      <w:r>
        <w:rPr>
          <w:rStyle w:val="VerbatimChar"/>
        </w:rPr>
        <w:t xml:space="preserve">breakpoint_count</w:t>
      </w:r>
      <w:r>
        <w:t xml:space="preserve"> </w:t>
      </w:r>
      <w:r>
        <w:t xml:space="preserve">against dnadiff structural truth on this set have been recomputed with the released statistic over all 43,334 pairs (re-analysis archived in the companion Syn2b-paper repository,</w:t>
      </w:r>
      <w:r>
        <w:t xml:space="preserve"> </w:t>
      </w:r>
      <w:r>
        <w:rPr>
          <w:rStyle w:val="VerbatimChar"/>
        </w:rPr>
        <w:t xml:space="preserve">results/gtdb50k/sv_reanalysis_v011.md</w:t>
      </w:r>
      <w:r>
        <w:t xml:space="preserve">). The headline agreement survives the correction: partial r = 0.411 against dnadiff breakpoints controlling for ANIm and contig count (the withdrawn pre-fix value was 0.414), with the raw correlation improving from 0.133 to 0.361 and no residual contig-count dependence (r = −0.05). The withdrawn values that do not survive were themselves artifacts of the inflated counter: against large indels the partial correlation drops from the withdrawn 0.453 to 0.327, and among ANIm ≥ 95% pairs the Spearman coefficient drops from 0.674 to 0.633. Beyond the aligner comparison, the released counter now also agrees at scale with the independent Syn2b adjacency implementation over the same pairs (Spearman ρ = 0.86, Pearson r = 0.84 on 43,312 pairs; the chain-based count reads systematically lower, median ratio 0.30, consistent with its stricter evidence rules). The released statistic is additionally validated by construction on in-silico edits, where it is exact (above), and on the closed-genome and isolate collections reported here.</w:t>
      </w:r>
    </w:p>
    <w:p>
      <w:pPr>
        <w:pStyle w:val="BodyText"/>
      </w:pPr>
      <w:r>
        <w:t xml:space="preserve">A length-weighted orientation metric,</w:t>
      </w:r>
      <w:r>
        <w:t xml:space="preserve"> </w:t>
      </w:r>
      <w:r>
        <w:rPr>
          <w:rStyle w:val="VerbatimChar"/>
        </w:rPr>
        <w:t xml:space="preserve">raw_inverted_fraction</w:t>
      </w:r>
      <w:r>
        <w:t xml:space="preserve"> </w:t>
      </w:r>
      <w:r>
        <w:t xml:space="preserve">— computed by the companion Syn2b implementation from the same anchor definition — avoids the fragmentation confounder by construction. In fixed-reference mode it agrees one-to-one with dnadiff on the 43,334-pair held-out set (Pearson r = 0.936; slope 1.004, intercept −0.002). That set does not sample the strain range, containing only two pairs at ANIm ≥ 97%; the strain range is instead covered by a separately sampled high-ANI set, in which agreement is near-exact over 3,826 pairs at ANIm ≥ 97% (r = 0.996, slope 1.006, intercept −0.004; Fig. 5a,b). Bias is zero in every divergence band from 80% ANIm upward, with only the spread changing, so the residual is a reportable standard error rather than a systematic error. Because the metric is reference-oriented, undirected all-vs-all comparisons require the mirror-corrected value</w:t>
      </w:r>
      <w:r>
        <w:t xml:space="preserve"> </w:t>
      </w:r>
      <w:r>
        <w:rPr>
          <w:rStyle w:val="VerbatimChar"/>
        </w:rPr>
        <w:t xml:space="preserve">min(raw, 1 − raw)</w:t>
      </w:r>
      <w:r>
        <w:t xml:space="preserve">: in a cohort of 701 closed GTDB-R207 genomes (61,537 conspecific pairs), the raw ratio has a biologically implausible median of 0.36, driven by arbitrary global strand and start-coordinate conventions — 38.9% of pairs are whole-genome reverse-complements of each other — whereas the corrected ratio has a median of 0.18 (Supplementary Fig. S14). A closed-form standard-error model based on the number of shared landmarks reproduces the observed spread (R² = 0.999 across divergence bins), so each reported inversion fraction can carry its own uncertainty. The detection-power limits underlying these resolution numbers are characterized in</w:t>
      </w:r>
      <w:r>
        <w:t xml:space="preserve"> </w:t>
      </w:r>
      <w:r>
        <w:rPr>
          <w:rStyle w:val="VerbatimChar"/>
        </w:rPr>
        <w:t xml:space="preserve">docs/PHASE2_DETECTION_POWER.md</w:t>
      </w:r>
      <w:r>
        <w:t xml:space="preserve"> </w:t>
      </w:r>
      <w:r>
        <w:t xml:space="preserve">of the companion Syn2b repository (https://github.com/HuangShiLab/Syn2b).</w:t>
      </w:r>
    </w:p>
    <w:p>
      <w:pPr>
        <w:pStyle w:val="BodyText"/>
      </w:pPr>
      <w:r>
        <w:t xml:space="preserve">On an engineered</w:t>
      </w:r>
      <w:r>
        <w:t xml:space="preserve"> </w:t>
      </w:r>
      <w:r>
        <w:rPr>
          <w:i/>
          <w:iCs/>
        </w:rPr>
        <w:t xml:space="preserve">H. pylori</w:t>
      </w:r>
      <w:r>
        <w:t xml:space="preserve"> </w:t>
      </w:r>
      <w:r>
        <w:t xml:space="preserve">cagPAI test panel, a 36,154 bp deletion/insertion is recovered as a single insertion call of 36,154 bp (Fig. 8a).</w:t>
      </w:r>
    </w:p>
    <w:bookmarkEnd w:id="20"/>
    <w:bookmarkStart w:id="21" w:name="X22ca90b5ddbcd0e54633185a36b80aa5112cf3f"/>
    <w:p>
      <w:pPr>
        <w:pStyle w:val="Heading3"/>
      </w:pPr>
      <w:r>
        <w:t xml:space="preserve">A functional locus invisible to ANI is detectable by local chain coverage</w:t>
      </w:r>
    </w:p>
    <w:p>
      <w:pPr>
        <w:pStyle w:val="FirstParagraph"/>
      </w:pPr>
      <w:r>
        <w:t xml:space="preserve">The limitation of a single ANI value is not merely theoretical. In a published collection of 185</w:t>
      </w:r>
      <w:r>
        <w:t xml:space="preserve"> </w:t>
      </w:r>
      <w:r>
        <w:rPr>
          <w:i/>
          <w:iCs/>
        </w:rPr>
        <w:t xml:space="preserve">Bifidobacterium longum</w:t>
      </w:r>
      <w:r>
        <w:t xml:space="preserve"> </w:t>
      </w:r>
      <w:r>
        <w:t xml:space="preserve">isolates associated with constipation treatment44, all pairwise ANIs are ≥98.67% and cannot separate strains that carry a complete abfA gene cluster from those with a deleted or peripheral-truncated cluster. Whole-genome aligned fraction is also uninformative (median 0.861 vs 0.867, MWU p = 0.66). However, locus-targeted Syn2bANI chain coverage over the abfA cluster periphery (17.2–37.1 kb) differs significantly between complete and deleted groups (median coverage 1.0 vs 0.16, MWU p = 1.4 × 10⁻³; Fig. 7). The signal is specific to the functional locus (the adjacent downstream region is indistinguishable, p = 0.40) and demonstrates that coordinate-carrying anchors can localize phenotype-relevant structural differences that are invisible to genome-wide ANI.</w:t>
      </w:r>
    </w:p>
    <w:bookmarkEnd w:id="21"/>
    <w:bookmarkStart w:id="22" w:name="Xe4b9fcd3ce29fd6452f25c9dece6c972655a1d2"/>
    <w:p>
      <w:pPr>
        <w:pStyle w:val="Heading3"/>
      </w:pPr>
      <w:r>
        <w:t xml:space="preserve">Very-high-ANI reference genomes differ in resistance cassettes and structure</w:t>
      </w:r>
    </w:p>
    <w:p>
      <w:pPr>
        <w:pStyle w:val="FirstParagraph"/>
      </w:pPr>
      <w:r>
        <w:t xml:space="preserve">The same limitation matters for public-health surveillance. In 129 FDA-ARGOS</w:t>
      </w:r>
      <w:r>
        <w:t xml:space="preserve"> </w:t>
      </w:r>
      <w:r>
        <w:rPr>
          <w:i/>
          <w:iCs/>
        </w:rPr>
        <w:t xml:space="preserve">E. coli</w:t>
      </w:r>
      <w:r>
        <w:t xml:space="preserve"> </w:t>
      </w:r>
      <w:r>
        <w:t xml:space="preserve">assemblies, skani reported 103 very-high-ANI reference-genome pairs at ANI ≥ 99.9; this numerical identity does not by itself establish outbreak or transmission identity. Minimap2 validation of</w:t>
      </w:r>
      <w:r>
        <w:t xml:space="preserve"> </w:t>
      </w:r>
      <w:r>
        <w:rPr>
          <w:rStyle w:val="VerbatimChar"/>
        </w:rPr>
        <w:t xml:space="preserve">syn2bani struct</w:t>
      </w:r>
      <w:r>
        <w:t xml:space="preserve"> </w:t>
      </w:r>
      <w:r>
        <w:t xml:space="preserve">calls showed that 101/103 pairs (98%) carry at least one genuine structural difference, including 16 pairs with genuine large inversions and 876 chromosomal indels ≥ 1 kb. Resistance genotypes differed in 60/103 pairs (58.3%), including 11/24 pairs at ANI ≥ 99.99 and one ANI = 100.0 pair (FDAARGOS_348/772) that differs by a tet(A)/tet(K) cassette and a 48 kb insertion (Supplementary Fig. S15 and Table S7). ANI therefore does not ensure interchangeable structural or acquired-resistance profiles in these reference genomes.</w:t>
      </w:r>
    </w:p>
    <w:bookmarkEnd w:id="22"/>
    <w:bookmarkStart w:id="23" w:name="X3b2998716b6c25b524acc27a4ab539ef1aae1e0"/>
    <w:p>
      <w:pPr>
        <w:pStyle w:val="Heading3"/>
      </w:pPr>
      <w:r>
        <w:t xml:space="preserve">cagPAI architecture in</w:t>
      </w:r>
      <w:r>
        <w:t xml:space="preserve"> </w:t>
      </w:r>
      <w:r>
        <w:rPr>
          <w:i/>
          <w:iCs/>
        </w:rPr>
        <w:t xml:space="preserve">H. pylori</w:t>
      </w:r>
      <w:r>
        <w:t xml:space="preserve"> </w:t>
      </w:r>
      <w:r>
        <w:t xml:space="preserve">is invisible to ANI and tracks lineage</w:t>
      </w:r>
    </w:p>
    <w:p>
      <w:pPr>
        <w:pStyle w:val="FirstParagraph"/>
      </w:pPr>
      <w:r>
        <w:t xml:space="preserve">The</w:t>
      </w:r>
      <w:r>
        <w:t xml:space="preserve"> </w:t>
      </w:r>
      <w:r>
        <w:rPr>
          <w:i/>
          <w:iCs/>
        </w:rPr>
        <w:t xml:space="preserve">Helicobacter pylori</w:t>
      </w:r>
      <w:r>
        <w:t xml:space="preserve"> </w:t>
      </w:r>
      <w:r>
        <w:t xml:space="preserve">cagPAI pathogenicity island is a classic example of a functionally important locus whose presence and architecture are lost in a genome-wide ANI average. We combined marker-gene presence/absence with</w:t>
      </w:r>
      <w:r>
        <w:t xml:space="preserve"> </w:t>
      </w:r>
      <w:r>
        <w:rPr>
          <w:rStyle w:val="VerbatimChar"/>
        </w:rPr>
        <w:t xml:space="preserve">syn2bani struct</w:t>
      </w:r>
      <w:r>
        <w:t xml:space="preserve"> </w:t>
      </w:r>
      <w:r>
        <w:t xml:space="preserve">calls inside the cagPAI coordinates (NC_000915.1: 547,327–583,481) for 528 genomes from a recent gastric-cancer risk study41. The extended state was validated on an engineered eight-genome panel (wild-type, ΔcagPAI, inversion, translocation, and the same events on a ~1%-substituted background) and classified all controls correctly.</w:t>
      </w:r>
    </w:p>
    <w:p>
      <w:pPr>
        <w:pStyle w:val="BodyText"/>
      </w:pPr>
      <w:r>
        <w:t xml:space="preserve">Among the 528 isolates, 85 (16.1%) lacked the island (</w:t>
      </w:r>
      <w:r>
        <w:rPr>
          <w:rStyle w:val="VerbatimChar"/>
        </w:rPr>
        <w:t xml:space="preserve">empty</w:t>
      </w:r>
      <w:r>
        <w:t xml:space="preserve">), 11 (2.1%) were</w:t>
      </w:r>
      <w:r>
        <w:t xml:space="preserve"> </w:t>
      </w:r>
      <w:r>
        <w:rPr>
          <w:rStyle w:val="VerbatimChar"/>
        </w:rPr>
        <w:t xml:space="preserve">partial</w:t>
      </w:r>
      <w:r>
        <w:t xml:space="preserve">, 145 (27.5%) retained a collinear complete island (</w:t>
      </w:r>
      <w:r>
        <w:rPr>
          <w:rStyle w:val="VerbatimChar"/>
        </w:rPr>
        <w:t xml:space="preserve">complete_collinear</w:t>
      </w:r>
      <w:r>
        <w:t xml:space="preserve">), and 287 (54.4%) retained the markers with an inversion or translocation call overlapping the cagPAI window (</w:t>
      </w:r>
      <w:r>
        <w:rPr>
          <w:rStyle w:val="VerbatimChar"/>
        </w:rPr>
        <w:t xml:space="preserve">complete_rearranged</w:t>
      </w:r>
      <w:r>
        <w:t xml:space="preserve">; Fig. 8a). The remaining 133 complete-marker genomes that were originally classified as rearranged carried a single genome-spanning translocation consistent with a different arbitrary start coordinate on the circular</w:t>
      </w:r>
      <w:r>
        <w:t xml:space="preserve"> </w:t>
      </w:r>
      <w:r>
        <w:rPr>
          <w:i/>
          <w:iCs/>
        </w:rPr>
        <w:t xml:space="preserve">H. pylori</w:t>
      </w:r>
      <w:r>
        <w:t xml:space="preserve"> </w:t>
      </w:r>
      <w:r>
        <w:t xml:space="preserve">chromosome; these were reclassified as collinear after circular-origin filtering (Online Methods). Overlap with the window is, however, a weaker statement than rearrangement</w:t>
      </w:r>
      <w:r>
        <w:t xml:space="preserve"> </w:t>
      </w:r>
      <w:r>
        <w:rPr>
          <w:i/>
          <w:iCs/>
        </w:rPr>
        <w:t xml:space="preserve">of</w:t>
      </w:r>
      <w:r>
        <w:t xml:space="preserve"> </w:t>
      </w:r>
      <w:r>
        <w:t xml:space="preserve">the island. Splitting the 287 by where their calls break (</w:t>
      </w:r>
      <w:r>
        <w:rPr>
          <w:rStyle w:val="VerbatimChar"/>
        </w:rPr>
        <w:t xml:space="preserve">case_studies/h_pylori_cagpai/scripts/classify_locality.py</w:t>
      </w:r>
      <w:r>
        <w:t xml:space="preserve">), 53 genomes carry a call lying entirely inside the island (</w:t>
      </w:r>
      <w:r>
        <w:rPr>
          <w:rStyle w:val="VerbatimChar"/>
        </w:rPr>
        <w:t xml:space="preserve">island_internal</w:t>
      </w:r>
      <w:r>
        <w:t xml:space="preserve">), 101 carry a call with one endpoint inside it (</w:t>
      </w:r>
      <w:r>
        <w:rPr>
          <w:rStyle w:val="VerbatimChar"/>
        </w:rPr>
        <w:t xml:space="preserve">island_boundary</w:t>
      </w:r>
      <w:r>
        <w:t xml:space="preserve">), and 133 carry only calls that span the whole island — inversions or translocations of 100–600 kb in which the island is intact and merely lies on the other strand of a larger block (</w:t>
      </w:r>
      <w:r>
        <w:rPr>
          <w:rStyle w:val="VerbatimChar"/>
        </w:rPr>
        <w:t xml:space="preserve">island_spanned</w:t>
      </w:r>
      <w:r>
        <w:t xml:space="preserve">). Only the first two classes, 154 genomes or 29% of the collection, alter the island’s own architecture, and the</w:t>
      </w:r>
      <w:r>
        <w:t xml:space="preserve"> </w:t>
      </w:r>
      <w:r>
        <w:rPr>
          <w:rStyle w:val="VerbatimChar"/>
        </w:rPr>
        <w:t xml:space="preserve">complete_rearranged</w:t>
      </w:r>
      <w:r>
        <w:t xml:space="preserve"> </w:t>
      </w:r>
      <w:r>
        <w:t xml:space="preserve">label should be read with that in mind. A diagnostic check confirmed that this pattern is origin rotation (different start coordinate) rather than whole-genome reverse complement: among calls spanning ≥20% of the chromosome, 496/497 were translocations and only one was an inversion.</w:t>
      </w:r>
    </w:p>
    <w:p>
      <w:pPr>
        <w:pStyle w:val="BodyText"/>
      </w:pPr>
      <w:r>
        <w:t xml:space="preserve">The extended state remained strongly associated with FastBAPS lineage (χ² = 58.75, df = 12, p = 3.8 × 10⁻⁸). Disease-stage associations were evaluated with both crude 2×2 odds ratios and Cochran–Mantel–Haenszel tests stratified by FastBAPS lineage (Supplementary Table S4). Only cagPAI presence (GC vs NAG) showed a nominally significant crude association (OR = 2.16, 95% CI 1.13–4.13, p = 0.018); after lineage stratification the Mantel–Haenszel OR was 1.70 (CMH p = 0.12), and the Breslow–Day test indicated significant heterogeneity across lineages (p = 0.005). The other three contrasts were not significant even before stratification (rearrangement GC vs NAG crude p = 0.70; presence advanced vs early p = 0.58; rearrangement advanced vs early p = 0.93), and rearrangement associations remained non-significant across artifact-span thresholds from 0.20 to 0.50. In an exploratory locality analysis among the 432 complete-marker genomes, the four disease stages and four locality levels were associated (χ² = 19.75, df = 9, p = 0.020, q = 0.030 across the three locality tests; Supplementary Table S4). Collapsing locality to whether a call altered the island versus leaving it collinear or spanning, the advanced-versus-early contrast was nominally significant before stratification (OR = 1.61, 95% CI 1.08–2.39, p = 0.020, q = 0.030), but not after lineage stratification (Mantel–Haenszel OR = 1.36, 95% CI 0.90–2.06, CMH p = 0.14); the GC-versus-NAG contrast was null (crude p = 0.58). These locality tests are post hoc and partition the architecture signal rather than independently validating a disease association. Thus the architecture–disease signal in this collection is largely driven by lineage structure. The key biological result that survives is lineage-associated cagPAI presence/absence:</w:t>
      </w:r>
      <w:r>
        <w:t xml:space="preserve"> </w:t>
      </w:r>
      <w:r>
        <w:rPr>
          <w:rStyle w:val="VerbatimChar"/>
        </w:rPr>
        <w:t xml:space="preserve">empty</w:t>
      </w:r>
      <w:r>
        <w:t xml:space="preserve"> </w:t>
      </w:r>
      <w:r>
        <w:t xml:space="preserve">rates range from 4% in FastBAPS L2 to 33% in L6. Because all pairwise ANIs in this collection are &gt;95%, these presence/absence and architecture patterns are invisible to ANI-only tools and illustrate how Syn2bANI’s structural output can reveal genotype–population relationships that ANI alone cannot.</w:t>
      </w:r>
    </w:p>
    <w:p>
      <w:pPr>
        <w:pStyle w:val="BodyText"/>
      </w:pPr>
      <w:r>
        <w:t xml:space="preserve">The marker panel was further cross-validated against independent molecular typing generated by the study collaborators (cagA detection with EPIYA genotyping and genome-level rescue, vacA s/i/m typing). cagA detection agreed with cagPAI presence with near-perfect concordance — cagPAI-complete genomes were cagA-positive in 429/431 cases (OR = 783, 95% CI 179–3,421, p = 7 × 10⁻⁶⁸) — and the association was homogeneous across FastBAPS lineages (Mantel–Haenszel OR = 3,986, CMH p &lt; 10⁻¹⁶; Breslow–Day p = 0.96), so it is not driven by any single lineage. As expected for a presence/absence assay, the panel does not predict cagA EPIYA allele structure (χ² p = 0.52), and cagPAI presence tracked the toxigenic vacA s1/i1 genotypes (OR = 556 and 38), consistent with their known co-inheritance (Supplementary Table S5).</w:t>
      </w:r>
    </w:p>
    <w:p>
      <w:pPr>
        <w:pStyle w:val="BodyText"/>
      </w:pPr>
      <w:r>
        <w:t xml:space="preserve">To establish whether discordant isolates represent panel errors or biology, we reviewed all 26 genomes with disagreement between marker state and cagA typing at the assembly level, re-anchoring all 28 markers with minimap2, running a cagA-specific alignment, and measuring cagPAI-window coverage against reference 26695. None was caused by assembly incompleteness. Seventeen genomes had lost the island backbone but retained cagA sequence at the evacuated site — near full-length in 8 and fragmentary in 9 — including 11 of the 13 genomes classified as cagPAI-empty (the other two carry a clean, fully assembled island deletion with assembled flanks and struct-supported deletion calls). The two cagPAI-complete but cagA-negative genomes (both FastBAPS L3; Mexico and Honduras) carry a precise excision restricted to the cagA locus — 25–26 of 28 markers present, island identity 0.97, cagA-locus coverage dropping from 100% to 0% at 2-kb resolution — a genuine cagA-loss architecture for which the panel and the typing call are both correct. The remaining five disagreements were partial-state calls in high-divergence East-Asian and Latin-American backgrounds where cagA coverage fell just below the 80% marker threshold (0.77–0.79). The panel therefore made no empty-state errors among discordant genomes, and the discordant set itself yielded structural biology invisible to either assay alone: cagA-specific loss on an otherwise intact island, and full-length cagA retention at an evacuated insertion site.</w:t>
      </w:r>
    </w:p>
    <w:p>
      <w:pPr>
        <w:pStyle w:val="BodyText"/>
      </w:pPr>
      <w:r>
        <w:t xml:space="preserve">We finally tested whether structural burden marks antibiotic resistance, using genotype-based resistance markers (CARD; macrolide resistance defined by 23S rRNA A2146G/A2147G mutations, for which genotype–phenotype concordance is established). Above-median SV burden was associated with macrolide resistance in the crude analysis (OR = 2.81, 95% CI 1.71–4.62, q = 8.5 × 10⁻⁵) but did not survive lineage stratification (Mantel–Haenszel OR = 1.33, 95% CI 0.73–2.40, p = 0.35; Breslow–Day p = 0.90): FastBAPS L2 (hspEAsia) carries both the highest macrolide-resistance prevalence (28%) and the highest SV burden, so the crude signal reflects lineage structure rather than resistance biology (Supplementary Fig. S13). Fluoroquinolone, tetracycline, and nitroimidazole classes were untestable because CARD annotates the chromosomally intrinsic hp1181 efflux pump in 99.8% of genomes, leaving macrolides as the only discriminatory class in this collection. This negative result reinforces the methodological lesson of the case study: unstratified SV–phenotype correlations in structured bacterial collections are readily confounded by lineage, and structural hypotheses require lineage-aware tests.</w:t>
      </w:r>
    </w:p>
    <w:bookmarkEnd w:id="23"/>
    <w:bookmarkStart w:id="24" w:name="X531e4656ab52e3103c9c47f518dc79f6eb989bb"/>
    <w:p>
      <w:pPr>
        <w:pStyle w:val="Heading3"/>
      </w:pPr>
      <w:r>
        <w:t xml:space="preserve">A census separates sequence-divergent and structural-divergent species</w:t>
      </w:r>
    </w:p>
    <w:p>
      <w:pPr>
        <w:pStyle w:val="FirstParagraph"/>
      </w:pPr>
      <w:r>
        <w:t xml:space="preserve">To test whether the two output channels provide distinct population-level information, we performed an anchor-derived hybrid within-species census of the Human Reference Oral Microbiome database (HROM)45. The structural layer was generated by the companion Syn2b structural channel and joined by canonical genome pairs to an independent skani ANI layer; it is not an end-to-end Syn2bANI census. After restricting to species clusters with at least two non-empty genome digests, the census covered 142,277 genomes in 2,241 clusters and yielded 62,872,901 unique pairs with both structural and ANI measurements; no structural pair lacked ANI and no cluster had fewer pairs than its genome-level expectation. Overall, 17,535,013 pairs (27.89%) carried at least two breakpoints. The relationship between axes was non-monotonic: breakpoint prevalence decreased from 31.1% at ANI 95–97% to 20.8% at 97–98%, but rose to 31.6% at 98–99%, showing that high sequence identity alone does not imply architectural conservation. In a 2,000-replicate species-level bootstrap, tested-species fractions were 0.184 (95% CI 0.154–0.217) structural-similarity enriched, 0.307 (0.269–0.346) ANI-similarity enriched and 0.069 (0.048–0.092) both-set enriched.</w:t>
      </w:r>
    </w:p>
    <w:p>
      <w:pPr>
        <w:pStyle w:val="BodyText"/>
      </w:pPr>
      <w:r>
        <w:t xml:space="preserve">For each of the 521 species with at least 200 pairs passing evidence filters (≥250 shared tags and ≥0.50 observable fraction), we selected the top 5% of pairs independently by skani ANI and by Syn2b structural similarity — that is, the pairs each channel considers most similar — and tested species enrichment in each set with one-sided hypergeometric tests (BH q &lt; 0.05). This identified 96 structural-similarity-enriched, 160 ANI-similarity-enriched, and 36 both-similarity-enriched species; the remainder were not enriched. A species overrepresented among structurally similar but not ANI-similar pairs has divergence that is disproportionately sequence-level, whereas overrepresentation among ANI-similar but not structurally similar pairs points disproportionately to architectural differences. Examples in the former set included</w:t>
      </w:r>
      <w:r>
        <w:t xml:space="preserve"> </w:t>
      </w:r>
      <w:r>
        <w:rPr>
          <w:i/>
          <w:iCs/>
        </w:rPr>
        <w:t xml:space="preserve">Rothia mucilaginosa</w:t>
      </w:r>
      <w:r>
        <w:t xml:space="preserve">,</w:t>
      </w:r>
      <w:r>
        <w:t xml:space="preserve"> </w:t>
      </w:r>
      <w:r>
        <w:rPr>
          <w:i/>
          <w:iCs/>
        </w:rPr>
        <w:t xml:space="preserve">Lautropia mirabilis</w:t>
      </w:r>
      <w:r>
        <w:t xml:space="preserve">,</w:t>
      </w:r>
      <w:r>
        <w:t xml:space="preserve"> </w:t>
      </w:r>
      <w:r>
        <w:rPr>
          <w:i/>
          <w:iCs/>
        </w:rPr>
        <w:t xml:space="preserve">Actinomyces graevenitzii</w:t>
      </w:r>
      <w:r>
        <w:t xml:space="preserve">,</w:t>
      </w:r>
      <w:r>
        <w:t xml:space="preserve"> </w:t>
      </w:r>
      <w:r>
        <w:rPr>
          <w:i/>
          <w:iCs/>
        </w:rPr>
        <w:t xml:space="preserve">Corynebacterium matruchotii</w:t>
      </w:r>
      <w:r>
        <w:t xml:space="preserve"> </w:t>
      </w:r>
      <w:r>
        <w:t xml:space="preserve">and</w:t>
      </w:r>
      <w:r>
        <w:t xml:space="preserve"> </w:t>
      </w:r>
      <w:r>
        <w:rPr>
          <w:i/>
          <w:iCs/>
        </w:rPr>
        <w:t xml:space="preserve">Porphyromonas endodontalis</w:t>
      </w:r>
      <w:r>
        <w:t xml:space="preserve">; the latter included</w:t>
      </w:r>
      <w:r>
        <w:t xml:space="preserve"> </w:t>
      </w:r>
      <w:r>
        <w:rPr>
          <w:i/>
          <w:iCs/>
        </w:rPr>
        <w:t xml:space="preserve">Prevotella pallens</w:t>
      </w:r>
      <w:r>
        <w:t xml:space="preserve">,</w:t>
      </w:r>
      <w:r>
        <w:t xml:space="preserve"> </w:t>
      </w:r>
      <w:r>
        <w:rPr>
          <w:i/>
          <w:iCs/>
        </w:rPr>
        <w:t xml:space="preserve">Porphyromonas gingivalis</w:t>
      </w:r>
      <w:r>
        <w:t xml:space="preserve">,</w:t>
      </w:r>
      <w:r>
        <w:t xml:space="preserve"> </w:t>
      </w:r>
      <w:r>
        <w:rPr>
          <w:i/>
          <w:iCs/>
        </w:rPr>
        <w:t xml:space="preserve">Streptococcus mutans</w:t>
      </w:r>
      <w:r>
        <w:t xml:space="preserve">,</w:t>
      </w:r>
      <w:r>
        <w:t xml:space="preserve"> </w:t>
      </w:r>
      <w:r>
        <w:rPr>
          <w:i/>
          <w:iCs/>
        </w:rPr>
        <w:t xml:space="preserve">Tannerella forsythia</w:t>
      </w:r>
      <w:r>
        <w:t xml:space="preserve"> </w:t>
      </w:r>
      <w:r>
        <w:t xml:space="preserve">and</w:t>
      </w:r>
      <w:r>
        <w:t xml:space="preserve"> </w:t>
      </w:r>
      <w:r>
        <w:rPr>
          <w:i/>
          <w:iCs/>
        </w:rPr>
        <w:t xml:space="preserve">Bifidobacterium longum</w:t>
      </w:r>
      <w:r>
        <w:t xml:space="preserve"> </w:t>
      </w:r>
      <w:r>
        <w:t xml:space="preserve">(Fig. 9). These are candidate divergence-mode labels, not demonstrated hypermutator or hyper-recombinator states, because the screen does not measure mutation rates or recombination directly.</w:t>
      </w:r>
    </w:p>
    <w:p>
      <w:pPr>
        <w:pStyle w:val="BodyText"/>
      </w:pPr>
      <w:r>
        <w:t xml:space="preserve">Assembly quality affected species assignment but not the central qualitative conclusion. Restricting pairs to completeness ≥90% and contamination ≤5% reduced the tested set from 521 to 354 species and identified 60 structural-similarity-enriched, 93 ANI-similarity-enriched and 19 both-similarity-enriched species. Mode overlap between all-pair and high-quality analyses was moderate (Jaccard 0.515 for structural-similarity-enriched, 0.451 for ANI-similarity-enriched and 0.196 for both-similarity-enriched species), so we report both sets rather than selecting the more biologically appealing list. Across all pairs, SV detection was strongly associated with the minimum pair N50 (44.0% breakpoint-positive when both genomes had N50 ≥ 10 kb versus 19.3% otherwise), reinforcing that structural sensitivity is contiguity-dependent and that assembly quality is a plausible confounder of species-level mode calls. These labels are therefore screening candidates for follow-up, not measured mutation- or recombination-rate phenotypes.</w:t>
      </w:r>
    </w:p>
    <w:bookmarkEnd w:id="24"/>
    <w:bookmarkStart w:id="25" w:name="X2332fb5e1304bbc8c46777c31b85707faacefa6"/>
    <w:p>
      <w:pPr>
        <w:pStyle w:val="Heading3"/>
      </w:pPr>
      <w:r>
        <w:t xml:space="preserve">Oral-airway divergence is mainly sequence-level rather than breakpoint-level</w:t>
      </w:r>
    </w:p>
    <w:p>
      <w:pPr>
        <w:pStyle w:val="FirstParagraph"/>
      </w:pPr>
      <w:r>
        <w:t xml:space="preserve">We next asked whether the same dual-axis hybrid framework can answer an ecological question in the Oral and Airway Prokaryotic Genome Catalog (OAPGC)46. The representative catalogue yielded 98,229 analysed genomes in 1,488 multi-genome SGB clusters and 30,559,312 informative pairs; 49.90% had at least two breakpoints. Public oral/airway site labels enabled within-species comparison of 1,264,327 oral-airway pairs with 16,067,030 within-habitat pairs (oral-oral or airway-airway) across 200 species satisfying at least 30 pairs in each group and at least 100 total pairs.</w:t>
      </w:r>
    </w:p>
    <w:p>
      <w:pPr>
        <w:pStyle w:val="BodyText"/>
      </w:pPr>
      <w:r>
        <w:t xml:space="preserve">Across species, oral-airway pairs had elevated ANI-derived sequence distance relative to within-habitat pairs (median species AUC 0.574; 143/200 species had AUC &gt; 0.5; sign-test p = 1.0 × 10⁻⁹), but not elevated breakpoints (median AUC 0.494; 93/200; p = 0.358). Species-level bootstrap medians were 0.574 (95% CI 0.555–0.582) for sequence distance and 0.494 (0.489–0.509) for breakpoints. With BH q &lt; 0.05, 73 species were sequence-distance enriched only, 19 were breakpoint enriched only and 46 were enriched on both axes (Fig. 10). The sequence signal persisted when pairs were restricted to minimum N50 ≥ 10 kb (median ANI-distance AUC 0.575) and ≥100 kb (0.635), whereas the breakpoint signal remained null in both strata. These results support greater ANI-derived sequence divergence among cross-site conspecifics, but not a consistent global excess of detectable structural rearrangement;</w:t>
      </w:r>
      <w:r>
        <w:t xml:space="preserve"> </w:t>
      </w:r>
      <w:r>
        <w:rPr>
          <w:rStyle w:val="VerbatimChar"/>
        </w:rPr>
        <w:t xml:space="preserve">100 − skani ANI</w:t>
      </w:r>
      <w:r>
        <w:t xml:space="preserve"> </w:t>
      </w:r>
      <w:r>
        <w:t xml:space="preserve">is an ANI-derived distance, not a counted base-level SNP distance. Because the recent-strain subset (ANI ≥ 99.9%) contained only 49 eligible oral-airway pairs, it does not support species-level migration claims or directional inference.</w:t>
      </w:r>
    </w:p>
    <w:bookmarkEnd w:id="25"/>
    <w:bookmarkStart w:id="26" w:name="X6164545028644527324244bd88ff63b98d823de"/>
    <w:p>
      <w:pPr>
        <w:pStyle w:val="Heading3"/>
      </w:pPr>
      <w:r>
        <w:t xml:space="preserve">GTDB extends the census to hundreds of millions of pairs</w:t>
      </w:r>
    </w:p>
    <w:p>
      <w:pPr>
        <w:pStyle w:val="FirstParagraph"/>
      </w:pPr>
      <w:r>
        <w:t xml:space="preserve">To test scale without restricting the analysis to representative genomes, we applied the same anchor-derived hybrid census to 261,737 effective GTDB-R207 genomes in 22,535 species clusters: structural calls came from the companion Syn2b structural channel and were joined to a separate skani ANI layer. Structural calls covered 651,961,758 of 653,584,719 planned unique pairs (99.75%); the shortfall was confined to</w:t>
      </w:r>
      <w:r>
        <w:t xml:space="preserve"> </w:t>
      </w:r>
      <w:r>
        <w:rPr>
          <w:i/>
          <w:iCs/>
        </w:rPr>
        <w:t xml:space="preserve">Escherichia coli</w:t>
      </w:r>
      <w:r>
        <w:t xml:space="preserve"> </w:t>
      </w:r>
      <w:r>
        <w:t xml:space="preserve">(99.52% of 338,793,465 planned pairs). After merging the ANI layer, 653,522,280 pairs (99.99% of the effective scope) had valid canonical skani ANI values, with no duplicate, self or cross-species pairs. The resulting joint table contained 21,973 usable species clusters: 21,968 had complete structural and ANI coverage, four lacked only structural calls and one lacked both layers. Among the 1,311 species with at least 100 expected pairs, the median fraction of pairs carrying at least two breakpoints was 61.3%. This fraction remained high at ANI 95–99% (median 61.3% for 1,309 species) but decreased with very close sequence identity (38.5% for 391 species at ANI ≥ 99%; 9.5% for 53 species at ANI ≥ 99.9%), reproducing at catalog scale the decoupling between sequence divergence and genome architecture (Fig. 11).</w:t>
      </w:r>
    </w:p>
    <w:p>
      <w:pPr>
        <w:pStyle w:val="BodyText"/>
      </w:pPr>
      <w:r>
        <w:t xml:space="preserve">Quality stratification showed that the census-wide structural result was not driven by low-quality assemblies. Restricting pairs to CheckM completeness ≥ 90% and contamination ≤ 5% retained 645,271,663 pairs and gave breakpoint-positive fractions of 77.90% of reported pairs and 86.69% of breakpoint-informative pairs, versus 77.93% and 86.66% for all reported pairs. Requiring both genomes to have N50 ≥ 10 kb gave 78.02% and 86.78%, whereas the complete-HQ/N50 stratum gave 77.98% and 86.78%. The N50 ≥100 kb stratum was more conservative (75.05% and 86.00%), showing residual contiguity sensitivity. Of the reported pairs, 10.08% lacked a numeric breakpoint; both denominators are therefore shown in Fig. 11b. These analyses support GTDB as the scalability layer of the census rather than as a source of unsupported hypermutator labels, and the</w:t>
      </w:r>
      <w:r>
        <w:t xml:space="preserve"> </w:t>
      </w:r>
      <w:r>
        <w:rPr>
          <w:i/>
          <w:iCs/>
        </w:rPr>
        <w:t xml:space="preserve">E. coli</w:t>
      </w:r>
      <w:r>
        <w:t xml:space="preserve"> </w:t>
      </w:r>
      <w:r>
        <w:t xml:space="preserve">residual shortfall remains explicit rather than imputed.</w:t>
      </w:r>
    </w:p>
    <w:p>
      <w:r>
        <w:pict>
          <v:rect style="width:0;height:1.5pt" o:hralign="center" o:hrstd="t" o:hr="t"/>
        </w:pict>
      </w:r>
    </w:p>
    <w:bookmarkEnd w:id="26"/>
    <w:bookmarkEnd w:id="27"/>
    <w:bookmarkStart w:id="28" w:name="discussion"/>
    <w:p>
      <w:pPr>
        <w:pStyle w:val="Heading2"/>
      </w:pPr>
      <w:r>
        <w:t xml:space="preserve">Discussion</w:t>
      </w:r>
    </w:p>
    <w:p>
      <w:pPr>
        <w:pStyle w:val="FirstParagraph"/>
      </w:pPr>
      <w:r>
        <w:t xml:space="preserve">Syn2bANI demonstrates that fixed restriction-site anchors can support accurate, interpretable ANI estimation while additionally providing synteny and structural information in the same computational pass. The chain-restricted likelihood cleanly separates divergence from shared content, and the calibration layer corrects the rate-heterogeneity bias that simulations alone fail to predict. Three boundaries are worth stating. First, skani remains faster for very large all-vs-all screens and is more accurate in the near-clonal 97–100% regime; the hybrid rule lets Syn2bANI recover the best raw estimate there. Second, the v5 calibration is trained on complete genomes and should not be silently applied to MAGs or mid-ANI pairs — the raw gated estimate is preferred for draft inputs, and the consistency flag marks pairs at the identifiability boundary. Third, the structural outputs are a direct consequence of using coordinate-carrying anchors: in an era of strain-resolved metagenomics, ANI alone is insufficient to decide whether two genomes are truly equivalent — though the size of that insufficiency is collection-specific, from a median of 7 breakpoints between near-clonal</w:t>
      </w:r>
      <w:r>
        <w:t xml:space="preserve"> </w:t>
      </w:r>
      <w:r>
        <w:rPr>
          <w:i/>
          <w:iCs/>
        </w:rPr>
        <w:t xml:space="preserve">E. coli</w:t>
      </w:r>
      <w:r>
        <w:t xml:space="preserve"> </w:t>
      </w:r>
      <w:r>
        <w:t xml:space="preserve">O157:H7 genomes to 98% of FDA-ARGOS</w:t>
      </w:r>
      <w:r>
        <w:t xml:space="preserve"> </w:t>
      </w:r>
      <w:r>
        <w:rPr>
          <w:i/>
          <w:iCs/>
        </w:rPr>
        <w:t xml:space="preserve">E. coli</w:t>
      </w:r>
      <w:r>
        <w:t xml:space="preserve"> </w:t>
      </w:r>
      <w:r>
        <w:t xml:space="preserve">pairs at ANI ≥ 99.9 carrying a genuine structural difference, to none at all across most of a 67-assembly</w:t>
      </w:r>
      <w:r>
        <w:t xml:space="preserve"> </w:t>
      </w:r>
      <w:r>
        <w:rPr>
          <w:i/>
          <w:iCs/>
        </w:rPr>
        <w:t xml:space="preserve">S. aureus</w:t>
      </w:r>
      <w:r>
        <w:t xml:space="preserve"> </w:t>
      </w:r>
      <w:r>
        <w:t xml:space="preserve">collection. Syn2bANI reports count-based descriptors (</w:t>
      </w:r>
      <w:r>
        <w:rPr>
          <w:rStyle w:val="VerbatimChar"/>
        </w:rPr>
        <w:t xml:space="preserve">breakpoint_count</w:t>
      </w:r>
      <w:r>
        <w:t xml:space="preserve">, SV calls); the companion Syn2b tool adds a fragmentation-invariant length-weighted orientation ratio (</w:t>
      </w:r>
      <w:r>
        <w:rPr>
          <w:rStyle w:val="VerbatimChar"/>
        </w:rPr>
        <w:t xml:space="preserve">raw_inverted_fraction</w:t>
      </w:r>
      <w:r>
        <w:t xml:space="preserve">) from the same anchors. These are complementary: counts localize events and, in the released statistic, are no longer inflated by fragmentation, but a fragmented assembly costs them sensitivity, because a rearrangement whose flanks fall on different contigs leaves the reference with nothing to contradict; ratios are robust to fragmentation but do not report event number. The history of this count is itself a caution: three successive definitions of</w:t>
      </w:r>
      <w:r>
        <w:t xml:space="preserve"> </w:t>
      </w:r>
      <w:r>
        <w:rPr>
          <w:rStyle w:val="VerbatimChar"/>
        </w:rPr>
        <w:t xml:space="preserve">breakpoint_count</w:t>
      </w:r>
      <w:r>
        <w:t xml:space="preserve"> </w:t>
      </w:r>
      <w:r>
        <w:t xml:space="preserve">each reported hundreds of breakpoints for a genome compared with itself, and each was only obvious once a self-comparison, a rotation and a re-fragmentation of the same assembly were made routine controls. Any count-based structural statistic should be published with those three controls attached. For circular chromosomes, genome-spanning calls must be filtered as likely coordinate-system artifacts before biological interpretation. Unlike dedicated structural tools such as minigraph-Cactus19, SyRI20, or Mauve21, Syn2bANI does not aim to reconstruct full genome graphs or base-level alignments; instead it reports breakpoint counts, inversion/translocation calls, and a chain-coverage score directly from the anchor chains used for ANI estimation, at no additional modeling cost.</w:t>
      </w:r>
    </w:p>
    <w:p>
      <w:r>
        <w:pict>
          <v:rect style="width:0;height:1.5pt" o:hralign="center" o:hrstd="t" o:hr="t"/>
        </w:pict>
      </w:r>
    </w:p>
    <w:bookmarkEnd w:id="28"/>
    <w:bookmarkStart w:id="41" w:name="online-methods"/>
    <w:p>
      <w:pPr>
        <w:pStyle w:val="Heading2"/>
      </w:pPr>
      <w:r>
        <w:t xml:space="preserve">Online Methods</w:t>
      </w:r>
    </w:p>
    <w:bookmarkStart w:id="29" w:name="X585a6a8b67378bd6645996598d95979c15b1236"/>
    <w:p>
      <w:pPr>
        <w:pStyle w:val="Heading3"/>
      </w:pPr>
      <w:r>
        <w:t xml:space="preserve">In-silico digestion and IUPAC-aware tag geometry</w:t>
      </w:r>
    </w:p>
    <w:p>
      <w:pPr>
        <w:pStyle w:val="FirstParagraph"/>
      </w:pPr>
      <w:r>
        <w:t xml:space="preserve">Each genome is digested in silico with every enzyme in the panel (default BcgI, AlfI, AloI, FalI; all 16 Type IIB enzymes of the 2bRAD-M panel are supported8,30). Recognition patterns are decomposed into fixed anchor bases and IUPAC degenerate positions; matching uses precomputed 4-bit base masks so each degenerate check is one load and one bitwise AND. The digestion enforces the</w:t>
      </w:r>
      <w:r>
        <w:t xml:space="preserve"> </w:t>
      </w:r>
      <w:r>
        <w:rPr>
          <w:i/>
          <w:iCs/>
        </w:rPr>
        <w:t xml:space="preserve">complete</w:t>
      </w:r>
      <w:r>
        <w:t xml:space="preserve"> </w:t>
      </w:r>
      <w:r>
        <w:t xml:space="preserve">biological site on both strands — during validation it was observed that the patterns for HaeIV, Hin4I, and BaeI had silently dropped the trailing fixed anchor bases of the degenerate-containing right anchor (~16× excess tag density for HaeIV), and this was fixed alongside the likelihood geometry. Tags longer than 32 bp (CspCI, 33 bp) exceed the 2-bit packing width and are refused with a warning rather than silently mismatched — a policy instituted after a truncation asymmetry was found to destroy 91% of reverse-strand anchors for such enzymes.</w:t>
      </w:r>
    </w:p>
    <w:p>
      <w:pPr>
        <w:pStyle w:val="BodyText"/>
      </w:pPr>
      <w:r>
        <w:t xml:space="preserve">The default four-enzyme panel was chosen from the 16-member 2bRAD-M catalog by a greedy search that maximized GTDB-R207 ANIm calibration accuracy while keeping tag density and runtime low. Among single-enzyme candidates, BcgI gave the best individual accuracy; adding AlfI, AloI, and FalI in turn reduced per-band MAE by improving genomic coverage and balancing recognition-site GC composition. Panels beyond four enzymes gave diminishing returns (&lt;0.05 MAE improvement) and increased runtime, so the four-enzyme set is shipped as the default. All 16 enzymes remain selectable via the</w:t>
      </w:r>
      <w:r>
        <w:t xml:space="preserve"> </w:t>
      </w:r>
      <w:r>
        <w:rPr>
          <w:rStyle w:val="VerbatimChar"/>
        </w:rPr>
        <w:t xml:space="preserve">--enzymes</w:t>
      </w:r>
      <w:r>
        <w:t xml:space="preserve"> </w:t>
      </w:r>
      <w:r>
        <w:t xml:space="preserve">flag.</w:t>
      </w:r>
    </w:p>
    <w:p>
      <w:pPr>
        <w:pStyle w:val="BodyText"/>
      </w:pPr>
      <w:r>
        <w:t xml:space="preserve">For the likelihood, each enzyme carries a site geometry</w:t>
      </w:r>
      <w:r>
        <w:t xml:space="preserve"> </w:t>
      </w:r>
      <w:r>
        <w:rPr>
          <w:rStyle w:val="VerbatimChar"/>
        </w:rPr>
        <w:t xml:space="preserve">{tag_len, exact_site, d2, d3}</w:t>
      </w:r>
      <w:r>
        <w:t xml:space="preserve"> </w:t>
      </w:r>
      <w:r>
        <w:t xml:space="preserve">parsed from its IUPAC anchor string:</w:t>
      </w:r>
      <w:r>
        <w:t xml:space="preserve"> </w:t>
      </w:r>
      <w:r>
        <w:rPr>
          <w:rStyle w:val="VerbatimChar"/>
        </w:rPr>
        <w:t xml:space="preserve">exact_site</w:t>
      </w:r>
      <w:r>
        <w:t xml:space="preserve"> </w:t>
      </w:r>
      <w:r>
        <w:t xml:space="preserve">fully specified positions (a mutation deletes the tag),</w:t>
      </w:r>
      <w:r>
        <w:t xml:space="preserve"> </w:t>
      </w:r>
      <w:r>
        <w:rPr>
          <w:rStyle w:val="VerbatimChar"/>
        </w:rPr>
        <w:t xml:space="preserve">d2</w:t>
      </w:r>
      <w:r>
        <w:t xml:space="preserve"> </w:t>
      </w:r>
      <w:r>
        <w:t xml:space="preserve">two-of-four degenerate positions (survive a mutation with probability a + (1−a)/3),</w:t>
      </w:r>
      <w:r>
        <w:t xml:space="preserve"> </w:t>
      </w:r>
      <w:r>
        <w:rPr>
          <w:rStyle w:val="VerbatimChar"/>
        </w:rPr>
        <w:t xml:space="preserve">d3</w:t>
      </w:r>
      <w:r>
        <w:t xml:space="preserve"> </w:t>
      </w:r>
      <w:r>
        <w:t xml:space="preserve">three-of-four positions. The homogeneous likelihood uses the exact convolution over degenerate classes; the heterogeneous likelihood uses a negative binomial with effective body b + d2/3 + 2·d3/3 plus a closed-form survival factor. With the fully specific default panel (d2 = d3 = 0) both paths are bit-identical to the pre-fix code. Tags are stored strand-canonically (the lexicographically smaller of a tag and its reverse complement), so contig orientation is immaterial; reverse-complement self-controls on real drafts return 99.9999.</w:t>
      </w:r>
    </w:p>
    <w:bookmarkEnd w:id="29"/>
    <w:bookmarkStart w:id="30" w:name="Xd100f60785764278c40c45b7debf06888935c47"/>
    <w:p>
      <w:pPr>
        <w:pStyle w:val="Heading3"/>
      </w:pPr>
      <w:r>
        <w:t xml:space="preserve">Anchoring, chaining, and the adaptive chain-break test</w:t>
      </w:r>
    </w:p>
    <w:p>
      <w:pPr>
        <w:pStyle w:val="FirstParagraph"/>
      </w:pPr>
      <w:r>
        <w:t xml:space="preserve">Reference tags are indexed by packed sequence; sequences occurring more than</w:t>
      </w:r>
      <w:r>
        <w:t xml:space="preserve"> </w:t>
      </w:r>
      <w:r>
        <w:rPr>
          <w:rStyle w:val="VerbatimChar"/>
        </w:rPr>
        <w:t xml:space="preserve">max_occurrence</w:t>
      </w:r>
      <w:r>
        <w:t xml:space="preserve"> </w:t>
      </w:r>
      <w:r>
        <w:t xml:space="preserve">(default 5) times in either genome are dropped as repeats/paralogs. Tolerant seeding (mismatch budget</w:t>
      </w:r>
      <w:r>
        <w:t xml:space="preserve"> </w:t>
      </w:r>
      <w:r>
        <w:rPr>
          <w:rStyle w:val="VerbatimChar"/>
        </w:rPr>
        <w:t xml:space="preserve">tol</w:t>
      </w:r>
      <w:r>
        <w:t xml:space="preserve"> </w:t>
      </w:r>
      <w:r>
        <w:t xml:space="preserve">= 2 by default) uses the pigeonhole principle: each tag is split into</w:t>
      </w:r>
      <w:r>
        <w:t xml:space="preserve"> </w:t>
      </w:r>
      <w:r>
        <w:rPr>
          <w:rStyle w:val="VerbatimChar"/>
        </w:rPr>
        <w:t xml:space="preserve">tol + 1</w:t>
      </w:r>
      <w:r>
        <w:t xml:space="preserve"> </w:t>
      </w:r>
      <w:r>
        <w:t xml:space="preserve">parts and any pair within</w:t>
      </w:r>
      <w:r>
        <w:t xml:space="preserve"> </w:t>
      </w:r>
      <w:r>
        <w:rPr>
          <w:rStyle w:val="VerbatimChar"/>
        </w:rPr>
        <w:t xml:space="preserve">tol</w:t>
      </w:r>
      <w:r>
        <w:t xml:space="preserve"> </w:t>
      </w:r>
      <w:r>
        <w:t xml:space="preserve">mismatches shares at least one part exactly, so seed recovery needs no whole-genome scan. The 2-mismatch budget is what keeps the method alive below ~93% ANI — at 90% ANI a 32 bp tag matches exactly only 3.4% of the time.</w:t>
      </w:r>
    </w:p>
    <w:p>
      <w:pPr>
        <w:pStyle w:val="BodyText"/>
      </w:pPr>
      <w:r>
        <w:t xml:space="preserve">Anchors are grouped by (query contig, reference contig, orientation) — never across contigs, since an inter-contig</w:t>
      </w:r>
      <w:r>
        <w:t xml:space="preserve"> </w:t>
      </w:r>
      <w:r>
        <w:t xml:space="preserve">“gap”</w:t>
      </w:r>
      <w:r>
        <w:t xml:space="preserve"> </w:t>
      </w:r>
      <w:r>
        <w:t xml:space="preserve">joins unlinked sequences — and chained by gap-penalized collinear DP with a bounded predecessor window. The chain-break test counts</w:t>
      </w:r>
      <w:r>
        <w:t xml:space="preserve"> </w:t>
      </w:r>
      <w:r>
        <w:rPr>
          <w:i/>
          <w:iCs/>
        </w:rPr>
        <w:t xml:space="preserve">skipped query tag positions</w:t>
      </w:r>
      <w:r>
        <w:t xml:space="preserve">, not base pairs, because a fixed bp threshold provably cannot work across the ANI range: at 95% ANI a tag anchors with probability ~0.79 (nine consecutive failures are already implausible, ~6 kb), while at 85% the probability is ~0.12 (a hundred consecutive failures are ordinary, ~78 kb). Measured on exact-truth sweeps, a permissive 50 kb bp-limit lets chains bridge accessory blocks (ANI biased down 0.74 points, AF inflated), while a strict 10 kb limit fragments chains and drops poorly anchored regions (ANI biased up to +3.07 at 85% ANI). Counting skipped tag positions is scale-free and separates the two events a bp limit conflates: a deletion removes reference tags while surviving query tags stay adjacent (zero skipped positions, no break), whereas a length-preserving non-homologous replacement skips every query position inside it (break). The threshold is j* = ln(α)/ln(1−p) with α = 1e−6, floored at 5 because repeat-masked tags and panel coverage gaps occupy tag positions without being anchors. Pass 1 chains permissively and fits a provisional divergence; pass 2 re-chains at j* and re-fits. Inside each chain, query→reference coordinates are interpolated from the chain’s own anchors and tolerant matching is attempted only within</w:t>
      </w:r>
      <w:r>
        <w:t xml:space="preserve"> </w:t>
      </w:r>
      <w:r>
        <w:rPr>
          <w:rStyle w:val="VerbatimChar"/>
        </w:rPr>
        <w:t xml:space="preserve">local_window</w:t>
      </w:r>
      <w:r>
        <w:t xml:space="preserve"> </w:t>
      </w:r>
      <w:r>
        <w:t xml:space="preserve">bp of the predicted position — seed-and-extend, which cannot invent matches between positionally unrelated tags. Chains are processed largest-first and each query tag is counted at most once.</w:t>
      </w:r>
    </w:p>
    <w:bookmarkEnd w:id="30"/>
    <w:bookmarkStart w:id="31" w:name="Xc84f212d8323a8f017575d3d7a92fc22fb23227"/>
    <w:p>
      <w:pPr>
        <w:pStyle w:val="Heading3"/>
      </w:pPr>
      <w:r>
        <w:t xml:space="preserve">Chain-restricted stratified MLE, gating, and flags</w:t>
      </w:r>
    </w:p>
    <w:p>
      <w:pPr>
        <w:pStyle w:val="FirstParagraph"/>
      </w:pPr>
      <w:r>
        <w:t xml:space="preserve">The estimator is a chain-restricted maximum-likelihood fit to per-enzyme tag</w:t>
      </w:r>
      <w:r>
        <w:t xml:space="preserve"> </w:t>
      </w:r>
      <w:r>
        <w:t xml:space="preserve">outcomes. For each stratum, tags inside chains are classified as found with 0,</w:t>
      </w:r>
      <w:r>
        <w:t xml:space="preserve"> </w:t>
      </w:r>
      <w:r>
        <w:t xml:space="preserve">1, or 2 body mismatches, or missing; the per-base identity</w:t>
      </w:r>
      <w:r>
        <w:t xml:space="preserve"> </w:t>
      </w:r>
      <w:r>
        <w:rPr>
          <w:rStyle w:val="VerbatimChar"/>
        </w:rPr>
        <w:t xml:space="preserve">a</w:t>
      </w:r>
      <w:r>
        <w:t xml:space="preserve"> </w:t>
      </w:r>
      <w:r>
        <w:t xml:space="preserve">is found by</w:t>
      </w:r>
      <w:r>
        <w:t xml:space="preserve"> </w:t>
      </w:r>
      <w:r>
        <w:t xml:space="preserve">golden-section search on a likelihood that respects the recognition-site</w:t>
      </w:r>
      <w:r>
        <w:t xml:space="preserve"> </w:t>
      </w:r>
      <w:r>
        <w:t xml:space="preserve">geometry (a site mutation deletes the tag, so only body mismatches are</w:t>
      </w:r>
      <w:r>
        <w:t xml:space="preserve"> </w:t>
      </w:r>
      <w:r>
        <w:t xml:space="preserve">observable). A gamma rate-heterogeneity extension is available but is</w:t>
      </w:r>
      <w:r>
        <w:t xml:space="preserve"> </w:t>
      </w:r>
      <w:r>
        <w:rPr>
          <w:b/>
          <w:bCs/>
        </w:rPr>
        <w:t xml:space="preserve">gated</w:t>
      </w:r>
      <w:r>
        <w:t xml:space="preserve"> </w:t>
      </w:r>
      <w:r>
        <w:t xml:space="preserve">by an effect-size test on the two partial estimators (</w:t>
      </w:r>
      <w:r>
        <w:rPr>
          <w:rStyle w:val="VerbatimChar"/>
        </w:rPr>
        <w:t xml:space="preserve">ani_from_loss</w:t>
      </w:r>
      <w:r>
        <w:t xml:space="preserve"> </w:t>
      </w:r>
      <w:r>
        <w:t xml:space="preserve">from the</w:t>
      </w:r>
      <w:r>
        <w:t xml:space="preserve"> </w:t>
      </w:r>
      <w:r>
        <w:t xml:space="preserve">miss channel and</w:t>
      </w:r>
      <w:r>
        <w:t xml:space="preserve"> </w:t>
      </w:r>
      <w:r>
        <w:rPr>
          <w:rStyle w:val="VerbatimChar"/>
        </w:rPr>
        <w:t xml:space="preserve">ani_from_hist</w:t>
      </w:r>
      <w:r>
        <w:t xml:space="preserve"> </w:t>
      </w:r>
      <w:r>
        <w:t xml:space="preserve">from the mismatch histogram): when they diverge</w:t>
      </w:r>
      <w:r>
        <w:t xml:space="preserve"> </w:t>
      </w:r>
      <w:r>
        <w:t xml:space="preserve">by more than 5 ANI points the method reports the homogeneous fit, otherwise the</w:t>
      </w:r>
      <w:r>
        <w:t xml:space="preserve"> </w:t>
      </w:r>
      <w:r>
        <w:t xml:space="preserve">gamma fit. The threshold was chosen at the flat optimum of a sweep on the</w:t>
      </w:r>
      <w:r>
        <w:t xml:space="preserve"> </w:t>
      </w:r>
      <w:r>
        <w:t xml:space="preserve">GTDB-ANIm training matrix. The hierarchical</w:t>
      </w:r>
      <w:r>
        <w:t xml:space="preserve"> </w:t>
      </w:r>
      <w:r>
        <w:rPr>
          <w:rStyle w:val="VerbatimChar"/>
        </w:rPr>
        <w:t xml:space="preserve">flag</w:t>
      </w:r>
      <w:r>
        <w:t xml:space="preserve"> </w:t>
      </w:r>
      <w:r>
        <w:t xml:space="preserve">column reports</w:t>
      </w:r>
      <w:r>
        <w:t xml:space="preserve"> </w:t>
      </w:r>
      <w:r>
        <w:rPr>
          <w:rStyle w:val="VerbatimChar"/>
        </w:rPr>
        <w:t xml:space="preserve">BELOW_DETECTION</w:t>
      </w:r>
      <w:r>
        <w:t xml:space="preserve"> </w:t>
      </w:r>
      <w:r>
        <w:t xml:space="preserve">(expected retention &lt; 0.20),</w:t>
      </w:r>
      <w:r>
        <w:t xml:space="preserve"> </w:t>
      </w:r>
      <w:r>
        <w:rPr>
          <w:rStyle w:val="VerbatimChar"/>
        </w:rPr>
        <w:t xml:space="preserve">INCONSISTENT</w:t>
      </w:r>
      <w:r>
        <w:t xml:space="preserve"> </w:t>
      </w:r>
      <w:r>
        <w:t xml:space="preserve">(gate fallback or</w:t>
      </w:r>
      <w:r>
        <w:t xml:space="preserve"> </w:t>
      </w:r>
      <w:r>
        <w:t xml:space="preserve">&gt; 0.5 breakpoints per anchor), or</w:t>
      </w:r>
      <w:r>
        <w:t xml:space="preserve"> </w:t>
      </w:r>
      <w:r>
        <w:rPr>
          <w:rStyle w:val="VerbatimChar"/>
        </w:rPr>
        <w:t xml:space="preserve">ok</w:t>
      </w:r>
      <w:r>
        <w:t xml:space="preserve">. Full formulas, the negative-binomial</w:t>
      </w:r>
      <w:r>
        <w:t xml:space="preserve"> </w:t>
      </w:r>
      <w:r>
        <w:t xml:space="preserve">derivation, and the gating/flag rationale are given in Supplementary Note 4.</w:t>
      </w:r>
    </w:p>
    <w:bookmarkEnd w:id="31"/>
    <w:bookmarkStart w:id="32" w:name="short-contig-rescue-pass"/>
    <w:p>
      <w:pPr>
        <w:pStyle w:val="Heading3"/>
      </w:pPr>
      <w:r>
        <w:t xml:space="preserve">Short-contig rescue pass</w:t>
      </w:r>
    </w:p>
    <w:p>
      <w:pPr>
        <w:pStyle w:val="FirstParagraph"/>
      </w:pPr>
      <w:r>
        <w:t xml:space="preserve">A query contig with &lt; 8 ×</w:t>
      </w:r>
      <w:r>
        <w:t xml:space="preserve"> </w:t>
      </w:r>
      <w:r>
        <w:rPr>
          <w:rStyle w:val="VerbatimChar"/>
        </w:rPr>
        <w:t xml:space="preserve">min_chain_anchors</w:t>
      </w:r>
      <w:r>
        <w:t xml:space="preserve"> </w:t>
      </w:r>
      <w:r>
        <w:t xml:space="preserve">in-panel tags (~25 kb with the default panel) and no accepted chain is folded into the likelihood without chaining if it carries a collinear group of ≥ 2 unique anchors (unique = occurring once in each genome; at least one anchor with ≤ 1 mismatch, since a solely-2-mismatch basis can be a paralog; ties break on total mismatch count). Counting replicates exactly what pass-2 chaining would count on the intact genome: tags between the outer basis anchors are counted (hits to the histogram, no match to the miss count), and a tail tag beyond an outer anchor is counted only while a bracketing anchor from any contig follows within (</w:t>
      </w:r>
      <w:r>
        <w:rPr>
          <w:rStyle w:val="VerbatimChar"/>
        </w:rPr>
        <w:t xml:space="preserve">max_skip</w:t>
      </w:r>
      <w:r>
        <w:t xml:space="preserve"> </w:t>
      </w:r>
      <w:r>
        <w:t xml:space="preserve">+ 1) × mean tag spacing along the reference. Rescued contigs contribute AF spans with the same half-median-gap extension rule as chains but create no chains, so synteny and SV outputs are untouched. The pass is gated on contig tag count, so complete and high-N50 assemblies take a bit-identical path. The residual +0.20 drift at N50 5 kb comes from contigs with 0–1 placeable anchors (~1.3 Mb on the Sakai ladder), which carry no positional evidence; rescuing them would require guessing homology.</w:t>
      </w:r>
    </w:p>
    <w:bookmarkEnd w:id="32"/>
    <w:bookmarkStart w:id="33" w:name="database-scale-screen"/>
    <w:p>
      <w:pPr>
        <w:pStyle w:val="Heading3"/>
      </w:pPr>
      <w:r>
        <w:t xml:space="preserve">Database-scale screen</w:t>
      </w:r>
    </w:p>
    <w:p>
      <w:pPr>
        <w:pStyle w:val="FirstParagraph"/>
      </w:pPr>
      <w:r>
        <w:t xml:space="preserve">Batch subcommands (</w:t>
      </w:r>
      <w:r>
        <w:rPr>
          <w:rStyle w:val="VerbatimChar"/>
        </w:rPr>
        <w:t xml:space="preserve">dist</w:t>
      </w:r>
      <w:r>
        <w:t xml:space="preserve">,</w:t>
      </w:r>
      <w:r>
        <w:t xml:space="preserve"> </w:t>
      </w:r>
      <w:r>
        <w:rPr>
          <w:rStyle w:val="VerbatimChar"/>
        </w:rPr>
        <w:t xml:space="preserve">search</w:t>
      </w:r>
      <w:r>
        <w:t xml:space="preserve">,</w:t>
      </w:r>
      <w:r>
        <w:t xml:space="preserve"> </w:t>
      </w:r>
      <w:r>
        <w:rPr>
          <w:rStyle w:val="VerbatimChar"/>
        </w:rPr>
        <w:t xml:space="preserve">triangle</w:t>
      </w:r>
      <w:r>
        <w:t xml:space="preserve">,</w:t>
      </w:r>
      <w:r>
        <w:t xml:space="preserve"> </w:t>
      </w:r>
      <w:r>
        <w:rPr>
          <w:rStyle w:val="VerbatimChar"/>
        </w:rPr>
        <w:t xml:space="preserve">db search</w:t>
      </w:r>
      <w:r>
        <w:t xml:space="preserve">) run a two-stage pipeline. Stage 1 reduces each tag to one strand-canonical key — its centered 18 bp packed window — per enzyme; a pair passes iff shared keys ≥ 3 AND shared/min(smaller key set) ≥ 0.001. At 18 bp, generic background homology (shared genes at 65–75% identity) no longer saturates key containment, and the gate was calibrated on GTDB-R207 to false-reject 0/500 validated ≥ 80% ANI pairs while rejecting ~83% of random pairs (measured false-reject rate on estimator-reportable pairs at n = 2,000: 1/844). In the FRR-critical 80–85% band the weakest validated true pair clears the floors by 10×/6×. Stage 2 refines survivors with the identical</w:t>
      </w:r>
      <w:r>
        <w:t xml:space="preserve"> </w:t>
      </w:r>
      <w:r>
        <w:rPr>
          <w:rStyle w:val="VerbatimChar"/>
        </w:rPr>
        <w:t xml:space="preserve">chain_ani</w:t>
      </w:r>
      <w:r>
        <w:t xml:space="preserve"> </w:t>
      </w:r>
      <w:r>
        <w:t xml:space="preserve">code path and row formatter as the pairwise</w:t>
      </w:r>
      <w:r>
        <w:t xml:space="preserve"> </w:t>
      </w:r>
      <w:r>
        <w:rPr>
          <w:rStyle w:val="VerbatimChar"/>
        </w:rPr>
        <w:t xml:space="preserve">ani</w:t>
      </w:r>
      <w:r>
        <w:t xml:space="preserve"> </w:t>
      </w:r>
      <w:r>
        <w:t xml:space="preserve">command, so database output is byte-identical to pairwise output on the same pairs. Screen thresholds are panel-specific and exposed as flags.</w:t>
      </w:r>
    </w:p>
    <w:bookmarkEnd w:id="33"/>
    <w:bookmarkStart w:id="34" w:name="ridge-calibration-protocol"/>
    <w:p>
      <w:pPr>
        <w:pStyle w:val="Heading3"/>
      </w:pPr>
      <w:r>
        <w:t xml:space="preserve">Ridge calibration protocol</w:t>
      </w:r>
    </w:p>
    <w:p>
      <w:pPr>
        <w:pStyle w:val="FirstParagraph"/>
      </w:pPr>
      <w:r>
        <w:t xml:space="preserve">Both calibration models are ridge regressions on nine Syn2bANI-internal features</w:t>
      </w:r>
      <w:r>
        <w:t xml:space="preserve"> </w:t>
      </w:r>
      <w:r>
        <w:t xml:space="preserve">(</w:t>
      </w:r>
      <w:r>
        <w:rPr>
          <w:rStyle w:val="VerbatimChar"/>
        </w:rPr>
        <w:t xml:space="preserve">ani_gated</w:t>
      </w:r>
      <w:r>
        <w:t xml:space="preserve">,</w:t>
      </w:r>
      <w:r>
        <w:t xml:space="preserve"> </w:t>
      </w:r>
      <w:r>
        <w:rPr>
          <w:rStyle w:val="VerbatimChar"/>
        </w:rPr>
        <w:t xml:space="preserve">ani_uniform</w:t>
      </w:r>
      <w:r>
        <w:t xml:space="preserve">,</w:t>
      </w:r>
      <w:r>
        <w:t xml:space="preserve"> </w:t>
      </w:r>
      <w:r>
        <w:rPr>
          <w:rStyle w:val="VerbatimChar"/>
        </w:rPr>
        <w:t xml:space="preserve">af_query</w:t>
      </w:r>
      <w:r>
        <w:t xml:space="preserve">,</w:t>
      </w:r>
      <w:r>
        <w:t xml:space="preserve"> </w:t>
      </w:r>
      <w:r>
        <w:rPr>
          <w:rStyle w:val="VerbatimChar"/>
        </w:rPr>
        <w:t xml:space="preserve">af_reference</w:t>
      </w:r>
      <w:r>
        <w:t xml:space="preserve">,</w:t>
      </w:r>
      <w:r>
        <w:t xml:space="preserve"> </w:t>
      </w:r>
      <w:r>
        <w:rPr>
          <w:rStyle w:val="VerbatimChar"/>
        </w:rPr>
        <w:t xml:space="preserve">std_err</w:t>
      </w:r>
      <w:r>
        <w:t xml:space="preserve">,</w:t>
      </w:r>
      <w:r>
        <w:t xml:space="preserve"> </w:t>
      </w:r>
      <w:r>
        <w:rPr>
          <w:rStyle w:val="VerbatimChar"/>
        </w:rPr>
        <w:t xml:space="preserve">retention</w:t>
      </w:r>
      <w:r>
        <w:t xml:space="preserve">,</w:t>
      </w:r>
      <w:r>
        <w:t xml:space="preserve"> </w:t>
      </w:r>
      <w:r>
        <w:rPr>
          <w:rStyle w:val="VerbatimChar"/>
        </w:rPr>
        <w:t xml:space="preserve">n_anchors</w:t>
      </w:r>
      <w:r>
        <w:t xml:space="preserve">,</w:t>
      </w:r>
      <w:r>
        <w:t xml:space="preserve"> </w:t>
      </w:r>
      <w:r>
        <w:rPr>
          <w:rStyle w:val="VerbatimChar"/>
        </w:rPr>
        <w:t xml:space="preserve">n_chains</w:t>
      </w:r>
      <w:r>
        <w:t xml:space="preserve">,</w:t>
      </w:r>
      <w:r>
        <w:t xml:space="preserve"> </w:t>
      </w:r>
      <w:r>
        <w:rPr>
          <w:rStyle w:val="VerbatimChar"/>
        </w:rPr>
        <w:t xml:space="preserve">n_tags_in_chains</w:t>
      </w:r>
      <w:r>
        <w:t xml:space="preserve">), with median imputation and</w:t>
      </w:r>
      <w:r>
        <w:t xml:space="preserve"> </w:t>
      </w:r>
      <w:r>
        <w:t xml:space="preserve">standardization. Regularization strength</w:t>
      </w:r>
      <w:r>
        <w:t xml:space="preserve"> </w:t>
      </w:r>
      <w:r>
        <w:rPr>
          <w:rStyle w:val="VerbatimChar"/>
        </w:rPr>
        <w:t xml:space="preserve">α = 10</w:t>
      </w:r>
      <w:r>
        <w:t xml:space="preserve"> </w:t>
      </w:r>
      <w:r>
        <w:t xml:space="preserve">is selected by inner</w:t>
      </w:r>
      <w:r>
        <w:t xml:space="preserve"> </w:t>
      </w:r>
      <w:r>
        <w:t xml:space="preserve">cross-validation (scikit-learn29). Deployed</w:t>
      </w:r>
      <w:r>
        <w:t xml:space="preserve"> </w:t>
      </w:r>
      <w:r>
        <w:rPr>
          <w:b/>
          <w:bCs/>
        </w:rPr>
        <w:t xml:space="preserve">v5</w:t>
      </w:r>
      <w:r>
        <w:t xml:space="preserve"> </w:t>
      </w:r>
      <w:r>
        <w:t xml:space="preserve">is trained on 2,520 ANIm-truth pairs</w:t>
      </w:r>
      <w:r>
        <w:t xml:space="preserve"> </w:t>
      </w:r>
      <w:r>
        <w:t xml:space="preserve">(80–99.5% ANIm) spanning 607 species and 26 phyla, with zero genome-level overlap</w:t>
      </w:r>
      <w:r>
        <w:t xml:space="preserve"> </w:t>
      </w:r>
      <w:r>
        <w:t xml:space="preserve">between the 2,074-pair stratified benchmark and the 467-pair 95–99.5% expansion.</w:t>
      </w:r>
      <w:r>
        <w:t xml:space="preserve"> </w:t>
      </w:r>
      <w:r>
        <w:t xml:space="preserve">Validation is</w:t>
      </w:r>
      <w:r>
        <w:t xml:space="preserve"> </w:t>
      </w:r>
      <w:r>
        <w:rPr>
          <w:b/>
          <w:bCs/>
        </w:rPr>
        <w:t xml:space="preserve">band-holdout</w:t>
      </w:r>
      <w:r>
        <w:t xml:space="preserve">: each ANI band (80–85, 85–90, 90–95, 95–99) is</w:t>
      </w:r>
      <w:r>
        <w:t xml:space="preserve"> </w:t>
      </w:r>
      <w:r>
        <w:t xml:space="preserve">predicted by a model trained on the other three only. Calibrated output is a</w:t>
      </w:r>
      <w:r>
        <w:t xml:space="preserve"> </w:t>
      </w:r>
      <w:r>
        <w:t xml:space="preserve">separate column (</w:t>
      </w:r>
      <w:r>
        <w:rPr>
          <w:rStyle w:val="VerbatimChar"/>
        </w:rPr>
        <w:t xml:space="preserve">--calibrate</w:t>
      </w:r>
      <w:r>
        <w:t xml:space="preserve">) and is omitted on</w:t>
      </w:r>
      <w:r>
        <w:t xml:space="preserve"> </w:t>
      </w:r>
      <w:r>
        <w:rPr>
          <w:rStyle w:val="VerbatimChar"/>
        </w:rPr>
        <w:t xml:space="preserve">BELOW_DETECTION</w:t>
      </w:r>
      <w:r>
        <w:t xml:space="preserve"> </w:t>
      </w:r>
      <w:r>
        <w:t xml:space="preserve">pairs rather</w:t>
      </w:r>
      <w:r>
        <w:t xml:space="preserve"> </w:t>
      </w:r>
      <w:r>
        <w:t xml:space="preserve">than extrapolated. Benchmark</w:t>
      </w:r>
      <w:r>
        <w:t xml:space="preserve"> </w:t>
      </w:r>
      <w:r>
        <w:rPr>
          <w:b/>
          <w:bCs/>
        </w:rPr>
        <w:t xml:space="preserve">v6</w:t>
      </w:r>
      <w:r>
        <w:t xml:space="preserve"> </w:t>
      </w:r>
      <w:r>
        <w:t xml:space="preserve">uses the same protocol and feature-selection</w:t>
      </w:r>
      <w:r>
        <w:t xml:space="preserve"> </w:t>
      </w:r>
      <w:r>
        <w:t xml:space="preserve">rule after adding 1,614 usable pairs from the high-ANI training split (2,520 +</w:t>
      </w:r>
      <w:r>
        <w:t xml:space="preserve"> </w:t>
      </w:r>
      <w:r>
        <w:t xml:space="preserve">1,614 = 4,134 training rows). High-ANI candidates excluded all v5-training and</w:t>
      </w:r>
      <w:r>
        <w:t xml:space="preserve"> </w:t>
      </w:r>
      <w:r>
        <w:t xml:space="preserve">43,334-holdout genomes bidirectionally; genome-level assignment dropped mixed</w:t>
      </w:r>
      <w:r>
        <w:t xml:space="preserve"> </w:t>
      </w:r>
      <w:r>
        <w:t xml:space="preserve">train/test pairs. Thus the v6-heldout and high-ANI test evaluations contain no</w:t>
      </w:r>
      <w:r>
        <w:t xml:space="preserve"> </w:t>
      </w:r>
      <w:r>
        <w:t xml:space="preserve">genome in either training source. Learning-curve, feature-expansion,</w:t>
      </w:r>
      <w:r>
        <w:t xml:space="preserve"> </w:t>
      </w:r>
      <w:r>
        <w:t xml:space="preserve">model-comparison and exact v5/v6 provenance are in Supplementary Notes 2 and 6</w:t>
      </w:r>
      <w:r>
        <w:t xml:space="preserve"> </w:t>
      </w:r>
      <w:r>
        <w:t xml:space="preserve">and</w:t>
      </w:r>
      <w:r>
        <w:t xml:space="preserve"> </w:t>
      </w:r>
      <w:r>
        <w:rPr>
          <w:rStyle w:val="VerbatimChar"/>
        </w:rPr>
        <w:t xml:space="preserve">results/gtdb50k/CALIBRATION_PROVENANCE.md</w:t>
      </w:r>
      <w:r>
        <w:t xml:space="preserve">.</w:t>
      </w:r>
    </w:p>
    <w:bookmarkEnd w:id="34"/>
    <w:bookmarkStart w:id="35" w:name="Xd3b37ce8f62a83dd9d52f682daa388ffbd3bd4e"/>
    <w:p>
      <w:pPr>
        <w:pStyle w:val="Heading3"/>
      </w:pPr>
      <w:r>
        <w:t xml:space="preserve">The spatial-model negative result (identifiability analysis)</w:t>
      </w:r>
    </w:p>
    <w:p>
      <w:pPr>
        <w:pStyle w:val="FirstParagraph"/>
      </w:pPr>
      <w:r>
        <w:t xml:space="preserve">A mechanistic spatial-rate model was also evaluated as an alternative to</w:t>
      </w:r>
      <w:r>
        <w:t xml:space="preserve"> </w:t>
      </w:r>
      <w:r>
        <w:t xml:space="preserve">post-hoc calibration. The raw estimator is already at its identifiability floor</w:t>
      </w:r>
      <w:r>
        <w:t xml:space="preserve"> </w:t>
      </w:r>
      <w:r>
        <w:t xml:space="preserve">at 4-enzyme tag density: in-chain distribution-family changes can fix at most</w:t>
      </w:r>
      <w:r>
        <w:t xml:space="preserve"> </w:t>
      </w:r>
      <w:r>
        <w:t xml:space="preserve">~0.1–0.2 ANI points, and the divergence of the unchained fraction is not</w:t>
      </w:r>
      <w:r>
        <w:t xml:space="preserve"> </w:t>
      </w:r>
      <w:r>
        <w:t xml:space="preserve">identifiable from tag data. No candidate spatial model (AF-weighted mixtures,</w:t>
      </w:r>
      <w:r>
        <w:t xml:space="preserve"> </w:t>
      </w:r>
      <w:r>
        <w:t xml:space="preserve">discrete mixtures, ascertainment-aware tilts, capped NPMLE, model averaging)</w:t>
      </w:r>
      <w:r>
        <w:t xml:space="preserve"> </w:t>
      </w:r>
      <w:r>
        <w:t xml:space="preserve">beats the gated baseline while preserving exact-truth simulation gates. The full</w:t>
      </w:r>
      <w:r>
        <w:t xml:space="preserve"> </w:t>
      </w:r>
      <w:r>
        <w:t xml:space="preserve">negative result is reported in Supplementary Note 5.</w:t>
      </w:r>
    </w:p>
    <w:bookmarkEnd w:id="35"/>
    <w:bookmarkStart w:id="36" w:name="within-species-catalog-censuses"/>
    <w:p>
      <w:pPr>
        <w:pStyle w:val="Heading3"/>
      </w:pPr>
      <w:r>
        <w:t xml:space="preserve">Within-species catalog censuses</w:t>
      </w:r>
    </w:p>
    <w:p>
      <w:pPr>
        <w:pStyle w:val="FirstParagraph"/>
      </w:pPr>
      <w:r>
        <w:t xml:space="preserve">The HROM, OAPGC and GTDB censuses are anchor-derived hybrid censuses, not end-to-end Syn2bANI runs. Structural features and breakpoint counts were produced by the companion Syn2b structural channel (same four-enzyme anchor definition); ANI was computed independently by skani 0.3.2; layers were joined only on canonical unordered genome pairs. For HROM and OAPGC, species clusters with at least two non-empty four-enzyme digests were split into 500- or 250-genome blocks, respectively, and block-pair tasks were run with the Syn2b structural channel. Each task retained only pairs owned by that block pair, so tasks partition the unique unordered pairs exactly. Rows were canonicalized, globally deduplicated and checked against</w:t>
      </w:r>
      <w:r>
        <w:t xml:space="preserve"> </w:t>
      </w:r>
      <w:r>
        <w:rPr>
          <w:rStyle w:val="VerbatimChar"/>
        </w:rPr>
        <w:t xml:space="preserve">C(n,2)</w:t>
      </w:r>
      <w:r>
        <w:t xml:space="preserve"> </w:t>
      </w:r>
      <w:r>
        <w:t xml:space="preserve">for every species. HROM genome headers consisted of contig identifiers and were prefixed with the HROM genome accession before digestion. ANI was computed within each species by skani 0.3.2 triangle and joined to structural pairs on the canonical unordered genome key. HROM contributed 62,872,901 unique pairs, all with matched ANI; OAPGC contributed 30,559,312 informative pairs after excluding 935 pairs with missing breakpoint values.</w:t>
      </w:r>
    </w:p>
    <w:p>
      <w:pPr>
        <w:pStyle w:val="BodyText"/>
      </w:pPr>
      <w:r>
        <w:t xml:space="preserve">The HROM mode analysis used pairs with at least 250 shared tags and observable fraction at least 0.50. Within each species with at least 200 qualifying pairs, the top 5% of pairs by skani ANI (most sequence-similar) and by the structural similarity score (most architecture-similar) were selected. Species enrichment in each top set was tested by a one-sided hypergeometric test against the species-specific fraction of all qualifying pairs; Benjamini–Hochberg q &lt; 0.05 was required. A structural-similarity-enriched species therefore has many pairs that rank highly by architecture despite relatively lower ANI, whereas an ANI-similarity-enriched species has many pairs that rank highly by sequence despite structural differences. CheckM completeness, contamination and N50 were converted to pair-level conservative summaries (minimum completeness and N50, maximum contamination) for sensitivity analyses.</w:t>
      </w:r>
      <w:r>
        <w:t xml:space="preserve"> </w:t>
      </w:r>
      <w:r>
        <w:t xml:space="preserve">Reported HROM category fractions were additionally resampled at the species level (2,000 replicates). This interval treats tested species as the resampling unit; it does not model correlations among pairs within a species, shared ancestry or assembly-quality correlation, all of which are retained as limitations.</w:t>
      </w:r>
    </w:p>
    <w:p>
      <w:pPr>
        <w:pStyle w:val="BodyText"/>
      </w:pPr>
      <w:r>
        <w:t xml:space="preserve">For OAPGC, genomes with public oral or airway labels were classified as oral-airway or within-habitat (oral-oral or airway-airway). A species entered the site test only with at least 30 oral-airway pairs, at least 30 within-habitat pairs and at least 100 total pairs. Sequence distance was</w:t>
      </w:r>
      <w:r>
        <w:t xml:space="preserve"> </w:t>
      </w:r>
      <w:r>
        <w:rPr>
          <w:rStyle w:val="VerbatimChar"/>
        </w:rPr>
        <w:t xml:space="preserve">100 − skani ANI</w:t>
      </w:r>
      <w:r>
        <w:t xml:space="preserve"> </w:t>
      </w:r>
      <w:r>
        <w:t xml:space="preserve">and is an ANI-derived approximation rather than a base-level SNP count; the structural axis was the breakpoint count and the binary indicator for at least two breakpoints. Within each species, two-sided Mann–Whitney AUC tests compared oral-airway with within-habitat sequence distance and breakpoints, and Fisher’s exact test compared the binary breakpoint indicator. P values from each metric were corrected across species by Benjamini–Hochberg. Sensitivity analyses restricted pairs to minimum N50 ≥ 10 kb or ≥100 kb. Species-level bootstrap intervals resampled the 200 tested species 2,000 times; this quantifies species-composition uncertainty but does not remove within-species pair dependence or shared ancestry. The recent-strain analysis (ANI ≥ 99.9%) was reported only as a power audit and not used for biological inference.</w:t>
      </w:r>
    </w:p>
    <w:p>
      <w:pPr>
        <w:pStyle w:val="BodyText"/>
      </w:pPr>
      <w:r>
        <w:t xml:space="preserve">For GTDB-R207, block-pair structural tasks were followed by per-species skani triangles for the four largest clusters and a chunked skani completion pass for all remaining clusters. Structural and ANI rows were canonicalized on unordered accession pairs, globally sorted and deduplicated. A species-level joint table required exact coverage of</w:t>
      </w:r>
      <w:r>
        <w:t xml:space="preserve"> </w:t>
      </w:r>
      <w:r>
        <w:rPr>
          <w:rStyle w:val="VerbatimChar"/>
        </w:rPr>
        <w:t xml:space="preserve">C(n,2)</w:t>
      </w:r>
      <w:r>
        <w:t xml:space="preserve"> </w:t>
      </w:r>
      <w:r>
        <w:t xml:space="preserve">within the effective scope; rows were classified as complete, structural-partial, ANI-partial or partial, and zero-genome taxonomy placeholders were excluded. Quality sensitivity used pair-wise conservative summaries (minimum completeness and N50, maximum contamination) and reported both all-reported and breakpoint-informative denominators. Species-level ANI–SV summaries were restricted to at least 100 expected pairs for distributional summaries.</w:t>
      </w:r>
      <w:r>
        <w:t xml:space="preserve"> </w:t>
      </w:r>
      <w:r>
        <w:t xml:space="preserve">The sorted ANI merge audit initially reported</w:t>
      </w:r>
      <w:r>
        <w:t xml:space="preserve"> </w:t>
      </w:r>
      <w:r>
        <w:rPr>
          <w:rStyle w:val="VerbatimChar"/>
        </w:rPr>
        <w:t xml:space="preserve">header_ok: false</w:t>
      </w:r>
      <w:r>
        <w:t xml:space="preserve"> </w:t>
      </w:r>
      <w:r>
        <w:t xml:space="preserve">because lowercase schema keys sort after uppercase accession keys under C-locale ordering; the substantive audit found no duplicate, self, cross-species, invalid or unknown-genome rows (</w:t>
      </w:r>
      <w:r>
        <w:rPr>
          <w:rStyle w:val="VerbatimChar"/>
        </w:rPr>
        <w:t xml:space="preserve">results/census/gtdb/GTDB_ANI_MERGE_QC_NOTES.md</w:t>
      </w:r>
      <w:r>
        <w:t xml:space="preserve">). No census significance interval was assigned to the catalog-scale GTDB point estimates; the catalogue is treated as a large observational scope with explicit quality and coverage sensitivity rather than as an independent random sample.</w:t>
      </w:r>
    </w:p>
    <w:bookmarkEnd w:id="36"/>
    <w:bookmarkStart w:id="37" w:name="structural-variant-calling"/>
    <w:p>
      <w:pPr>
        <w:pStyle w:val="Heading3"/>
      </w:pPr>
      <w:r>
        <w:t xml:space="preserve">Structural-variant calling</w:t>
      </w:r>
    </w:p>
    <w:p>
      <w:pPr>
        <w:pStyle w:val="FirstParagraph"/>
      </w:pPr>
      <w:r>
        <w:t xml:space="preserve">The</w:t>
      </w:r>
      <w:r>
        <w:t xml:space="preserve"> </w:t>
      </w:r>
      <w:r>
        <w:rPr>
          <w:rStyle w:val="VerbatimChar"/>
        </w:rPr>
        <w:t xml:space="preserve">struct</w:t>
      </w:r>
      <w:r>
        <w:t xml:space="preserve"> </w:t>
      </w:r>
      <w:r>
        <w:t xml:space="preserve">subcommand consumes the chains and anchors of a pairwise comparison. Inversions are orientation flips between consecutive chains; indels are coordinate gaps between consecutive chains exceeding</w:t>
      </w:r>
      <w:r>
        <w:t xml:space="preserve"> </w:t>
      </w:r>
      <w:r>
        <w:rPr>
          <w:rStyle w:val="VerbatimChar"/>
        </w:rPr>
        <w:t xml:space="preserve">indel_min</w:t>
      </w:r>
      <w:r>
        <w:t xml:space="preserve"> </w:t>
      </w:r>
      <w:r>
        <w:t xml:space="preserve">(default 1 kb), with a guard requiring that no third chain anchors inside the spanned reference interval (without it, a small relocated block sandwiched between collinear chains is misreported as a deletion sized by the reference jump — observed as spurious 42–961 kb calls before the guard); translocations are chains violating global reference order. Resolution is limited by tag spacing and by unphaseable repeats at junctions (observed endpoint offset ≤ 5.5 kb on the 779 kb W3110 inversion); events whose flanking chains have &lt; 4 anchors are not called, and equal-length homologous replacements that keep tags phased are invisible by design. For circular chromosomes,</w:t>
      </w:r>
      <w:r>
        <w:t xml:space="preserve"> </w:t>
      </w:r>
      <w:r>
        <w:rPr>
          <w:rStyle w:val="VerbatimChar"/>
        </w:rPr>
        <w:t xml:space="preserve">syn2bani struct --circular &lt;ref_name&gt;</w:t>
      </w:r>
      <w:r>
        <w:t xml:space="preserve"> </w:t>
      </w:r>
      <w:r>
        <w:t xml:space="preserve">marks the reference as circular; genome-spanning calls that exceed</w:t>
      </w:r>
      <w:r>
        <w:t xml:space="preserve"> </w:t>
      </w:r>
      <w:r>
        <w:rPr>
          <w:rStyle w:val="VerbatimChar"/>
        </w:rPr>
        <w:t xml:space="preserve">--artifact-threshold</w:t>
      </w:r>
      <w:r>
        <w:t xml:space="preserve"> </w:t>
      </w:r>
      <w:r>
        <w:t xml:space="preserve">(default 50% of the reference length) are reported but flagged as likely circular-origin coordinate artifacts rather than biological rearrangements. This filter is opt-in and off by default, so it applies to the</w:t>
      </w:r>
      <w:r>
        <w:t xml:space="preserve"> </w:t>
      </w:r>
      <w:r>
        <w:rPr>
          <w:i/>
          <w:iCs/>
        </w:rPr>
        <w:t xml:space="preserve">H. pylori</w:t>
      </w:r>
      <w:r>
        <w:t xml:space="preserve"> </w:t>
      </w:r>
      <w:r>
        <w:t xml:space="preserve">cagPAI cohort, where it was passed explicitly, and not to any other analysis in this paper: the GTDB-R207,</w:t>
      </w:r>
      <w:r>
        <w:t xml:space="preserve"> </w:t>
      </w:r>
      <w:r>
        <w:rPr>
          <w:i/>
          <w:iCs/>
        </w:rPr>
        <w:t xml:space="preserve">E. coli</w:t>
      </w:r>
      <w:r>
        <w:t xml:space="preserve"> </w:t>
      </w:r>
      <w:r>
        <w:t xml:space="preserve">O157:H7 and</w:t>
      </w:r>
      <w:r>
        <w:t xml:space="preserve"> </w:t>
      </w:r>
      <w:r>
        <w:rPr>
          <w:i/>
          <w:iCs/>
        </w:rPr>
        <w:t xml:space="preserve">S. aureus</w:t>
      </w:r>
      <w:r>
        <w:t xml:space="preserve"> </w:t>
      </w:r>
      <w:r>
        <w:t xml:space="preserve">runs were made without it. Without the flag,</w:t>
      </w:r>
      <w:r>
        <w:t xml:space="preserve"> </w:t>
      </w:r>
      <w:r>
        <w:rPr>
          <w:rStyle w:val="VerbatimChar"/>
        </w:rPr>
        <w:t xml:space="preserve">struct</w:t>
      </w:r>
      <w:r>
        <w:t xml:space="preserve"> </w:t>
      </w:r>
      <w:r>
        <w:t xml:space="preserve">still warns on stderr when calls span most of a contig.</w:t>
      </w:r>
      <w:r>
        <w:t xml:space="preserve"> </w:t>
      </w:r>
      <w:r>
        <w:rPr>
          <w:rStyle w:val="VerbatimChar"/>
        </w:rPr>
        <w:t xml:space="preserve">breakpoint_count</w:t>
      </w:r>
      <w:r>
        <w:t xml:space="preserve"> </w:t>
      </w:r>
      <w:r>
        <w:t xml:space="preserve">is unaffected either way, because a rotation is not a reference-order violation between blocks. Validation against dnadiff used span-based one-to-many matching because dnadiff fragments large accessory regions into many small events while Syn2bANI calls each junction once.</w:t>
      </w:r>
    </w:p>
    <w:p>
      <w:pPr>
        <w:pStyle w:val="BodyText"/>
      </w:pPr>
      <w:r>
        <w:t xml:space="preserve">Three structural metrics are exported for every pair.</w:t>
      </w:r>
      <w:r>
        <w:t xml:space="preserve"> </w:t>
      </w:r>
      <w:r>
        <w:rPr>
          <w:rStyle w:val="VerbatimChar"/>
        </w:rPr>
        <w:t xml:space="preserve">synteny_blocks</w:t>
      </w:r>
      <w:r>
        <w:t xml:space="preserve"> </w:t>
      </w:r>
      <w:r>
        <w:t xml:space="preserve">is the number of collinear chains.</w:t>
      </w:r>
      <w:r>
        <w:t xml:space="preserve"> </w:t>
      </w:r>
      <w:r>
        <w:rPr>
          <w:rStyle w:val="VerbatimChar"/>
        </w:rPr>
        <w:t xml:space="preserve">breakpoint_count</w:t>
      </w:r>
      <w:r>
        <w:t xml:space="preserve"> </w:t>
      </w:r>
      <w:r>
        <w:t xml:space="preserve">is the primary</w:t>
      </w:r>
      <w:r>
        <w:t xml:space="preserve"> </w:t>
      </w:r>
      <w:r>
        <w:rPr>
          <w:i/>
          <w:iCs/>
        </w:rPr>
        <w:t xml:space="preserve">count-based</w:t>
      </w:r>
      <w:r>
        <w:t xml:space="preserve"> </w:t>
      </w:r>
      <w:r>
        <w:t xml:space="preserve">rearrangement statistic and is computed over blocks, not anchors. Chains are first reduced to a one-to-one</w:t>
      </w:r>
      <w:r>
        <w:t xml:space="preserve"> </w:t>
      </w:r>
      <w:r>
        <w:rPr>
          <w:i/>
          <w:iCs/>
        </w:rPr>
        <w:t xml:space="preserve">primary</w:t>
      </w:r>
      <w:r>
        <w:t xml:space="preserve"> </w:t>
      </w:r>
      <w:r>
        <w:t xml:space="preserve">set: taken longest first, a chain is kept only if neither its query span nor its reference span is more than half covered by a chain already kept, which excludes the paralogous chains (prophage families, IS copies) that interleave with the diagonal along the query. Each kept chain becomes one block with a query interval, a reference interval and an orientation. Two blocks consecutive along the query are conserved when they lie on the same reference contig in the same orientation and the reference places them consecutively in the query’s orientation; otherwise the transition is a breakpoint, but only if the reference in fact has a block where the query expects one — a reference contig end or contig break is an absence of evidence, not a rearrangement, and neither is a query contig break. A chain break that leaves its neighbour reference-consecutive (a large indel, a divergent stretch, a</w:t>
      </w:r>
      <w:r>
        <w:t xml:space="preserve"> </w:t>
      </w:r>
      <w:r>
        <w:rPr>
          <w:rStyle w:val="VerbatimChar"/>
        </w:rPr>
        <w:t xml:space="preserve">max_gap</w:t>
      </w:r>
      <w:r>
        <w:t xml:space="preserve"> </w:t>
      </w:r>
      <w:r>
        <w:t xml:space="preserve">split) is therefore not counted. The statistic is validated by construction rather than by correlation:</w:t>
      </w:r>
      <w:r>
        <w:t xml:space="preserve"> </w:t>
      </w:r>
      <w:r>
        <w:rPr>
          <w:rStyle w:val="VerbatimChar"/>
        </w:rPr>
        <w:t xml:space="preserve">analysis/breakpoint_ladder.py</w:t>
      </w:r>
      <w:r>
        <w:t xml:space="preserve"> </w:t>
      </w:r>
      <w:r>
        <w:t xml:space="preserve">edits one genome in place and asserts the expected count for each edit (2 per inversion, 3 per translocation, 0 for indels and substitutions, 0 for self-comparisons, rotations and re-fragmentations), and it is the regression test for the two inflations described in Results. The fragmentation-invariant length-weighted counterpart,</w:t>
      </w:r>
      <w:r>
        <w:t xml:space="preserve"> </w:t>
      </w:r>
      <w:r>
        <w:rPr>
          <w:rStyle w:val="VerbatimChar"/>
        </w:rPr>
        <w:t xml:space="preserve">raw_inverted_fraction</w:t>
      </w:r>
      <w:r>
        <w:t xml:space="preserve">, is not a Syn2bANI output and is computed by the companion Syn2b tool (Code availability).</w:t>
      </w:r>
      <w:r>
        <w:t xml:space="preserve"> </w:t>
      </w:r>
      <w:r>
        <w:rPr>
          <w:rStyle w:val="VerbatimChar"/>
        </w:rPr>
        <w:t xml:space="preserve">anchor_adjacency</w:t>
      </w:r>
      <w:r>
        <w:t xml:space="preserve"> </w:t>
      </w:r>
      <w:r>
        <w:t xml:space="preserve">is the fraction of possible adjacent anchor pairs (within chained query contigs) that remain collinear neighbors inside a chain; it is an anchor-adjacency conservation metric, not a base-pair coverage metric.</w:t>
      </w:r>
      <w:r>
        <w:t xml:space="preserve"> </w:t>
      </w:r>
      <w:r>
        <w:rPr>
          <w:rStyle w:val="VerbatimChar"/>
        </w:rPr>
        <w:t xml:space="preserve">af_query</w:t>
      </w:r>
      <w:r>
        <w:t xml:space="preserve"> </w:t>
      </w:r>
      <w:r>
        <w:t xml:space="preserve">is the fraction of query bases covered by chained anchors (base-pair aligned fraction) and is the quantity that corresponds to alignment-based synteny/coverage scores.</w:t>
      </w:r>
      <w:r>
        <w:t xml:space="preserve"> </w:t>
      </w:r>
      <w:r>
        <w:rPr>
          <w:rStyle w:val="VerbatimChar"/>
        </w:rPr>
        <w:t xml:space="preserve">af_reference</w:t>
      </w:r>
      <w:r>
        <w:t xml:space="preserve"> </w:t>
      </w:r>
      <w:r>
        <w:t xml:space="preserve">is the reference-side analogue.</w:t>
      </w:r>
    </w:p>
    <w:p>
      <w:pPr>
        <w:pStyle w:val="BodyText"/>
      </w:pPr>
      <w:r>
        <w:t xml:space="preserve">The reason</w:t>
      </w:r>
      <w:r>
        <w:t xml:space="preserve"> </w:t>
      </w:r>
      <w:r>
        <w:rPr>
          <w:rStyle w:val="VerbatimChar"/>
        </w:rPr>
        <w:t xml:space="preserve">anchor_adjacency</w:t>
      </w:r>
      <w:r>
        <w:t xml:space="preserve"> </w:t>
      </w:r>
      <w:r>
        <w:t xml:space="preserve">is only weakly correlated with alignment-based synteny scores is that the two quantities measure structurally different things.</w:t>
      </w:r>
      <w:r>
        <w:t xml:space="preserve"> </w:t>
      </w:r>
      <w:r>
        <w:rPr>
          <w:rStyle w:val="VerbatimChar"/>
        </w:rPr>
        <w:t xml:space="preserve">anchor_adjacency</w:t>
      </w:r>
      <w:r>
        <w:t xml:space="preserve"> </w:t>
      </w:r>
      <w:r>
        <w:t xml:space="preserve">is a combinatorial count over the fixed, sparse set of in-silico restriction anchors: a value of 1.0 means every pair of anchors that are neighbors on a query contig are also neighbors inside a collinear chain, and lower values record how often local anchor order is interrupted by inversions, indels, or translocations. Because the anchors are spaced at kilobase-scale intervals across the genome, a single large rearrangement that happens to fall between two adjacent anchors leaves</w:t>
      </w:r>
      <w:r>
        <w:t xml:space="preserve"> </w:t>
      </w:r>
      <w:r>
        <w:rPr>
          <w:rStyle w:val="VerbatimChar"/>
        </w:rPr>
        <w:t xml:space="preserve">anchor_adjacency</w:t>
      </w:r>
      <w:r>
        <w:t xml:space="preserve"> </w:t>
      </w:r>
      <w:r>
        <w:t xml:space="preserve">unchanged, while a small inversion that reorders only a few anchors can reduce it sharply even when the majority of base pairs are still alignable. Conversely,</w:t>
      </w:r>
      <w:r>
        <w:t xml:space="preserve"> </w:t>
      </w:r>
      <w:r>
        <w:rPr>
          <w:rStyle w:val="VerbatimChar"/>
        </w:rPr>
        <w:t xml:space="preserve">af_query</w:t>
      </w:r>
      <w:r>
        <w:t xml:space="preserve"> </w:t>
      </w:r>
      <w:r>
        <w:t xml:space="preserve">and</w:t>
      </w:r>
      <w:r>
        <w:t xml:space="preserve"> </w:t>
      </w:r>
      <w:r>
        <w:rPr>
          <w:rStyle w:val="VerbatimChar"/>
        </w:rPr>
        <w:t xml:space="preserve">breakpoint_count</w:t>
      </w:r>
      <w:r>
        <w:t xml:space="preserve"> </w:t>
      </w:r>
      <w:r>
        <w:t xml:space="preserve">report base-pair coverage and rearrangement counts, respectively, so</w:t>
      </w:r>
      <w:r>
        <w:t xml:space="preserve"> </w:t>
      </w:r>
      <w:r>
        <w:rPr>
          <w:rStyle w:val="VerbatimChar"/>
        </w:rPr>
        <w:t xml:space="preserve">af_query</w:t>
      </w:r>
      <w:r>
        <w:t xml:space="preserve"> </w:t>
      </w:r>
      <w:r>
        <w:t xml:space="preserve">aligns with dnadiff/minimap2 coverage metrics and</w:t>
      </w:r>
      <w:r>
        <w:t xml:space="preserve"> </w:t>
      </w:r>
      <w:r>
        <w:rPr>
          <w:rStyle w:val="VerbatimChar"/>
        </w:rPr>
        <w:t xml:space="preserve">breakpoint_count</w:t>
      </w:r>
      <w:r>
        <w:t xml:space="preserve"> </w:t>
      </w:r>
      <w:r>
        <w:t xml:space="preserve">aligns with alignment-based breakpoint counts. Treating</w:t>
      </w:r>
      <w:r>
        <w:t xml:space="preserve"> </w:t>
      </w:r>
      <w:r>
        <w:rPr>
          <w:rStyle w:val="VerbatimChar"/>
        </w:rPr>
        <w:t xml:space="preserve">anchor_adjacency</w:t>
      </w:r>
      <w:r>
        <w:t xml:space="preserve"> </w:t>
      </w:r>
      <w:r>
        <w:t xml:space="preserve">as a separate anchor-order statistic rather than as a proxy for base-pair synteny is therefore deliberate: it captures the fine-scale collinearity of the anchor map, which is invisible to an ANI scalar and only partially correlated with alignment-based coverage.</w:t>
      </w:r>
    </w:p>
    <w:bookmarkEnd w:id="37"/>
    <w:bookmarkStart w:id="38" w:name="simulation-framework-with-exact-truth"/>
    <w:p>
      <w:pPr>
        <w:pStyle w:val="Heading3"/>
      </w:pPr>
      <w:r>
        <w:t xml:space="preserve">Simulation framework with exact truth</w:t>
      </w:r>
    </w:p>
    <w:p>
      <w:pPr>
        <w:pStyle w:val="FirstParagraph"/>
      </w:pPr>
      <w:r>
        <w:t xml:space="preserve">All exact-truth simulators evolve sequence from a public reference (</w:t>
      </w:r>
      <w:r>
        <w:rPr>
          <w:i/>
          <w:iCs/>
        </w:rPr>
        <w:t xml:space="preserve">E. coli</w:t>
      </w:r>
      <w:r>
        <w:t xml:space="preserve"> </w:t>
      </w:r>
      <w:r>
        <w:t xml:space="preserve">K-12 MG1655, ENA U00096.3, 4,641,652 bp) by applying a counted number of substitutions, so true ANI = 1 − n_subs/L exactly. Families: an ANI ladder (12 levels, 85–99.9%, each with a 400 kb inversion, with and without ~46 deletions of 200–2,000 bp); an indel sweep (true ANI 95.000; 0–4 deletions/100 kb); fragmentation (20–201 contigs, no sequence lost, ~50% reverse-complemented, order shuffled); accessory confounds (core ANI 95.000; 0–50% of the genome replaced by composition-preserving shuffled blocks, plus a block-count control at fixed total fraction); mosaic/rate-heterogeneity cases (per-block rates ~ Gamma(α, α), α = 0.5/1/2, mean ANI 90–98, plus deliberately misspecified bimodal cases); and GC coverage (ladders on five real template genomes, GC 27.2–72.1%). Deletions do not change true ANI (counted substitutions over reference length), so the deleted fraction doubles as AF ground truth. Substitutions are uniform over the three alternative bases with no GC-biased mutation model, transition/transversion ratio, codon structure, or selection — a deliberate simplification justified by the finding that GC does not explain the real-data degradation and that site turnover emerges from uniform substitution on a real genome without any special mechanism. Enzyme digestion is never simulated; the released binary extracts tags itself.</w:t>
      </w:r>
    </w:p>
    <w:bookmarkEnd w:id="38"/>
    <w:bookmarkStart w:id="39" w:name="benchmark-datasets-truth-and-tools"/>
    <w:p>
      <w:pPr>
        <w:pStyle w:val="Heading3"/>
      </w:pPr>
      <w:r>
        <w:t xml:space="preserve">Benchmark datasets, truth, and tools</w:t>
      </w:r>
    </w:p>
    <w:p>
      <w:pPr>
        <w:pStyle w:val="FirstParagraph"/>
      </w:pPr>
      <w:r>
        <w:t xml:space="preserve">All datasets, their ground truth, and the analyses they support are summarized in Table 3. The simulation-generation framework is described under</w:t>
      </w:r>
      <w:r>
        <w:t xml:space="preserve"> </w:t>
      </w:r>
      <w:r>
        <w:rPr>
          <w:i/>
          <w:iCs/>
        </w:rPr>
        <w:t xml:space="preserve">Simulation framework with exact truth</w:t>
      </w:r>
      <w:r>
        <w:t xml:space="preserve"> </w:t>
      </w:r>
      <w:r>
        <w:t xml:space="preserve">above.</w:t>
      </w:r>
    </w:p>
    <w:p>
      <w:pPr>
        <w:pStyle w:val="BodyText"/>
      </w:pPr>
      <w:r>
        <w:rPr>
          <w:b/>
          <w:bCs/>
        </w:rPr>
        <w:t xml:space="preserve">Sampling frame.</w:t>
      </w:r>
      <w:r>
        <w:t xml:space="preserve"> </w:t>
      </w:r>
      <w:r>
        <w:t xml:space="preserve">GTDB release R207 [11,12] is the primary sampling frame for the real-genome benchmarks; all GTDB-R207 comparisons use dnadiff/ANIm (MUMmer 3.23, 1-to-1) as truth. CAMI2 (strain-madness and marine short-read campaigns, with source genomes and per-read ground truth) is the sampling frame for the MAG benchmark.</w:t>
      </w:r>
    </w:p>
    <w:p>
      <w:pPr>
        <w:pStyle w:val="BodyText"/>
      </w:pPr>
      <w:r>
        <w:rPr>
          <w:b/>
          <w:bCs/>
        </w:rPr>
        <w:t xml:space="preserve">Simulated datasets (exact truth by construction).</w:t>
      </w:r>
      <w:r>
        <w:t xml:space="preserve"> </w:t>
      </w:r>
      <w:r>
        <w:t xml:space="preserve">Seven families, all evolved from</w:t>
      </w:r>
      <w:r>
        <w:t xml:space="preserve"> </w:t>
      </w:r>
      <w:r>
        <w:rPr>
          <w:i/>
          <w:iCs/>
        </w:rPr>
        <w:t xml:space="preserve">E. coli</w:t>
      </w:r>
      <w:r>
        <w:t xml:space="preserve"> </w:t>
      </w:r>
      <w:r>
        <w:t xml:space="preserve">K-12 MG1655 except the GC ladders: (i) the</w:t>
      </w:r>
      <w:r>
        <w:t xml:space="preserve"> </w:t>
      </w:r>
      <w:r>
        <w:rPr>
          <w:b/>
          <w:bCs/>
        </w:rPr>
        <w:t xml:space="preserve">ANI ladder</w:t>
      </w:r>
      <w:r>
        <w:t xml:space="preserve"> </w:t>
      </w:r>
      <w:r>
        <w:t xml:space="preserve">— 12 levels, 85–99.9%, each genome carrying a 400 kb inversion, generated with and without ~46 deletions of 200–2,000 bp; (ii) the</w:t>
      </w:r>
      <w:r>
        <w:t xml:space="preserve"> </w:t>
      </w:r>
      <w:r>
        <w:rPr>
          <w:b/>
          <w:bCs/>
        </w:rPr>
        <w:t xml:space="preserve">indel sweep</w:t>
      </w:r>
      <w:r>
        <w:t xml:space="preserve"> </w:t>
      </w:r>
      <w:r>
        <w:t xml:space="preserve">— ANI 95.000, 0–4 deletions per 100 kb; (iii) the</w:t>
      </w:r>
      <w:r>
        <w:t xml:space="preserve"> </w:t>
      </w:r>
      <w:r>
        <w:rPr>
          <w:b/>
          <w:bCs/>
        </w:rPr>
        <w:t xml:space="preserve">fragmentation ladder</w:t>
      </w:r>
      <w:r>
        <w:t xml:space="preserve"> </w:t>
      </w:r>
      <w:r>
        <w:t xml:space="preserve">— 20–201 contigs, ~50% reverse-complemented, order shuffled, no sequence lost; (iv) the</w:t>
      </w:r>
      <w:r>
        <w:t xml:space="preserve"> </w:t>
      </w:r>
      <w:r>
        <w:rPr>
          <w:b/>
          <w:bCs/>
        </w:rPr>
        <w:t xml:space="preserve">accessory-fraction sweep</w:t>
      </w:r>
      <w:r>
        <w:t xml:space="preserve"> </w:t>
      </w:r>
      <w:r>
        <w:t xml:space="preserve">— core ANI 95.000 with 0–50% of the genome replaced by composition-preserving shuffled blocks, plus a block-count control at fixed total fraction; (v) the</w:t>
      </w:r>
      <w:r>
        <w:t xml:space="preserve"> </w:t>
      </w:r>
      <w:r>
        <w:rPr>
          <w:b/>
          <w:bCs/>
        </w:rPr>
        <w:t xml:space="preserve">mosaic/rate-heterogeneity family</w:t>
      </w:r>
      <w:r>
        <w:t xml:space="preserve"> </w:t>
      </w:r>
      <w:r>
        <w:t xml:space="preserve">— per-block rates ~ Gamma(α, α), α = 0.5/1/2, mean ANI 90–98, plus deliberately misspecified bimodal cases (19 used in the identifiability analysis of</w:t>
      </w:r>
      <w:r>
        <w:t xml:space="preserve"> </w:t>
      </w:r>
      <w:r>
        <w:rPr>
          <w:i/>
          <w:iCs/>
        </w:rPr>
        <w:t xml:space="preserve">The spatial-model negative result</w:t>
      </w:r>
      <w:r>
        <w:t xml:space="preserve"> </w:t>
      </w:r>
      <w:r>
        <w:t xml:space="preserve">above); (vi) the</w:t>
      </w:r>
      <w:r>
        <w:t xml:space="preserve"> </w:t>
      </w:r>
      <w:r>
        <w:rPr>
          <w:b/>
          <w:bCs/>
        </w:rPr>
        <w:t xml:space="preserve">GC ladders</w:t>
      </w:r>
      <w:r>
        <w:t xml:space="preserve"> </w:t>
      </w:r>
      <w:r>
        <w:t xml:space="preserve">— substitution ladders on five real template genomes spanning GC 27.2–72.1%; and (vii) the</w:t>
      </w:r>
      <w:r>
        <w:t xml:space="preserve"> </w:t>
      </w:r>
      <w:r>
        <w:rPr>
          <w:b/>
          <w:bCs/>
        </w:rPr>
        <w:t xml:space="preserve">inversion ladder</w:t>
      </w:r>
      <w:r>
        <w:t xml:space="preserve"> </w:t>
      </w:r>
      <w:r>
        <w:t xml:space="preserve">for synteny validation — ANI 95.00/98.00 with 0–32 non-overlapping inversions of 100–400 kb (2 exact breakpoints each;</w:t>
      </w:r>
      <w:r>
        <w:t xml:space="preserve"> </w:t>
      </w:r>
      <w:r>
        <w:rPr>
          <w:rStyle w:val="VerbatimChar"/>
        </w:rPr>
        <w:t xml:space="preserve">scripts/synteny_bench/</w:t>
      </w:r>
      <w:r>
        <w:t xml:space="preserve">).</w:t>
      </w:r>
    </w:p>
    <w:p>
      <w:pPr>
        <w:pStyle w:val="BodyText"/>
      </w:pPr>
      <w:r>
        <w:rPr>
          <w:b/>
          <w:bCs/>
        </w:rPr>
        <w:t xml:space="preserve">GTDB-R207 benchmark series.</w:t>
      </w:r>
      <w:r>
        <w:t xml:space="preserve"> </w:t>
      </w:r>
      <w:r>
        <w:t xml:space="preserve">These datasets form a single coherent evaluation built from GTDB-R207. They are disjoint at the genome level wherever independence is required.</w:t>
      </w:r>
      <w:r>
        <w:t xml:space="preserve"> </w:t>
      </w:r>
      <w:r>
        <w:t xml:space="preserve">-</w:t>
      </w:r>
      <w:r>
        <w:t xml:space="preserve"> </w:t>
      </w:r>
      <w:r>
        <w:rPr>
          <w:b/>
          <w:bCs/>
        </w:rPr>
        <w:t xml:space="preserve">Calibration/training set (v5).</w:t>
      </w:r>
      <w:r>
        <w:t xml:space="preserve"> </w:t>
      </w:r>
      <w:r>
        <w:t xml:space="preserve">2,520 pairs (80–99.5% ANIm) used to train the ridge calibration. This combines 2,074 representative pairs stratified across 80–85/85–90/90–95/95–99 bands and phyla, with 467 targeted 95–99.5% pairs selected by screening all 2.26 M same-genus representative pairs with skani and running dnadiff on 650 candidates (607 species, 26 phyla).</w:t>
      </w:r>
      <w:r>
        <w:t xml:space="preserve"> </w:t>
      </w:r>
      <w:r>
        <w:t xml:space="preserve">-</w:t>
      </w:r>
      <w:r>
        <w:t xml:space="preserve"> </w:t>
      </w:r>
      <w:r>
        <w:rPr>
          <w:b/>
          <w:bCs/>
        </w:rPr>
        <w:t xml:space="preserve">High-ANI training set (v6 only).</w:t>
      </w:r>
      <w:r>
        <w:t xml:space="preserve"> </w:t>
      </w:r>
      <w:r>
        <w:t xml:space="preserve">1,615 sampled non-representative pairs at ANIm 95–100%; 1,614 had finite model features and entered benchmark calibration v6. Candidate genomes were excluded bidirectionally from the v5 calibration set and from all 43,334 held-out genomes before genome-level train/test assignment. This set is never used for v5 evaluation.</w:t>
      </w:r>
      <w:r>
        <w:t xml:space="preserve"> </w:t>
      </w:r>
      <w:r>
        <w:t xml:space="preserve">-</w:t>
      </w:r>
      <w:r>
        <w:t xml:space="preserve"> </w:t>
      </w:r>
      <w:r>
        <w:rPr>
          <w:b/>
          <w:bCs/>
        </w:rPr>
        <w:t xml:space="preserve">Large-scale FastANI comparison set.</w:t>
      </w:r>
      <w:r>
        <w:t xml:space="preserve"> </w:t>
      </w:r>
      <w:r>
        <w:t xml:space="preserve">45,000 representative pairs sampled across taxonomic levels (intra-species / intra-genus / intra-family / random;</w:t>
      </w:r>
      <w:r>
        <w:t xml:space="preserve"> </w:t>
      </w:r>
      <w:r>
        <w:rPr>
          <w:rStyle w:val="VerbatimChar"/>
        </w:rPr>
        <w:t xml:space="preserve">scripts/sample_gtdb_pairs.py</w:t>
      </w:r>
      <w:r>
        <w:t xml:space="preserve">, seed-fixed). FastANI reports 672 of these pairs and they are summarized in Supplementary analysis.</w:t>
      </w:r>
      <w:r>
        <w:t xml:space="preserve"> </w:t>
      </w:r>
      <w:r>
        <w:t xml:space="preserve">-</w:t>
      </w:r>
      <w:r>
        <w:t xml:space="preserve"> </w:t>
      </w:r>
      <w:r>
        <w:rPr>
          <w:b/>
          <w:bCs/>
        </w:rPr>
        <w:t xml:space="preserve">Strict held-out benchmark.</w:t>
      </w:r>
      <w:r>
        <w:t xml:space="preserve"> </w:t>
      </w:r>
      <w:r>
        <w:t xml:space="preserve">43,334 same-genus representative pairs sampled from the 628,617 non-self GTDB-R207 representative pairs passing a skani pre-screen (AF ≥ 15%), stratified into bands 80–85 / 85–90 / 90–95 / 95–100% (12,172 / 16,000 / 14,758 / 404 pairs; 24,831 genomes, 74 phyla;</w:t>
      </w:r>
      <w:r>
        <w:t xml:space="preserve"> </w:t>
      </w:r>
      <w:r>
        <w:rPr>
          <w:rStyle w:val="VerbatimChar"/>
        </w:rPr>
        <w:t xml:space="preserve">scripts/gtdb50k/</w:t>
      </w:r>
      <w:r>
        <w:t xml:space="preserve">). Every genome in the v5 calibration set was excluded in both directions, making this a strict holdout for the gate, flag, and calibration; dnadiff/ANIm truth was computed for all pairs.</w:t>
      </w:r>
      <w:r>
        <w:t xml:space="preserve"> </w:t>
      </w:r>
      <w:r>
        <w:t xml:space="preserve">-</w:t>
      </w:r>
      <w:r>
        <w:t xml:space="preserve"> </w:t>
      </w:r>
      <w:r>
        <w:rPr>
          <w:b/>
          <w:bCs/>
        </w:rPr>
        <w:t xml:space="preserve">High-ANI test set.</w:t>
      </w:r>
      <w:r>
        <w:t xml:space="preserve"> </w:t>
      </w:r>
      <w:r>
        <w:t xml:space="preserve">727 test pairs sampled from non-representative GTDB-R207 genomes (95–97%, n = 95; 97–100%, n = 632), excluding genomes in the v5 calibration set or the 43,334 held-out set in either direction. These add dense coverage of the 95–100% regime that the held-out representative set lacks.</w:t>
      </w:r>
      <w:r>
        <w:t xml:space="preserve"> </w:t>
      </w:r>
      <w:r>
        <w:t xml:space="preserve">-</w:t>
      </w:r>
      <w:r>
        <w:t xml:space="preserve"> </w:t>
      </w:r>
      <w:r>
        <w:rPr>
          <w:b/>
          <w:bCs/>
        </w:rPr>
        <w:t xml:space="preserve">Unified 80–100% benchmark.</w:t>
      </w:r>
      <w:r>
        <w:t xml:space="preserve"> </w:t>
      </w:r>
      <w:r>
        <w:t xml:space="preserve">The 43,334 held-out pairs combined with the 727 high-ANI test pairs (44,061 total), used to evaluate the hybrid estimator (Supplementary Fig. S3).</w:t>
      </w:r>
    </w:p>
    <w:p>
      <w:pPr>
        <w:pStyle w:val="BodyText"/>
      </w:pPr>
      <w:r>
        <w:rPr>
          <w:b/>
          <w:bCs/>
        </w:rPr>
        <w:t xml:space="preserve">External validation sets.</w:t>
      </w:r>
      <w:r>
        <w:t xml:space="preserve"> </w:t>
      </w:r>
      <w:r>
        <w:t xml:space="preserve">Independent of the GTDB-R207 series.</w:t>
      </w:r>
      <w:r>
        <w:t xml:space="preserve"> </w:t>
      </w:r>
      <w:r>
        <w:t xml:space="preserve">-</w:t>
      </w:r>
      <w:r>
        <w:t xml:space="preserve"> </w:t>
      </w:r>
      <w:r>
        <w:rPr>
          <w:b/>
          <w:bCs/>
        </w:rPr>
        <w:t xml:space="preserve">Mid-ANI set.</w:t>
      </w:r>
      <w:r>
        <w:t xml:space="preserve"> </w:t>
      </w:r>
      <w:r>
        <w:t xml:space="preserve">15 pairs (</w:t>
      </w:r>
      <w:r>
        <w:rPr>
          <w:i/>
          <w:iCs/>
        </w:rPr>
        <w:t xml:space="preserve">Bifidobacterium longum</w:t>
      </w:r>
      <w:r>
        <w:t xml:space="preserve"> </w:t>
      </w:r>
      <w:r>
        <w:t xml:space="preserve">×</w:t>
      </w:r>
      <w:r>
        <w:t xml:space="preserve"> </w:t>
      </w:r>
      <w:r>
        <w:rPr>
          <w:i/>
          <w:iCs/>
        </w:rPr>
        <w:t xml:space="preserve">B. breve</w:t>
      </w:r>
      <w:r>
        <w:t xml:space="preserve">,</w:t>
      </w:r>
      <w:r>
        <w:t xml:space="preserve"> </w:t>
      </w:r>
      <w:r>
        <w:rPr>
          <w:i/>
          <w:iCs/>
        </w:rPr>
        <w:t xml:space="preserve">Veillonella parvula</w:t>
      </w:r>
      <w:r>
        <w:t xml:space="preserve"> </w:t>
      </w:r>
      <w:r>
        <w:t xml:space="preserve">×</w:t>
      </w:r>
      <w:r>
        <w:t xml:space="preserve"> </w:t>
      </w:r>
      <w:r>
        <w:rPr>
          <w:i/>
          <w:iCs/>
        </w:rPr>
        <w:t xml:space="preserve">V. dispar</w:t>
      </w:r>
      <w:r>
        <w:t xml:space="preserve">), ANIm truth 87.6–90.2%; ANIm alignment coverage is only 46–72% of these genomes.</w:t>
      </w:r>
      <w:r>
        <w:t xml:space="preserve"> </w:t>
      </w:r>
      <w:r>
        <w:t xml:space="preserve">-</w:t>
      </w:r>
      <w:r>
        <w:t xml:space="preserve"> </w:t>
      </w:r>
      <w:r>
        <w:rPr>
          <w:b/>
          <w:bCs/>
        </w:rPr>
        <w:t xml:space="preserve">Oral/gut set.</w:t>
      </w:r>
      <w:r>
        <w:t xml:space="preserve"> </w:t>
      </w:r>
      <w:r>
        <w:t xml:space="preserve">50 isolate genomes from 10 species — 5 oral (</w:t>
      </w:r>
      <w:r>
        <w:rPr>
          <w:i/>
          <w:iCs/>
        </w:rPr>
        <w:t xml:space="preserve">Aggregatibacter actinomycetemcomitans</w:t>
      </w:r>
      <w:r>
        <w:t xml:space="preserve">,</w:t>
      </w:r>
      <w:r>
        <w:t xml:space="preserve"> </w:t>
      </w:r>
      <w:r>
        <w:rPr>
          <w:i/>
          <w:iCs/>
        </w:rPr>
        <w:t xml:space="preserve">Fusobacterium nucleatum</w:t>
      </w:r>
      <w:r>
        <w:t xml:space="preserve">,</w:t>
      </w:r>
      <w:r>
        <w:t xml:space="preserve"> </w:t>
      </w:r>
      <w:r>
        <w:rPr>
          <w:i/>
          <w:iCs/>
        </w:rPr>
        <w:t xml:space="preserve">Porphyromonas gingivalis</w:t>
      </w:r>
      <w:r>
        <w:t xml:space="preserve">,</w:t>
      </w:r>
      <w:r>
        <w:t xml:space="preserve"> </w:t>
      </w:r>
      <w:r>
        <w:rPr>
          <w:i/>
          <w:iCs/>
        </w:rPr>
        <w:t xml:space="preserve">Streptococcus mutans</w:t>
      </w:r>
      <w:r>
        <w:t xml:space="preserve">,</w:t>
      </w:r>
      <w:r>
        <w:t xml:space="preserve"> </w:t>
      </w:r>
      <w:r>
        <w:rPr>
          <w:i/>
          <w:iCs/>
        </w:rPr>
        <w:t xml:space="preserve">S. sanguinis</w:t>
      </w:r>
      <w:r>
        <w:t xml:space="preserve">) and 5 gut (</w:t>
      </w:r>
      <w:r>
        <w:rPr>
          <w:i/>
          <w:iCs/>
        </w:rPr>
        <w:t xml:space="preserve">Akkermansia muciniphila</w:t>
      </w:r>
      <w:r>
        <w:t xml:space="preserve">,</w:t>
      </w:r>
      <w:r>
        <w:t xml:space="preserve"> </w:t>
      </w:r>
      <w:r>
        <w:rPr>
          <w:i/>
          <w:iCs/>
        </w:rPr>
        <w:t xml:space="preserve">Bacteroides fragilis</w:t>
      </w:r>
      <w:r>
        <w:t xml:space="preserve">,</w:t>
      </w:r>
      <w:r>
        <w:t xml:space="preserve"> </w:t>
      </w:r>
      <w:r>
        <w:rPr>
          <w:i/>
          <w:iCs/>
        </w:rPr>
        <w:t xml:space="preserve">B. longum</w:t>
      </w:r>
      <w:r>
        <w:t xml:space="preserve">,</w:t>
      </w:r>
      <w:r>
        <w:t xml:space="preserve"> </w:t>
      </w:r>
      <w:r>
        <w:rPr>
          <w:i/>
          <w:iCs/>
        </w:rPr>
        <w:t xml:space="preserve">Faecalibacterium prausnitzii</w:t>
      </w:r>
      <w:r>
        <w:t xml:space="preserve">,</w:t>
      </w:r>
      <w:r>
        <w:t xml:space="preserve"> </w:t>
      </w:r>
      <w:r>
        <w:rPr>
          <w:i/>
          <w:iCs/>
        </w:rPr>
        <w:t xml:space="preserve">Ruminococcus intestinalis</w:t>
      </w:r>
      <w:r>
        <w:t xml:space="preserve">), 5 genomes per species — compared all-vs-all (1,225 pairs). The 100 same-species pairs serve as the external near-clonal benchmark against FastANI and skani; 1,100 cross-species pairs probe the below-detection regime.</w:t>
      </w:r>
    </w:p>
    <w:p>
      <w:pPr>
        <w:pStyle w:val="BodyText"/>
      </w:pPr>
      <w:r>
        <w:rPr>
          <w:b/>
          <w:bCs/>
        </w:rPr>
        <w:t xml:space="preserve">Structural-variation and MAG validation.</w:t>
      </w:r>
      <w:r>
        <w:t xml:space="preserve"> </w:t>
      </w:r>
      <w:r>
        <w:t xml:space="preserve">-</w:t>
      </w:r>
      <w:r>
        <w:t xml:space="preserve"> </w:t>
      </w:r>
      <w:r>
        <w:rPr>
          <w:b/>
          <w:bCs/>
        </w:rPr>
        <w:t xml:space="preserve">Enterobacteriaceae completes.</w:t>
      </w:r>
      <w:r>
        <w:t xml:space="preserve"> </w:t>
      </w:r>
      <w:r>
        <w:t xml:space="preserve">13 finished chromosomes versus</w:t>
      </w:r>
      <w:r>
        <w:t xml:space="preserve"> </w:t>
      </w:r>
      <w:r>
        <w:rPr>
          <w:i/>
          <w:iCs/>
        </w:rPr>
        <w:t xml:space="preserve">E. coli</w:t>
      </w:r>
      <w:r>
        <w:t xml:space="preserve"> </w:t>
      </w:r>
      <w:r>
        <w:t xml:space="preserve">K-12 MG1655, spanning ANI ~81–99.99%. Three pairs (MG1655/W3110, MG1655/O157:H7 Sakai,</w:t>
      </w:r>
      <w:r>
        <w:t xml:space="preserve"> </w:t>
      </w:r>
      <w:r>
        <w:rPr>
          <w:i/>
          <w:iCs/>
        </w:rPr>
        <w:t xml:space="preserve">Salmonella</w:t>
      </w:r>
      <w:r>
        <w:t xml:space="preserve"> </w:t>
      </w:r>
      <w:r>
        <w:t xml:space="preserve">Typhi CT18 /</w:t>
      </w:r>
      <w:r>
        <w:t xml:space="preserve"> </w:t>
      </w:r>
      <w:r>
        <w:rPr>
          <w:i/>
          <w:iCs/>
        </w:rPr>
        <w:t xml:space="preserve">S.</w:t>
      </w:r>
      <w:r>
        <w:t xml:space="preserve"> </w:t>
      </w:r>
      <w:r>
        <w:t xml:space="preserve">Typhimurium LT2) double as the structural-variation validation set with dnadiff structural truth.</w:t>
      </w:r>
      <w:r>
        <w:t xml:space="preserve"> </w:t>
      </w:r>
      <w:r>
        <w:t xml:space="preserve">-</w:t>
      </w:r>
      <w:r>
        <w:t xml:space="preserve"> </w:t>
      </w:r>
      <w:r>
        <w:rPr>
          <w:b/>
          <w:bCs/>
        </w:rPr>
        <w:t xml:space="preserve">Real draft assemblies.</w:t>
      </w:r>
      <w:r>
        <w:t xml:space="preserve"> </w:t>
      </w:r>
      <w:r>
        <w:t xml:space="preserve">8</w:t>
      </w:r>
      <w:r>
        <w:t xml:space="preserve"> </w:t>
      </w:r>
      <w:r>
        <w:rPr>
          <w:i/>
          <w:iCs/>
        </w:rPr>
        <w:t xml:space="preserve">E. coli</w:t>
      </w:r>
      <w:r>
        <w:t xml:space="preserve"> </w:t>
      </w:r>
      <w:r>
        <w:t xml:space="preserve">assemblies from ENA (GCA_001283865, GCA_001077875, GCA_001284645, GCA_001283245, GCA_001283605, GCA_001284145, GCA_001283205, GCA_001075925; 88–8,025 contigs), including reverse-complement self-controls.</w:t>
      </w:r>
      <w:r>
        <w:t xml:space="preserve"> </w:t>
      </w:r>
      <w:r>
        <w:t xml:space="preserve">-</w:t>
      </w:r>
      <w:r>
        <w:t xml:space="preserve"> </w:t>
      </w:r>
      <w:r>
        <w:rPr>
          <w:b/>
          <w:bCs/>
        </w:rPr>
        <w:t xml:space="preserve">CAMI2 MAG benchmark.</w:t>
      </w:r>
      <w:r>
        <w:t xml:space="preserve"> </w:t>
      </w:r>
      <w:r>
        <w:t xml:space="preserve">35 short-read samples (25 strain-madness, 10 marine) assembled with MEGAHIT26, binned with MetaBAT227, and quality-scored with CheckM224,25; 695 bins ≥ 100 kbp were retained (HQ 200 / MQ 210 / LQ 285). Contigs were assigned to CAMI2 source genomes by exact k-mer membership; each bin was classified clean, strain-mixed, or cross-species, and paired with its dominant source genome (</w:t>
      </w:r>
      <w:r>
        <w:t xml:space="preserve">“anchor”</w:t>
      </w:r>
      <w:r>
        <w:t xml:space="preserve">). Each tool estimated ANI of the bin against the anchor reference; dnadiff/ANIm provided truth. Pipeline scripts and per-pair outputs are in</w:t>
      </w:r>
      <w:r>
        <w:t xml:space="preserve"> </w:t>
      </w:r>
      <w:r>
        <w:rPr>
          <w:rStyle w:val="VerbatimChar"/>
        </w:rPr>
        <w:t xml:space="preserve">results/mag_validation/</w:t>
      </w:r>
      <w:r>
        <w:t xml:space="preserve">.</w:t>
      </w:r>
      <w:r>
        <w:t xml:space="preserve"> </w:t>
      </w:r>
      <w:r>
        <w:t xml:space="preserve">-</w:t>
      </w:r>
      <w:r>
        <w:t xml:space="preserve"> </w:t>
      </w:r>
      <w:r>
        <w:rPr>
          <w:b/>
          <w:bCs/>
        </w:rPr>
        <w:t xml:space="preserve">Syntracker validation isolates.</w:t>
      </w:r>
      <w:r>
        <w:t xml:space="preserve"> </w:t>
      </w:r>
      <w:r>
        <w:t xml:space="preserve">Four published isolate collections were used to test whether high ANI guarantees conserved genome architecture:</w:t>
      </w:r>
      <w:r>
        <w:t xml:space="preserve"> </w:t>
      </w:r>
      <w:r>
        <w:rPr>
          <w:i/>
          <w:iCs/>
        </w:rPr>
        <w:t xml:space="preserve">Escherichia coli</w:t>
      </w:r>
      <w:r>
        <w:t xml:space="preserve"> </w:t>
      </w:r>
      <w:r>
        <w:t xml:space="preserve">hypermutator (23 isolates, 253 pairs),</w:t>
      </w:r>
      <w:r>
        <w:t xml:space="preserve"> </w:t>
      </w:r>
      <w:r>
        <w:rPr>
          <w:i/>
          <w:iCs/>
        </w:rPr>
        <w:t xml:space="preserve">Helicobacter pylori</w:t>
      </w:r>
      <w:r>
        <w:t xml:space="preserve"> </w:t>
      </w:r>
      <w:r>
        <w:t xml:space="preserve">(77 isolates, 2,926 pairs),</w:t>
      </w:r>
      <w:r>
        <w:t xml:space="preserve"> </w:t>
      </w:r>
      <w:r>
        <w:rPr>
          <w:i/>
          <w:iCs/>
        </w:rPr>
        <w:t xml:space="preserve">Neisseria gonorrhoeae</w:t>
      </w:r>
      <w:r>
        <w:t xml:space="preserve"> </w:t>
      </w:r>
      <w:r>
        <w:t xml:space="preserve">(66 pairs), and</w:t>
      </w:r>
      <w:r>
        <w:t xml:space="preserve"> </w:t>
      </w:r>
      <w:r>
        <w:rPr>
          <w:i/>
          <w:iCs/>
        </w:rPr>
        <w:t xml:space="preserve">Streptomyces rimosus</w:t>
      </w:r>
      <w:r>
        <w:t xml:space="preserve"> </w:t>
      </w:r>
      <w:r>
        <w:t xml:space="preserve">(190 pairs). SRA accessions and references are in</w:t>
      </w:r>
      <w:r>
        <w:t xml:space="preserve"> </w:t>
      </w:r>
      <w:r>
        <w:rPr>
          <w:rStyle w:val="VerbatimChar"/>
        </w:rPr>
        <w:t xml:space="preserve">data/syntracker/</w:t>
      </w:r>
      <w:r>
        <w:t xml:space="preserve">. Reads were assembled and every pair was scored with the Syn2b structural channel (</w:t>
      </w:r>
      <w:r>
        <w:rPr>
          <w:rStyle w:val="VerbatimChar"/>
        </w:rPr>
        <w:t xml:space="preserve">syn2b synteny</w:t>
      </w:r>
      <w:r>
        <w:t xml:space="preserve">, four-enzyme panel;</w:t>
      </w:r>
      <w:r>
        <w:t xml:space="preserve"> </w:t>
      </w:r>
      <w:r>
        <w:rPr>
          <w:rStyle w:val="VerbatimChar"/>
        </w:rPr>
        <w:t xml:space="preserve">data/syntracker_validation/syn2b_structural_raw/</w:t>
      </w:r>
      <w:r>
        <w:t xml:space="preserve">), with a self-comparison of every assembly as the fragmentation control;</w:t>
      </w:r>
      <w:r>
        <w:t xml:space="preserve"> </w:t>
      </w:r>
      <w:r>
        <w:rPr>
          <w:rStyle w:val="VerbatimChar"/>
        </w:rPr>
        <w:t xml:space="preserve">results/syntracker_validation/SYNTRACKER_STRUCTURAL_REANALYSIS.md</w:t>
      </w:r>
      <w:r>
        <w:t xml:space="preserve"> </w:t>
      </w:r>
      <w:r>
        <w:t xml:space="preserve">gives the cohort summary. An earlier pass with</w:t>
      </w:r>
      <w:r>
        <w:t xml:space="preserve"> </w:t>
      </w:r>
      <w:r>
        <w:rPr>
          <w:rStyle w:val="VerbatimChar"/>
        </w:rPr>
        <w:t xml:space="preserve">syn2bani ani</w:t>
      </w:r>
      <w:r>
        <w:t xml:space="preserve"> </w:t>
      </w:r>
      <w:r>
        <w:t xml:space="preserve">built before c974f5f produced</w:t>
      </w:r>
      <w:r>
        <w:t xml:space="preserve"> </w:t>
      </w:r>
      <w:r>
        <w:rPr>
          <w:rStyle w:val="VerbatimChar"/>
        </w:rPr>
        <w:t xml:space="preserve">breakpoint_count</w:t>
      </w:r>
      <w:r>
        <w:t xml:space="preserve"> </w:t>
      </w:r>
      <w:r>
        <w:t xml:space="preserve">values of ~900 for self-comparisons of these draft assemblies; those outputs (</w:t>
      </w:r>
      <w:r>
        <w:rPr>
          <w:rStyle w:val="VerbatimChar"/>
        </w:rPr>
        <w:t xml:space="preserve">data/syntracker_validation/syn2bani/</w:t>
      </w:r>
      <w:r>
        <w:t xml:space="preserve">,</w:t>
      </w:r>
      <w:r>
        <w:t xml:space="preserve"> </w:t>
      </w:r>
      <w:r>
        <w:rPr>
          <w:rStyle w:val="VerbatimChar"/>
        </w:rPr>
        <w:t xml:space="preserve">results/syntracker_validation/syntracker_summary_pre_fix.tsv</w:t>
      </w:r>
      <w:r>
        <w:t xml:space="preserve">) are retained for the record and are not used.</w:t>
      </w:r>
      <w:r>
        <w:t xml:space="preserve"> </w:t>
      </w:r>
      <w:r>
        <w:t xml:space="preserve">-</w:t>
      </w:r>
      <w:r>
        <w:t xml:space="preserve"> </w:t>
      </w:r>
      <w:r>
        <w:rPr>
          <w:b/>
          <w:bCs/>
        </w:rPr>
        <w:t xml:space="preserve">cagPAI pilot panel.</w:t>
      </w:r>
      <w:r>
        <w:t xml:space="preserve"> </w:t>
      </w:r>
      <w:r>
        <w:t xml:space="preserve">Eight</w:t>
      </w:r>
      <w:r>
        <w:t xml:space="preserve"> </w:t>
      </w:r>
      <w:r>
        <w:rPr>
          <w:i/>
          <w:iCs/>
        </w:rPr>
        <w:t xml:space="preserve">H. pylori</w:t>
      </w:r>
      <w:r>
        <w:t xml:space="preserve"> </w:t>
      </w:r>
      <w:r>
        <w:t xml:space="preserve">26695-derived genomes were generated to test exact SV recovery: wild-type, a 36,154 bp cagPAI deletion, a 36,154 bp cagPAI inversion, a 36,154 bp cagPAI translocation, and the same three events on a mutated background carrying ~1% substitutions (mut1). All eight genomes were compared all-vs-all with</w:t>
      </w:r>
      <w:r>
        <w:t xml:space="preserve"> </w:t>
      </w:r>
      <w:r>
        <w:rPr>
          <w:rStyle w:val="VerbatimChar"/>
        </w:rPr>
        <w:t xml:space="preserve">syn2bani ani</w:t>
      </w:r>
      <w:r>
        <w:t xml:space="preserve"> </w:t>
      </w:r>
      <w:r>
        <w:t xml:space="preserve">and</w:t>
      </w:r>
      <w:r>
        <w:t xml:space="preserve"> </w:t>
      </w:r>
      <w:r>
        <w:rPr>
          <w:rStyle w:val="VerbatimChar"/>
        </w:rPr>
        <w:t xml:space="preserve">syn2bani struct</w:t>
      </w:r>
      <w:r>
        <w:t xml:space="preserve">; event sizes and coordinates are known by construction (</w:t>
      </w:r>
      <w:r>
        <w:rPr>
          <w:rStyle w:val="VerbatimChar"/>
        </w:rPr>
        <w:t xml:space="preserve">data/cagpai_pilot/</w:t>
      </w:r>
      <w:r>
        <w:t xml:space="preserve">).</w:t>
      </w:r>
      <w:r>
        <w:t xml:space="preserve"> </w:t>
      </w:r>
      <w:r>
        <w:t xml:space="preserve">-</w:t>
      </w:r>
      <w:r>
        <w:t xml:space="preserve"> </w:t>
      </w:r>
      <w:r>
        <w:rPr>
          <w:b/>
          <w:bCs/>
          <w:i/>
          <w:iCs/>
        </w:rPr>
        <w:t xml:space="preserve">H. pylori</w:t>
      </w:r>
      <w:r>
        <w:rPr>
          <w:b/>
          <w:bCs/>
        </w:rPr>
        <w:t xml:space="preserve"> </w:t>
      </w:r>
      <w:r>
        <w:rPr>
          <w:b/>
          <w:bCs/>
        </w:rPr>
        <w:t xml:space="preserve">cagPAI cohort.</w:t>
      </w:r>
      <w:r>
        <w:t xml:space="preserve"> </w:t>
      </w:r>
      <w:r>
        <w:t xml:space="preserve">Five hundred and twenty-eight</w:t>
      </w:r>
      <w:r>
        <w:t xml:space="preserve"> </w:t>
      </w:r>
      <w:r>
        <w:rPr>
          <w:i/>
          <w:iCs/>
        </w:rPr>
        <w:t xml:space="preserve">H. pylori</w:t>
      </w:r>
      <w:r>
        <w:t xml:space="preserve"> </w:t>
      </w:r>
      <w:r>
        <w:t xml:space="preserve">genomes from Song et al. (2026)41 were compared against reference 26695 with</w:t>
      </w:r>
      <w:r>
        <w:t xml:space="preserve"> </w:t>
      </w:r>
      <w:r>
        <w:rPr>
          <w:rStyle w:val="VerbatimChar"/>
        </w:rPr>
        <w:t xml:space="preserve">syn2bani struct --bed --circular NC_000915.1</w:t>
      </w:r>
      <w:r>
        <w:t xml:space="preserve">. Marker-gene presence for 28 cagPAI CDS (HP0520–HP0547) was assessed with</w:t>
      </w:r>
      <w:r>
        <w:t xml:space="preserve"> </w:t>
      </w:r>
      <w:r>
        <w:rPr>
          <w:rStyle w:val="VerbatimChar"/>
        </w:rPr>
        <w:t xml:space="preserve">minimap2 -cx asm20</w:t>
      </w:r>
      <w:r>
        <w:t xml:space="preserve"> </w:t>
      </w:r>
      <w:r>
        <w:t xml:space="preserve">(≥80% coverage, ≥80% identity). Genomes with ≥90% markers present were classified as</w:t>
      </w:r>
      <w:r>
        <w:t xml:space="preserve"> </w:t>
      </w:r>
      <w:r>
        <w:rPr>
          <w:rStyle w:val="VerbatimChar"/>
        </w:rPr>
        <w:t xml:space="preserve">complete</w:t>
      </w:r>
      <w:r>
        <w:t xml:space="preserve">; among these, any inversion or translocation overlapping cagPAI coordinates (NC_000915.1: 547,327–583,481, ±2 kb buffer) was classified as</w:t>
      </w:r>
      <w:r>
        <w:t xml:space="preserve"> </w:t>
      </w:r>
      <w:r>
        <w:rPr>
          <w:rStyle w:val="VerbatimChar"/>
        </w:rPr>
        <w:t xml:space="preserve">complete_rearranged</w:t>
      </w:r>
      <w:r>
        <w:t xml:space="preserve">, otherwise</w:t>
      </w:r>
      <w:r>
        <w:t xml:space="preserve"> </w:t>
      </w:r>
      <w:r>
        <w:rPr>
          <w:rStyle w:val="VerbatimChar"/>
        </w:rPr>
        <w:t xml:space="preserve">complete_collinear</w:t>
      </w:r>
      <w:r>
        <w:t xml:space="preserve">. Complete-marker genomes whose only cagPAI-overlapping SV was a genome-spanning call (&gt;50% of the 1,667,825 bp chromosome) were reclassified as</w:t>
      </w:r>
      <w:r>
        <w:t xml:space="preserve"> </w:t>
      </w:r>
      <w:r>
        <w:rPr>
          <w:rStyle w:val="VerbatimChar"/>
        </w:rPr>
        <w:t xml:space="preserve">complete_collinear</w:t>
      </w:r>
      <w:r>
        <w:t xml:space="preserve"> </w:t>
      </w:r>
      <w:r>
        <w:t xml:space="preserve">because such calls reflect the arbitrary choice of start coordinate on a circular chromosome rather than a local rearrangement. Isolation metadata (disease stage, country, FastBAPS lineage, phylogenetic population) were taken from the original publication. Disease-stage associations were tested with Pearson χ² and with Cochran–Mantel–Haenszel (CMH) tests stratified by FastBAPS lineage. Independent isolate metadata generated by the study collaborators were merged by GCA accession: cagA detection with EPIYA genotyping and genome-level rescue, vacA s/i/m typing, and CARD resistance hits (Perfect/Strict only; macrolide resistance defined by 23S rRNA A2146G/A2147G mutations). Cross-validation and SV–resistance associations used Fisher exact tests with Woolf odds ratios, CMH stratification by FastBAPS lineage, Breslow–Day homogeneity tests, and Benjamini–Hochberg FDR across executed tests. The 26 genomes discordant between marker state and cagA typing were reviewed at assembly level: all 28 markers were re-anchored with</w:t>
      </w:r>
      <w:r>
        <w:t xml:space="preserve"> </w:t>
      </w:r>
      <w:r>
        <w:rPr>
          <w:rStyle w:val="VerbatimChar"/>
        </w:rPr>
        <w:t xml:space="preserve">minimap2 -cx asm20</w:t>
      </w:r>
      <w:r>
        <w:t xml:space="preserve"> </w:t>
      </w:r>
      <w:r>
        <w:t xml:space="preserve">and an</w:t>
      </w:r>
      <w:r>
        <w:t xml:space="preserve"> </w:t>
      </w:r>
      <w:r>
        <w:rPr>
          <w:rStyle w:val="VerbatimChar"/>
        </w:rPr>
        <w:t xml:space="preserve">asm5</w:t>
      </w:r>
      <w:r>
        <w:t xml:space="preserve"> </w:t>
      </w:r>
      <w:r>
        <w:t xml:space="preserve">confirmation pass, cagA presence was assayed by marker alignment and 19-mer positional coverage, and cagPAI-window coverage was measured from the minimap2 alignment against reference 26695 (</w:t>
      </w:r>
      <w:r>
        <w:rPr>
          <w:rStyle w:val="VerbatimChar"/>
        </w:rPr>
        <w:t xml:space="preserve">case_studies/h_pylori_cagpai/</w:t>
      </w:r>
      <w:r>
        <w:t xml:space="preserve">). Finally, complete-marker genomes were split by locality relative to the island window — entirely inside it (</w:t>
      </w:r>
      <w:r>
        <w:rPr>
          <w:rStyle w:val="VerbatimChar"/>
        </w:rPr>
        <w:t xml:space="preserve">island_internal</w:t>
      </w:r>
      <w:r>
        <w:t xml:space="preserve">), one endpoint inside it (</w:t>
      </w:r>
      <w:r>
        <w:rPr>
          <w:rStyle w:val="VerbatimChar"/>
        </w:rPr>
        <w:t xml:space="preserve">island_boundary</w:t>
      </w:r>
      <w:r>
        <w:t xml:space="preserve">), spanning the whole window (</w:t>
      </w:r>
      <w:r>
        <w:rPr>
          <w:rStyle w:val="VerbatimChar"/>
        </w:rPr>
        <w:t xml:space="preserve">island_spanned</w:t>
      </w:r>
      <w:r>
        <w:t xml:space="preserve">), or</w:t>
      </w:r>
      <w:r>
        <w:t xml:space="preserve"> </w:t>
      </w:r>
      <w:r>
        <w:rPr>
          <w:rStyle w:val="VerbatimChar"/>
        </w:rPr>
        <w:t xml:space="preserve">complete_collinear</w:t>
      </w:r>
      <w:r>
        <w:t xml:space="preserve"> </w:t>
      </w:r>
      <w:r>
        <w:t xml:space="preserve">— by</w:t>
      </w:r>
      <w:r>
        <w:t xml:space="preserve"> </w:t>
      </w:r>
      <w:r>
        <w:rPr>
          <w:rStyle w:val="VerbatimChar"/>
        </w:rPr>
        <w:t xml:space="preserve">case_studies/h_pylori_cagpai/scripts/classify_locality.py</w:t>
      </w:r>
      <w:r>
        <w:t xml:space="preserve">. In an exploratory post hoc analysis, we tested the global disease-stage × locality table and a binary island-altering definition (</w:t>
      </w:r>
      <w:r>
        <w:rPr>
          <w:rStyle w:val="VerbatimChar"/>
        </w:rPr>
        <w:t xml:space="preserve">island_internal</w:t>
      </w:r>
      <w:r>
        <w:t xml:space="preserve"> </w:t>
      </w:r>
      <w:r>
        <w:t xml:space="preserve">or</w:t>
      </w:r>
      <w:r>
        <w:t xml:space="preserve"> </w:t>
      </w:r>
      <w:r>
        <w:rPr>
          <w:rStyle w:val="VerbatimChar"/>
        </w:rPr>
        <w:t xml:space="preserve">island_boundary</w:t>
      </w:r>
      <w:r>
        <w:t xml:space="preserve"> </w:t>
      </w:r>
      <w:r>
        <w:t xml:space="preserve">versus</w:t>
      </w:r>
      <w:r>
        <w:t xml:space="preserve"> </w:t>
      </w:r>
      <w:r>
        <w:rPr>
          <w:rStyle w:val="VerbatimChar"/>
        </w:rPr>
        <w:t xml:space="preserve">island_spanned</w:t>
      </w:r>
      <w:r>
        <w:t xml:space="preserve"> </w:t>
      </w:r>
      <w:r>
        <w:t xml:space="preserve">or</w:t>
      </w:r>
      <w:r>
        <w:t xml:space="preserve"> </w:t>
      </w:r>
      <w:r>
        <w:rPr>
          <w:rStyle w:val="VerbatimChar"/>
        </w:rPr>
        <w:t xml:space="preserve">complete_collinear</w:t>
      </w:r>
      <w:r>
        <w:t xml:space="preserve">) in GC versus NAG and advanced (GC/IM) versus early (AG/NAG) comparisons using Fisher exact tests, CMH stratification by FastBAPS lineage and Benjamini–Hochberg FDR across the three locality tests (</w:t>
      </w:r>
      <w:r>
        <w:rPr>
          <w:rStyle w:val="VerbatimChar"/>
        </w:rPr>
        <w:t xml:space="preserve">analyze_locality_association.py</w:t>
      </w:r>
      <w:r>
        <w:t xml:space="preserve">; Python 3.9, SciPy 1.13.1, statsmodels 0.14.6).</w:t>
      </w:r>
      <w:r>
        <w:t xml:space="preserve"> </w:t>
      </w:r>
      <w:r>
        <w:t xml:space="preserve">-</w:t>
      </w:r>
      <w:r>
        <w:t xml:space="preserve"> </w:t>
      </w:r>
      <w:r>
        <w:rPr>
          <w:b/>
          <w:bCs/>
          <w:i/>
          <w:iCs/>
        </w:rPr>
        <w:t xml:space="preserve">E. coli</w:t>
      </w:r>
      <w:r>
        <w:rPr>
          <w:b/>
          <w:bCs/>
        </w:rPr>
        <w:t xml:space="preserve"> </w:t>
      </w:r>
      <w:r>
        <w:rPr>
          <w:b/>
          <w:bCs/>
        </w:rPr>
        <w:t xml:space="preserve">O157:H7 collection.</w:t>
      </w:r>
      <w:r>
        <w:t xml:space="preserve"> </w:t>
      </w:r>
      <w:r>
        <w:t xml:space="preserve">Seventy-four complete</w:t>
      </w:r>
      <w:r>
        <w:t xml:space="preserve"> </w:t>
      </w:r>
      <w:r>
        <w:rPr>
          <w:i/>
          <w:iCs/>
        </w:rPr>
        <w:t xml:space="preserve">E. coli</w:t>
      </w:r>
      <w:r>
        <w:t xml:space="preserve"> </w:t>
      </w:r>
      <w:r>
        <w:t xml:space="preserve">O157:H7 genomes from Fitzgerald et al. (2021)42 were compared all-vs-all with</w:t>
      </w:r>
      <w:r>
        <w:t xml:space="preserve"> </w:t>
      </w:r>
      <w:r>
        <w:rPr>
          <w:rStyle w:val="VerbatimChar"/>
        </w:rPr>
        <w:t xml:space="preserve">syn2bani triangle --edge-list --verbose</w:t>
      </w:r>
      <w:r>
        <w:t xml:space="preserve"> </w:t>
      </w:r>
      <w:r>
        <w:t xml:space="preserve">(2,701 pairs). Host source and lineage assignments were taken from the original publication; lineages were grouped as I/II, II, Ia, and Ic. Genomes were re-downloaded from NCBI and the comparison re-run with v0.1.1 by</w:t>
      </w:r>
      <w:r>
        <w:t xml:space="preserve"> </w:t>
      </w:r>
      <w:r>
        <w:rPr>
          <w:rStyle w:val="VerbatimChar"/>
        </w:rPr>
        <w:t xml:space="preserve">case_studies/rerun_breakpoints.py --study ecoli_o157_fitzgerald_2021</w:t>
      </w:r>
      <w:r>
        <w:t xml:space="preserve"> </w:t>
      </w:r>
      <w:r>
        <w:t xml:space="preserve">(</w:t>
      </w:r>
      <w:r>
        <w:rPr>
          <w:rStyle w:val="VerbatimChar"/>
        </w:rPr>
        <w:t xml:space="preserve">case_studies/ecoli_o157_fitzgerald_2021/</w:t>
      </w:r>
      <w:r>
        <w:t xml:space="preserve">).</w:t>
      </w:r>
      <w:r>
        <w:t xml:space="preserve"> </w:t>
      </w:r>
      <w:r>
        <w:t xml:space="preserve">-</w:t>
      </w:r>
      <w:r>
        <w:t xml:space="preserve"> </w:t>
      </w:r>
      <w:r>
        <w:rPr>
          <w:b/>
          <w:bCs/>
        </w:rPr>
        <w:t xml:space="preserve">FDA-ARGOS</w:t>
      </w:r>
      <w:r>
        <w:rPr>
          <w:b/>
          <w:bCs/>
        </w:rPr>
        <w:t xml:space="preserve"> </w:t>
      </w:r>
      <w:r>
        <w:rPr>
          <w:b/>
          <w:bCs/>
          <w:i/>
          <w:iCs/>
        </w:rPr>
        <w:t xml:space="preserve">E. coli</w:t>
      </w:r>
      <w:r>
        <w:rPr>
          <w:b/>
          <w:bCs/>
        </w:rPr>
        <w:t xml:space="preserve"> </w:t>
      </w:r>
      <w:r>
        <w:rPr>
          <w:b/>
          <w:bCs/>
        </w:rPr>
        <w:t xml:space="preserve">AMR genotypes.</w:t>
      </w:r>
      <w:r>
        <w:t xml:space="preserve"> </w:t>
      </w:r>
      <w:r>
        <w:t xml:space="preserve">The 129 assemblies were compared with Syn2bANI, and structural calls were validated with minimap2. Core AMR genotypes were obtained from</w:t>
      </w:r>
      <w:r>
        <w:t xml:space="preserve"> </w:t>
      </w:r>
      <w:r>
        <w:rPr>
          <w:rStyle w:val="VerbatimChar"/>
        </w:rPr>
        <w:t xml:space="preserve">case_studies/fda_argos/metadata_ecoli.tsv</w:t>
      </w:r>
      <w:r>
        <w:t xml:space="preserve">, downloaded from NCBI Pathogen Detection with AMRFinderPlus applied, and joined by assembly accession; analysis used the</w:t>
      </w:r>
      <w:r>
        <w:t xml:space="preserve"> </w:t>
      </w:r>
      <w:r>
        <w:rPr>
          <w:rStyle w:val="VerbatimChar"/>
        </w:rPr>
        <w:t xml:space="preserve">AMR_genotypes_core</w:t>
      </w:r>
      <w:r>
        <w:t xml:space="preserve"> </w:t>
      </w:r>
      <w:r>
        <w:t xml:space="preserve">field. This core field contains acquired genes plus AMRFinderPlus-called resistance point mutations. For pair discordance, genes present in at least half of the 129 genomes were treated as prevalent/intrinsic and removed; the remaining symmetric difference defined a core-AMR discordant pair (</w:t>
      </w:r>
      <w:r>
        <w:rPr>
          <w:rStyle w:val="VerbatimChar"/>
        </w:rPr>
        <w:t xml:space="preserve">amr_discordance.py</w:t>
      </w:r>
      <w:r>
        <w:t xml:space="preserve">). The curated</w:t>
      </w:r>
      <w:r>
        <w:t xml:space="preserve"> </w:t>
      </w:r>
      <w:r>
        <w:rPr>
          <w:i/>
          <w:iCs/>
        </w:rPr>
        <w:t xml:space="preserve">H. pylori</w:t>
      </w:r>
      <w:r>
        <w:t xml:space="preserve"> </w:t>
      </w:r>
      <w:r>
        <w:t xml:space="preserve">CARD metadata used for Fig. 8 is a separate collaborator dataset and is not the source for FDA-ARGOS.</w:t>
      </w:r>
      <w:r>
        <w:t xml:space="preserve"> </w:t>
      </w:r>
      <w:r>
        <w:t xml:space="preserve">-</w:t>
      </w:r>
      <w:r>
        <w:t xml:space="preserve"> </w:t>
      </w:r>
      <w:r>
        <w:rPr>
          <w:b/>
          <w:bCs/>
        </w:rPr>
        <w:t xml:space="preserve">FDA-ARGOS</w:t>
      </w:r>
      <w:r>
        <w:rPr>
          <w:b/>
          <w:bCs/>
        </w:rPr>
        <w:t xml:space="preserve"> </w:t>
      </w:r>
      <w:r>
        <w:rPr>
          <w:b/>
          <w:bCs/>
          <w:i/>
          <w:iCs/>
        </w:rPr>
        <w:t xml:space="preserve">S. aureus</w:t>
      </w:r>
      <w:r>
        <w:rPr>
          <w:b/>
          <w:bCs/>
        </w:rPr>
        <w:t xml:space="preserve">.</w:t>
      </w:r>
      <w:r>
        <w:t xml:space="preserve"> </w:t>
      </w:r>
      <w:r>
        <w:t xml:space="preserve">The 122</w:t>
      </w:r>
      <w:r>
        <w:t xml:space="preserve"> </w:t>
      </w:r>
      <w:r>
        <w:rPr>
          <w:i/>
          <w:iCs/>
        </w:rPr>
        <w:t xml:space="preserve">Staphylococcus aureus</w:t>
      </w:r>
      <w:r>
        <w:t xml:space="preserve"> </w:t>
      </w:r>
      <w:r>
        <w:t xml:space="preserve">accessions in the FDA-ARGOS repository43 resolve to 67 distinct assemblies: 54 are the GenBank copy, or a superseded version, of another accession in the list, and comparing both copies would compare a genome with itself under two names. One accession per assembly stem was kept (RefSeq preferred, then the highest version), giving 67 genomes and 2,211 pairs, compared all-vs-all with</w:t>
      </w:r>
      <w:r>
        <w:t xml:space="preserve"> </w:t>
      </w:r>
      <w:r>
        <w:rPr>
          <w:rStyle w:val="VerbatimChar"/>
        </w:rPr>
        <w:t xml:space="preserve">syn2bani triangle --edge-list --verbose</w:t>
      </w:r>
      <w:r>
        <w:t xml:space="preserve">. Country and isolation-source metadata were taken from NCBI assembly records; 351 of the 2,211 pairs have no country on either side. Re-run with v0.1.1 by</w:t>
      </w:r>
      <w:r>
        <w:t xml:space="preserve"> </w:t>
      </w:r>
      <w:r>
        <w:rPr>
          <w:rStyle w:val="VerbatimChar"/>
        </w:rPr>
        <w:t xml:space="preserve">case_studies/rerun_breakpoints.py --study fda_argos_s_aureus --dedup-stem</w:t>
      </w:r>
      <w:r>
        <w:t xml:space="preserve"> </w:t>
      </w:r>
      <w:r>
        <w:t xml:space="preserve">(</w:t>
      </w:r>
      <w:r>
        <w:rPr>
          <w:rStyle w:val="VerbatimChar"/>
        </w:rPr>
        <w:t xml:space="preserve">case_studies/fda_argos_s_aureus/</w:t>
      </w:r>
      <w:r>
        <w:t xml:space="preserve">).</w:t>
      </w:r>
      <w:r>
        <w:t xml:space="preserve"> </w:t>
      </w:r>
      <w:r>
        <w:t xml:space="preserve">-</w:t>
      </w:r>
      <w:r>
        <w:t xml:space="preserve"> </w:t>
      </w:r>
      <w:r>
        <w:rPr>
          <w:b/>
          <w:bCs/>
          <w:i/>
          <w:iCs/>
        </w:rPr>
        <w:t xml:space="preserve">B. longum</w:t>
      </w:r>
      <w:r>
        <w:rPr>
          <w:b/>
          <w:bCs/>
        </w:rPr>
        <w:t xml:space="preserve"> </w:t>
      </w:r>
      <w:r>
        <w:rPr>
          <w:b/>
          <w:bCs/>
        </w:rPr>
        <w:t xml:space="preserve">abfA collection.</w:t>
      </w:r>
      <w:r>
        <w:t xml:space="preserve"> </w:t>
      </w:r>
      <w:r>
        <w:t xml:space="preserve">One hundred and eighty-five</w:t>
      </w:r>
      <w:r>
        <w:t xml:space="preserve"> </w:t>
      </w:r>
      <w:r>
        <w:rPr>
          <w:i/>
          <w:iCs/>
        </w:rPr>
        <w:t xml:space="preserve">Bifidobacterium longum</w:t>
      </w:r>
      <w:r>
        <w:t xml:space="preserve"> </w:t>
      </w:r>
      <w:r>
        <w:t xml:space="preserve">isolates from a constipation-treatment study44 were compared all-vs-all with</w:t>
      </w:r>
      <w:r>
        <w:t xml:space="preserve"> </w:t>
      </w:r>
      <w:r>
        <w:rPr>
          <w:rStyle w:val="VerbatimChar"/>
        </w:rPr>
        <w:t xml:space="preserve">syn2bani ani</w:t>
      </w:r>
      <w:r>
        <w:t xml:space="preserve"> </w:t>
      </w:r>
      <w:r>
        <w:t xml:space="preserve">(17,020 pairs). Curated metadata labels each strain as abfA-cluster-complete or deleted/peripheral-truncated (cluster2 in the original study). Locus-targeted chain coverage was computed by aligning each genome against an abfA-complete reference (FSHHK16M1) with</w:t>
      </w:r>
      <w:r>
        <w:t xml:space="preserve"> </w:t>
      </w:r>
      <w:r>
        <w:rPr>
          <w:rStyle w:val="VerbatimChar"/>
        </w:rPr>
        <w:t xml:space="preserve">syn2bani struct --paf</w:t>
      </w:r>
      <w:r>
        <w:t xml:space="preserve"> </w:t>
      </w:r>
      <w:r>
        <w:t xml:space="preserve">and summing chain coverage in 1 kb bins across the 8.5–37.1 kb abfA locus (</w:t>
      </w:r>
      <w:r>
        <w:rPr>
          <w:rStyle w:val="VerbatimChar"/>
        </w:rPr>
        <w:t xml:space="preserve">results/b_longum_abfA/</w:t>
      </w:r>
      <w:r>
        <w:t xml:space="preserve">).</w:t>
      </w:r>
    </w:p>
    <w:p>
      <w:pPr>
        <w:pStyle w:val="BodyText"/>
      </w:pPr>
      <w:r>
        <w:rPr>
          <w:b/>
          <w:bCs/>
        </w:rPr>
        <w:t xml:space="preserve">Tools and versions.</w:t>
      </w:r>
      <w:r>
        <w:t xml:space="preserve"> </w:t>
      </w:r>
      <w:r>
        <w:t xml:space="preserve">Syn2bANI 0.1.0 (default panel BcgI,AlfI,AloI,FalI; embedded calibration v5; benchmark calibration v6 in</w:t>
      </w:r>
      <w:r>
        <w:t xml:space="preserve"> </w:t>
      </w:r>
      <w:r>
        <w:rPr>
          <w:rStyle w:val="VerbatimChar"/>
        </w:rPr>
        <w:t xml:space="preserve">results/panel_by_band/linear_cal_v6.json</w:t>
      </w:r>
      <w:r>
        <w:t xml:space="preserve">), skani 0.3.2, FastANI 1.33/1.34, MUMmer/dnadiff 3.23. All ANI comparisons used skani 0.3.2, including the simulation ladder, Enterobacteriaceae small subset, SynTracker cohorts, GTDB-R207 pre-screen and database-scale runs. skani was run with default parameters throughout; its documentation recommends</w:t>
      </w:r>
      <w:r>
        <w:t xml:space="preserve"> </w:t>
      </w:r>
      <w:r>
        <w:rPr>
          <w:rStyle w:val="VerbatimChar"/>
        </w:rPr>
        <w:t xml:space="preserve">-c</w:t>
      </w:r>
      <w:r>
        <w:t xml:space="preserve"> </w:t>
      </w:r>
      <w:r>
        <w:t xml:space="preserve">adjustments below ~90% ANI, which were not applied. Per-pair efficiency was measured on a Mac Studio (Apple M4 Max, 16 cores, 128 GB RAM; 3 repetitions, medians reported); database-scale runs used a 32-thread HPC node. skani’s n = 22</w:t>
      </w:r>
      <w:r>
        <w:t xml:space="preserve"> </w:t>
      </w:r>
      <w:r>
        <w:rPr>
          <w:rStyle w:val="VerbatimChar"/>
        </w:rPr>
        <w:t xml:space="preserve">dist</w:t>
      </w:r>
      <w:r>
        <w:t xml:space="preserve"> </w:t>
      </w:r>
      <w:r>
        <w:t xml:space="preserve">time covers only 302/484 reported pairs (minimum-AF filter) and excludes sketching; this is noted wherever the comparison appears.</w:t>
      </w:r>
    </w:p>
    <w:bookmarkEnd w:id="39"/>
    <w:bookmarkStart w:id="40" w:name="implementation"/>
    <w:p>
      <w:pPr>
        <w:pStyle w:val="Heading3"/>
      </w:pPr>
      <w:r>
        <w:t xml:space="preserve">Implementation</w:t>
      </w:r>
    </w:p>
    <w:p>
      <w:pPr>
        <w:pStyle w:val="FirstParagraph"/>
      </w:pPr>
      <w:r>
        <w:t xml:space="preserve">Syn2bANI is implemented in Rust (edition 2021) with needletail for FASTA parsing and rayon for data parallelism. The CLI mirrors skani’s subcommand structure (</w:t>
      </w:r>
      <w:r>
        <w:rPr>
          <w:rStyle w:val="VerbatimChar"/>
        </w:rPr>
        <w:t xml:space="preserve">dist</w:t>
      </w:r>
      <w:r>
        <w:t xml:space="preserve">,</w:t>
      </w:r>
      <w:r>
        <w:t xml:space="preserve"> </w:t>
      </w:r>
      <w:r>
        <w:rPr>
          <w:rStyle w:val="VerbatimChar"/>
        </w:rPr>
        <w:t xml:space="preserve">search</w:t>
      </w:r>
      <w:r>
        <w:t xml:space="preserve">,</w:t>
      </w:r>
      <w:r>
        <w:t xml:space="preserve"> </w:t>
      </w:r>
      <w:r>
        <w:rPr>
          <w:rStyle w:val="VerbatimChar"/>
        </w:rPr>
        <w:t xml:space="preserve">sketch</w:t>
      </w:r>
      <w:r>
        <w:t xml:space="preserve">,</w:t>
      </w:r>
      <w:r>
        <w:t xml:space="preserve"> </w:t>
      </w:r>
      <w:r>
        <w:rPr>
          <w:rStyle w:val="VerbatimChar"/>
        </w:rPr>
        <w:t xml:space="preserve">triangle</w:t>
      </w:r>
      <w:r>
        <w:t xml:space="preserve">) and adds</w:t>
      </w:r>
      <w:r>
        <w:t xml:space="preserve"> </w:t>
      </w:r>
      <w:r>
        <w:rPr>
          <w:rStyle w:val="VerbatimChar"/>
        </w:rPr>
        <w:t xml:space="preserve">ani</w:t>
      </w:r>
      <w:r>
        <w:t xml:space="preserve"> </w:t>
      </w:r>
      <w:r>
        <w:t xml:space="preserve">(pairwise MLE),</w:t>
      </w:r>
      <w:r>
        <w:t xml:space="preserve"> </w:t>
      </w:r>
      <w:r>
        <w:rPr>
          <w:rStyle w:val="VerbatimChar"/>
        </w:rPr>
        <w:t xml:space="preserve">db</w:t>
      </w:r>
      <w:r>
        <w:t xml:space="preserve"> </w:t>
      </w:r>
      <w:r>
        <w:t xml:space="preserve">(sketch-database management), and</w:t>
      </w:r>
      <w:r>
        <w:t xml:space="preserve"> </w:t>
      </w:r>
      <w:r>
        <w:rPr>
          <w:rStyle w:val="VerbatimChar"/>
        </w:rPr>
        <w:t xml:space="preserve">struct</w:t>
      </w:r>
      <w:r>
        <w:t xml:space="preserve"> </w:t>
      </w:r>
      <w:r>
        <w:t xml:space="preserve">(SV calling). The</w:t>
      </w:r>
      <w:r>
        <w:t xml:space="preserve"> </w:t>
      </w:r>
      <w:r>
        <w:rPr>
          <w:rStyle w:val="VerbatimChar"/>
        </w:rPr>
        <w:t xml:space="preserve">.s2ba</w:t>
      </w:r>
      <w:r>
        <w:t xml:space="preserve"> </w:t>
      </w:r>
      <w:r>
        <w:t xml:space="preserve">sketch format stores 2-bit-packed tags with their coordinates and records the enzyme table (older sketches remain readable); a sketch is ~120–180 KB per genome and the store is ~5× smaller than skani’s at n = 22. Sketch reuse makes repeated comparisons against the same genomes bit-identical at ~5× lower peak memory. The calibration model is an embedded JSON (ridge weights, scaling, feature order) evaluated at runtime in &lt; 1 µs; the 95–99.5% training expansion and all calibration scripts are released. The test suite (120 tests at the time of writing, including rescue-pass, geometry, screen, and synteny-statistics regressions) is green in release mode.</w:t>
      </w:r>
    </w:p>
    <w:p>
      <w:r>
        <w:pict>
          <v:rect style="width:0;height:1.5pt" o:hralign="center" o:hrstd="t" o:hr="t"/>
        </w:pict>
      </w:r>
    </w:p>
    <w:bookmarkEnd w:id="40"/>
    <w:bookmarkEnd w:id="41"/>
    <w:bookmarkStart w:id="42" w:name="data-availability"/>
    <w:p>
      <w:pPr>
        <w:pStyle w:val="Heading2"/>
      </w:pPr>
      <w:r>
        <w:t xml:space="preserve">Data availability</w:t>
      </w:r>
    </w:p>
    <w:p>
      <w:pPr>
        <w:pStyle w:val="FirstParagraph"/>
      </w:pPr>
      <w:r>
        <w:t xml:space="preserve">All benchmark datasets, ground-truth files, evaluation matrices, and figure-generation scripts are available in the project repository at https://github.com/HuangShiLab/Syn2bANI-paper. These include the simulation manifests, the 2,074-pair GTDB-R207 ANIm benchmark (</w:t>
      </w:r>
      <w:r>
        <w:rPr>
          <w:rStyle w:val="VerbatimChar"/>
        </w:rPr>
        <w:t xml:space="preserve">results/panel_by_band/</w:t>
      </w:r>
      <w:r>
        <w:t xml:space="preserve">), the 467-pair 95–99.5% ANIm expansion (</w:t>
      </w:r>
      <w:r>
        <w:rPr>
          <w:rStyle w:val="VerbatimChar"/>
        </w:rPr>
        <w:t xml:space="preserve">results/anim_truth_hi95_v9rescue.tsv</w:t>
      </w:r>
      <w:r>
        <w:t xml:space="preserve">), the 43,334-pair held-out GTDB-R207 benchmark (</w:t>
      </w:r>
      <w:r>
        <w:rPr>
          <w:rStyle w:val="VerbatimChar"/>
        </w:rPr>
        <w:t xml:space="preserve">results/gtdb50k/</w:t>
      </w:r>
      <w:r>
        <w:t xml:space="preserve">), the unified high-ANI benchmark (</w:t>
      </w:r>
      <w:r>
        <w:rPr>
          <w:rStyle w:val="VerbatimChar"/>
        </w:rPr>
        <w:t xml:space="preserve">results/gtdb50k/high_ani_results.tsv</w:t>
      </w:r>
      <w:r>
        <w:t xml:space="preserve">), the CAMI2 MAG benchmark (</w:t>
      </w:r>
      <w:r>
        <w:rPr>
          <w:rStyle w:val="VerbatimChar"/>
        </w:rPr>
        <w:t xml:space="preserve">results/mag_validation/</w:t>
      </w:r>
      <w:r>
        <w:t xml:space="preserve">), the SV validation (</w:t>
      </w:r>
      <w:r>
        <w:rPr>
          <w:rStyle w:val="VerbatimChar"/>
        </w:rPr>
        <w:t xml:space="preserve">results/sv_validation/</w:t>
      </w:r>
      <w:r>
        <w:t xml:space="preserve">), the synteny benchmark (</w:t>
      </w:r>
      <w:r>
        <w:rPr>
          <w:rStyle w:val="VerbatimChar"/>
        </w:rPr>
        <w:t xml:space="preserve">results/synteny_bench/</w:t>
      </w:r>
      <w:r>
        <w:t xml:space="preserve">), the Syntracker isolate re-analysis (</w:t>
      </w:r>
      <w:r>
        <w:rPr>
          <w:rStyle w:val="VerbatimChar"/>
        </w:rPr>
        <w:t xml:space="preserve">results/syntracker_validation/</w:t>
      </w:r>
      <w:r>
        <w:t xml:space="preserve">), the</w:t>
      </w:r>
      <w:r>
        <w:t xml:space="preserve"> </w:t>
      </w:r>
      <w:r>
        <w:rPr>
          <w:i/>
          <w:iCs/>
        </w:rPr>
        <w:t xml:space="preserve">H. pylori</w:t>
      </w:r>
      <w:r>
        <w:t xml:space="preserve"> </w:t>
      </w:r>
      <w:r>
        <w:t xml:space="preserve">cagPAI cohort including locality and association tables (</w:t>
      </w:r>
      <w:r>
        <w:rPr>
          <w:rStyle w:val="VerbatimChar"/>
        </w:rPr>
        <w:t xml:space="preserve">case_studies/h_pylori_cagpai/results/</w:t>
      </w:r>
      <w:r>
        <w:t xml:space="preserve">), and the species-level census summaries, QC reports, sensitivity analyses and figure files for GTDB-R207, HROM and OAPGC (</w:t>
      </w:r>
      <w:r>
        <w:rPr>
          <w:rStyle w:val="VerbatimChar"/>
        </w:rPr>
        <w:t xml:space="preserve">results/census/</w:t>
      </w:r>
      <w:r>
        <w:t xml:space="preserve">). Revision-specific outputs include calibration v5/v6 provenance (</w:t>
      </w:r>
      <w:r>
        <w:rPr>
          <w:rStyle w:val="VerbatimChar"/>
        </w:rPr>
        <w:t xml:space="preserve">results/gtdb50k/CALIBRATION_PROVENANCE.md</w:t>
      </w:r>
      <w:r>
        <w:t xml:space="preserve">), dependence-aware uncertainty intervals (</w:t>
      </w:r>
      <w:r>
        <w:rPr>
          <w:rStyle w:val="VerbatimChar"/>
        </w:rPr>
        <w:t xml:space="preserve">results/revision/dependence_aware_uncertainty.tsv</w:t>
      </w:r>
      <w:r>
        <w:t xml:space="preserve"> </w:t>
      </w:r>
      <w:r>
        <w:t xml:space="preserve">and</w:t>
      </w:r>
      <w:r>
        <w:t xml:space="preserve"> </w:t>
      </w:r>
      <w:r>
        <w:rPr>
          <w:rStyle w:val="VerbatimChar"/>
        </w:rPr>
        <w:t xml:space="preserve">results/revision/DEPENDENCE_AWARE_UNCERTAINTY_REPORT.md</w:t>
      </w:r>
      <w:r>
        <w:t xml:space="preserve">), and GTDB ANI merge QC (</w:t>
      </w:r>
      <w:r>
        <w:rPr>
          <w:rStyle w:val="VerbatimChar"/>
        </w:rPr>
        <w:t xml:space="preserve">results/census/gtdb/GTDB_ANI_MERGE_QC_NOTES.md</w:t>
      </w:r>
      <w:r>
        <w:t xml:space="preserve">); Supplementary Notes 4–7 and Tables S4–S7 are in the Supplementary Information package. Pair-level census tables will be deposited in Zenodo upon acceptance. GTDB release R207 is available from https://gtdb.ecogenomic.org; HROM is described by Cha et al.45; and OAPGC is described by Zou et al.46. The reference for exact-truth simulations is</w:t>
      </w:r>
      <w:r>
        <w:t xml:space="preserve"> </w:t>
      </w:r>
      <w:r>
        <w:rPr>
          <w:i/>
          <w:iCs/>
        </w:rPr>
        <w:t xml:space="preserve">E. coli</w:t>
      </w:r>
      <w:r>
        <w:t xml:space="preserve"> </w:t>
      </w:r>
      <w:r>
        <w:t xml:space="preserve">K-12 MG1655, ENA accession U00096.3.</w:t>
      </w:r>
    </w:p>
    <w:bookmarkEnd w:id="42"/>
    <w:bookmarkStart w:id="43" w:name="code-availability"/>
    <w:p>
      <w:pPr>
        <w:pStyle w:val="Heading2"/>
      </w:pPr>
      <w:r>
        <w:t xml:space="preserve">Code availability</w:t>
      </w:r>
    </w:p>
    <w:p>
      <w:pPr>
        <w:pStyle w:val="FirstParagraph"/>
      </w:pPr>
      <w:r>
        <w:t xml:space="preserve">Syn2bANI is free and open source (MIT License) at https://github.com/HuangShiLab/Syn2bANI, including the Rust source, integration tests, the exact-truth simulation harness, and the embedded calibration model. The software snapshot is 0.1.0 with calibration model v5 (commit</w:t>
      </w:r>
      <w:r>
        <w:t xml:space="preserve"> </w:t>
      </w:r>
      <w:r>
        <w:rPr>
          <w:rStyle w:val="VerbatimChar"/>
        </w:rPr>
        <w:t xml:space="preserve">fe0f36c</w:t>
      </w:r>
      <w:r>
        <w:t xml:space="preserve">). The larger real-genome evaluation uses archived benchmark calibration v6 (</w:t>
      </w:r>
      <w:r>
        <w:rPr>
          <w:rStyle w:val="VerbatimChar"/>
        </w:rPr>
        <w:t xml:space="preserve">results/panel_by_band/linear_cal_v6.json</w:t>
      </w:r>
      <w:r>
        <w:t xml:space="preserve">); v5 and v6 are not interchangeable labels, and their training provenance is stated in Online Methods.</w:t>
      </w:r>
    </w:p>
    <w:p>
      <w:pPr>
        <w:pStyle w:val="BodyText"/>
      </w:pPr>
      <w:r>
        <w:t xml:space="preserve">The</w:t>
      </w:r>
      <w:r>
        <w:t xml:space="preserve"> </w:t>
      </w:r>
      <w:r>
        <w:rPr>
          <w:rStyle w:val="VerbatimChar"/>
        </w:rPr>
        <w:t xml:space="preserve">raw_inverted_fraction</w:t>
      </w:r>
      <w:r>
        <w:t xml:space="preserve"> </w:t>
      </w:r>
      <w:r>
        <w:t xml:space="preserve">values in Fig. 5a,b are produced by the companion tool Syn2b (MIT License, https://github.com/HuangShiLab/Syn2b), which digests the same genomes with the same Type IIB enzyme panel and writes its own anchor file (</w:t>
      </w:r>
      <w:r>
        <w:rPr>
          <w:rStyle w:val="VerbatimChar"/>
        </w:rPr>
        <w:t xml:space="preserve">.tgt</w:t>
      </w:r>
      <w:r>
        <w:t xml:space="preserve">). Syn2b also hosts the derivation of the count-versus-ratio distinction under assembly fragmentation (</w:t>
      </w:r>
      <w:r>
        <w:rPr>
          <w:rStyle w:val="VerbatimChar"/>
        </w:rPr>
        <w:t xml:space="preserve">docs/MATH_REVIEW.md</w:t>
      </w:r>
      <w:r>
        <w:t xml:space="preserve">) and the detection-power analysis (</w:t>
      </w:r>
      <w:r>
        <w:rPr>
          <w:rStyle w:val="VerbatimChar"/>
        </w:rPr>
        <w:t xml:space="preserve">docs/PHASE2_DETECTION_POWER.md</w:t>
      </w:r>
      <w:r>
        <w:t xml:space="preserve">). All other structural columns reported here are Syn2bANI outputs.</w:t>
      </w:r>
    </w:p>
    <w:bookmarkEnd w:id="43"/>
    <w:bookmarkStart w:id="44" w:name="acknowledgements"/>
    <w:p>
      <w:pPr>
        <w:pStyle w:val="Heading2"/>
      </w:pPr>
      <w:r>
        <w:t xml:space="preserve">Acknowledgements</w:t>
      </w:r>
    </w:p>
    <w:p>
      <w:pPr>
        <w:pStyle w:val="FirstParagraph"/>
      </w:pPr>
      <w:r>
        <w:t xml:space="preserve">[To be determined.]</w:t>
      </w:r>
    </w:p>
    <w:bookmarkEnd w:id="44"/>
    <w:bookmarkStart w:id="45" w:name="author-contributions"/>
    <w:p>
      <w:pPr>
        <w:pStyle w:val="Heading2"/>
      </w:pPr>
      <w:r>
        <w:t xml:space="preserve">Author contributions</w:t>
      </w:r>
    </w:p>
    <w:p>
      <w:pPr>
        <w:pStyle w:val="FirstParagraph"/>
      </w:pPr>
      <w:r>
        <w:t xml:space="preserve">Y.Z. implemented the software, designed and executed the benchmarks, and generated the figures. S.H. conceived the project, supervised the research, and wrote the manuscript with input from Y.Z.</w:t>
      </w:r>
    </w:p>
    <w:bookmarkEnd w:id="45"/>
    <w:bookmarkStart w:id="46" w:name="competing-interests"/>
    <w:p>
      <w:pPr>
        <w:pStyle w:val="Heading2"/>
      </w:pPr>
      <w:r>
        <w:t xml:space="preserve">Competing interests</w:t>
      </w:r>
    </w:p>
    <w:p>
      <w:pPr>
        <w:pStyle w:val="FirstParagraph"/>
      </w:pPr>
      <w:r>
        <w:t xml:space="preserve">The authors declare no competing interests.</w:t>
      </w:r>
    </w:p>
    <w:bookmarkEnd w:id="46"/>
    <w:bookmarkStart w:id="47" w:name="references"/>
    <w:p>
      <w:pPr>
        <w:pStyle w:val="Heading2"/>
      </w:pPr>
      <w:r>
        <w:t xml:space="preserve">References</w:t>
      </w:r>
    </w:p>
    <w:p>
      <w:pPr>
        <w:pStyle w:val="Compact"/>
        <w:numPr>
          <w:ilvl w:val="0"/>
          <w:numId w:val="1001"/>
        </w:numPr>
      </w:pPr>
      <w:r>
        <w:t xml:space="preserve">Konstantinidis, K. T. &amp; Tiedje, J. M. Genomic insights that advance the species definition for prokaryotes.</w:t>
      </w:r>
      <w:r>
        <w:t xml:space="preserve"> </w:t>
      </w:r>
      <w:r>
        <w:rPr>
          <w:i/>
          <w:iCs/>
        </w:rPr>
        <w:t xml:space="preserve">Proc. Natl. Acad. Sci. USA</w:t>
      </w:r>
      <w:r>
        <w:t xml:space="preserve"> </w:t>
      </w:r>
      <w:r>
        <w:rPr>
          <w:b/>
          <w:bCs/>
        </w:rPr>
        <w:t xml:space="preserve">102</w:t>
      </w:r>
      <w:r>
        <w:t xml:space="preserve">, 2567–2572 (2005).</w:t>
      </w:r>
    </w:p>
    <w:p>
      <w:pPr>
        <w:pStyle w:val="Compact"/>
        <w:numPr>
          <w:ilvl w:val="0"/>
          <w:numId w:val="1001"/>
        </w:numPr>
      </w:pPr>
      <w:r>
        <w:t xml:space="preserve">Jain, C., Rodriguez-R, L. M., Phillippy, A. M., Konstantinidis, K. T. &amp; Aluru, S. High throughput ANI analysis of 90K prokaryotic genomes reveals clear species boundaries.</w:t>
      </w:r>
      <w:r>
        <w:t xml:space="preserve"> </w:t>
      </w:r>
      <w:r>
        <w:rPr>
          <w:i/>
          <w:iCs/>
        </w:rPr>
        <w:t xml:space="preserve">Nat. Commun.</w:t>
      </w:r>
      <w:r>
        <w:t xml:space="preserve"> </w:t>
      </w:r>
      <w:r>
        <w:rPr>
          <w:b/>
          <w:bCs/>
        </w:rPr>
        <w:t xml:space="preserve">9</w:t>
      </w:r>
      <w:r>
        <w:t xml:space="preserve">, 5114 (2018).</w:t>
      </w:r>
    </w:p>
    <w:p>
      <w:pPr>
        <w:pStyle w:val="Compact"/>
        <w:numPr>
          <w:ilvl w:val="0"/>
          <w:numId w:val="1001"/>
        </w:numPr>
      </w:pPr>
      <w:r>
        <w:t xml:space="preserve">Bowers, R. M. et al. Minimum information about a metagenome-assembled genome (MIMAG) of bacteria and archaea.</w:t>
      </w:r>
      <w:r>
        <w:t xml:space="preserve"> </w:t>
      </w:r>
      <w:r>
        <w:rPr>
          <w:i/>
          <w:iCs/>
        </w:rPr>
        <w:t xml:space="preserve">Nat. Biotechnol.</w:t>
      </w:r>
      <w:r>
        <w:t xml:space="preserve"> </w:t>
      </w:r>
      <w:r>
        <w:rPr>
          <w:b/>
          <w:bCs/>
        </w:rPr>
        <w:t xml:space="preserve">35</w:t>
      </w:r>
      <w:r>
        <w:t xml:space="preserve">, 725–731 (2017).</w:t>
      </w:r>
    </w:p>
    <w:p>
      <w:pPr>
        <w:pStyle w:val="Compact"/>
        <w:numPr>
          <w:ilvl w:val="0"/>
          <w:numId w:val="1001"/>
        </w:numPr>
      </w:pPr>
      <w:r>
        <w:t xml:space="preserve">Marçais, G. et al. MUMmer4: A fast and versatile genome alignment system.</w:t>
      </w:r>
      <w:r>
        <w:t xml:space="preserve"> </w:t>
      </w:r>
      <w:r>
        <w:rPr>
          <w:i/>
          <w:iCs/>
        </w:rPr>
        <w:t xml:space="preserve">PLoS Comput. Biol.</w:t>
      </w:r>
      <w:r>
        <w:t xml:space="preserve"> </w:t>
      </w:r>
      <w:r>
        <w:rPr>
          <w:b/>
          <w:bCs/>
        </w:rPr>
        <w:t xml:space="preserve">14</w:t>
      </w:r>
      <w:r>
        <w:t xml:space="preserve">, e1005944 (2018).</w:t>
      </w:r>
    </w:p>
    <w:p>
      <w:pPr>
        <w:pStyle w:val="Compact"/>
        <w:numPr>
          <w:ilvl w:val="0"/>
          <w:numId w:val="1001"/>
        </w:numPr>
      </w:pPr>
      <w:r>
        <w:t xml:space="preserve">Richter, M. &amp; Rosselló-Móra, R. Shifting the genomic gold standard for the prokaryotic species definition.</w:t>
      </w:r>
      <w:r>
        <w:t xml:space="preserve"> </w:t>
      </w:r>
      <w:r>
        <w:rPr>
          <w:i/>
          <w:iCs/>
        </w:rPr>
        <w:t xml:space="preserve">Proc. Natl. Acad. Sci. USA</w:t>
      </w:r>
      <w:r>
        <w:t xml:space="preserve"> </w:t>
      </w:r>
      <w:r>
        <w:rPr>
          <w:b/>
          <w:bCs/>
        </w:rPr>
        <w:t xml:space="preserve">106</w:t>
      </w:r>
      <w:r>
        <w:t xml:space="preserve">, 19126–19131 (2009).</w:t>
      </w:r>
    </w:p>
    <w:p>
      <w:pPr>
        <w:pStyle w:val="Compact"/>
        <w:numPr>
          <w:ilvl w:val="0"/>
          <w:numId w:val="1001"/>
        </w:numPr>
      </w:pPr>
      <w:r>
        <w:t xml:space="preserve">Shaw, J. &amp; Yu, Y. W. Fast and robust metagenomic sequence comparison through sparse chaining with skani.</w:t>
      </w:r>
      <w:r>
        <w:t xml:space="preserve"> </w:t>
      </w:r>
      <w:r>
        <w:rPr>
          <w:i/>
          <w:iCs/>
        </w:rPr>
        <w:t xml:space="preserve">Nat. Methods</w:t>
      </w:r>
      <w:r>
        <w:t xml:space="preserve"> </w:t>
      </w:r>
      <w:r>
        <w:rPr>
          <w:b/>
          <w:bCs/>
        </w:rPr>
        <w:t xml:space="preserve">20</w:t>
      </w:r>
      <w:r>
        <w:t xml:space="preserve">, 1661–1665 (2023).</w:t>
      </w:r>
    </w:p>
    <w:p>
      <w:pPr>
        <w:pStyle w:val="Compact"/>
        <w:numPr>
          <w:ilvl w:val="0"/>
          <w:numId w:val="1001"/>
        </w:numPr>
      </w:pPr>
      <w:r>
        <w:t xml:space="preserve">Wang, S., Meyer, E., McKay, J. K. &amp; Matz, M. V. 2b-RAD: a simple and flexible method for genome-wide genotyping.</w:t>
      </w:r>
      <w:r>
        <w:t xml:space="preserve"> </w:t>
      </w:r>
      <w:r>
        <w:rPr>
          <w:i/>
          <w:iCs/>
        </w:rPr>
        <w:t xml:space="preserve">Nat. Methods</w:t>
      </w:r>
      <w:r>
        <w:t xml:space="preserve"> </w:t>
      </w:r>
      <w:r>
        <w:rPr>
          <w:b/>
          <w:bCs/>
        </w:rPr>
        <w:t xml:space="preserve">9</w:t>
      </w:r>
      <w:r>
        <w:t xml:space="preserve">, 808–810 (2012).</w:t>
      </w:r>
    </w:p>
    <w:p>
      <w:pPr>
        <w:pStyle w:val="Compact"/>
        <w:numPr>
          <w:ilvl w:val="0"/>
          <w:numId w:val="1001"/>
        </w:numPr>
      </w:pPr>
      <w:r>
        <w:t xml:space="preserve">Sun, Z., Huang, S., Zhu, P. et al. Species-resolved sequencing of low-biomass or degraded microbiomes using 2bRAD-M.</w:t>
      </w:r>
      <w:r>
        <w:t xml:space="preserve"> </w:t>
      </w:r>
      <w:r>
        <w:rPr>
          <w:i/>
          <w:iCs/>
        </w:rPr>
        <w:t xml:space="preserve">Genome Biol.</w:t>
      </w:r>
      <w:r>
        <w:t xml:space="preserve"> </w:t>
      </w:r>
      <w:r>
        <w:rPr>
          <w:b/>
          <w:bCs/>
        </w:rPr>
        <w:t xml:space="preserve">23</w:t>
      </w:r>
      <w:r>
        <w:t xml:space="preserve">, 36 (2022).</w:t>
      </w:r>
    </w:p>
    <w:p>
      <w:pPr>
        <w:pStyle w:val="Compact"/>
        <w:numPr>
          <w:ilvl w:val="0"/>
          <w:numId w:val="1001"/>
        </w:numPr>
      </w:pPr>
      <w:r>
        <w:t xml:space="preserve">Yang, Z. Maximum likelihood phylogenetic estimation from DNA sequences with variable rates over sites: approximate methods.</w:t>
      </w:r>
      <w:r>
        <w:t xml:space="preserve"> </w:t>
      </w:r>
      <w:r>
        <w:rPr>
          <w:i/>
          <w:iCs/>
        </w:rPr>
        <w:t xml:space="preserve">J. Mol. Evol.</w:t>
      </w:r>
      <w:r>
        <w:t xml:space="preserve"> </w:t>
      </w:r>
      <w:r>
        <w:rPr>
          <w:b/>
          <w:bCs/>
        </w:rPr>
        <w:t xml:space="preserve">39</w:t>
      </w:r>
      <w:r>
        <w:t xml:space="preserve">, 306–314 (1994).</w:t>
      </w:r>
    </w:p>
    <w:p>
      <w:pPr>
        <w:pStyle w:val="Compact"/>
        <w:numPr>
          <w:ilvl w:val="0"/>
          <w:numId w:val="1001"/>
        </w:numPr>
      </w:pPr>
      <w:r>
        <w:t xml:space="preserve">Enav, H., Paz, I. &amp; Ley, R. E. Strain tracking in complex microbiomes using synteny analysis reveals per-species modes of evolution.</w:t>
      </w:r>
      <w:r>
        <w:t xml:space="preserve"> </w:t>
      </w:r>
      <w:r>
        <w:rPr>
          <w:i/>
          <w:iCs/>
        </w:rPr>
        <w:t xml:space="preserve">Nat. Biotechnol.</w:t>
      </w:r>
      <w:r>
        <w:t xml:space="preserve"> </w:t>
      </w:r>
      <w:r>
        <w:rPr>
          <w:b/>
          <w:bCs/>
        </w:rPr>
        <w:t xml:space="preserve">43</w:t>
      </w:r>
      <w:r>
        <w:t xml:space="preserve">, 773–783 (2025).</w:t>
      </w:r>
    </w:p>
    <w:p>
      <w:pPr>
        <w:pStyle w:val="Compact"/>
        <w:numPr>
          <w:ilvl w:val="0"/>
          <w:numId w:val="1001"/>
        </w:numPr>
      </w:pPr>
      <w:r>
        <w:t xml:space="preserve">Parks, D. H. et al. A standardized bacterial taxonomy based on genome phylogeny substantially revises the tree of life.</w:t>
      </w:r>
      <w:r>
        <w:t xml:space="preserve"> </w:t>
      </w:r>
      <w:r>
        <w:rPr>
          <w:i/>
          <w:iCs/>
        </w:rPr>
        <w:t xml:space="preserve">Nat. Biotechnol.</w:t>
      </w:r>
      <w:r>
        <w:t xml:space="preserve"> </w:t>
      </w:r>
      <w:r>
        <w:rPr>
          <w:b/>
          <w:bCs/>
        </w:rPr>
        <w:t xml:space="preserve">36</w:t>
      </w:r>
      <w:r>
        <w:t xml:space="preserve">, 996–1004 (2018).</w:t>
      </w:r>
    </w:p>
    <w:p>
      <w:pPr>
        <w:pStyle w:val="Compact"/>
        <w:numPr>
          <w:ilvl w:val="0"/>
          <w:numId w:val="1001"/>
        </w:numPr>
      </w:pPr>
      <w:r>
        <w:t xml:space="preserve">Parks, D. H. et al. GTDB: an ongoing census of bacterial and archaeal diversity through a phylogenetically consistent, rank normalized and complete genome-based taxonomy.</w:t>
      </w:r>
      <w:r>
        <w:t xml:space="preserve"> </w:t>
      </w:r>
      <w:r>
        <w:rPr>
          <w:i/>
          <w:iCs/>
        </w:rPr>
        <w:t xml:space="preserve">Nucleic Acids Res.</w:t>
      </w:r>
      <w:r>
        <w:t xml:space="preserve"> </w:t>
      </w:r>
      <w:r>
        <w:rPr>
          <w:b/>
          <w:bCs/>
        </w:rPr>
        <w:t xml:space="preserve">50</w:t>
      </w:r>
      <w:r>
        <w:t xml:space="preserve">, D785–D794 (2022).</w:t>
      </w:r>
    </w:p>
    <w:p>
      <w:pPr>
        <w:pStyle w:val="Compact"/>
        <w:numPr>
          <w:ilvl w:val="0"/>
          <w:numId w:val="1001"/>
        </w:numPr>
      </w:pPr>
      <w:r>
        <w:t xml:space="preserve">Ondov, B. D. et al. Mash: fast genome and metagenome distance estimation using MinHash.</w:t>
      </w:r>
      <w:r>
        <w:t xml:space="preserve"> </w:t>
      </w:r>
      <w:r>
        <w:rPr>
          <w:i/>
          <w:iCs/>
        </w:rPr>
        <w:t xml:space="preserve">Genome Biol.</w:t>
      </w:r>
      <w:r>
        <w:t xml:space="preserve"> </w:t>
      </w:r>
      <w:r>
        <w:rPr>
          <w:b/>
          <w:bCs/>
        </w:rPr>
        <w:t xml:space="preserve">17</w:t>
      </w:r>
      <w:r>
        <w:t xml:space="preserve">, 132 (2016).</w:t>
      </w:r>
    </w:p>
    <w:p>
      <w:pPr>
        <w:pStyle w:val="Compact"/>
        <w:numPr>
          <w:ilvl w:val="0"/>
          <w:numId w:val="1001"/>
        </w:numPr>
      </w:pPr>
      <w:r>
        <w:t xml:space="preserve">Baker, D. N. &amp; Langmead, B. Dashing: fast and accurate genomic distances with HyperLogLog.</w:t>
      </w:r>
      <w:r>
        <w:t xml:space="preserve"> </w:t>
      </w:r>
      <w:r>
        <w:rPr>
          <w:i/>
          <w:iCs/>
        </w:rPr>
        <w:t xml:space="preserve">Genome Biol.</w:t>
      </w:r>
      <w:r>
        <w:t xml:space="preserve"> </w:t>
      </w:r>
      <w:r>
        <w:rPr>
          <w:b/>
          <w:bCs/>
        </w:rPr>
        <w:t xml:space="preserve">20</w:t>
      </w:r>
      <w:r>
        <w:t xml:space="preserve">, 265 (2019).</w:t>
      </w:r>
    </w:p>
    <w:p>
      <w:pPr>
        <w:pStyle w:val="Compact"/>
        <w:numPr>
          <w:ilvl w:val="0"/>
          <w:numId w:val="1001"/>
        </w:numPr>
      </w:pPr>
      <w:r>
        <w:t xml:space="preserve">Zhao, X. BinDash, software for fast genome distance estimation on a typical personal laptop.</w:t>
      </w:r>
      <w:r>
        <w:t xml:space="preserve"> </w:t>
      </w:r>
      <w:r>
        <w:rPr>
          <w:i/>
          <w:iCs/>
        </w:rPr>
        <w:t xml:space="preserve">Bioinformatics</w:t>
      </w:r>
      <w:r>
        <w:t xml:space="preserve"> </w:t>
      </w:r>
      <w:r>
        <w:rPr>
          <w:b/>
          <w:bCs/>
        </w:rPr>
        <w:t xml:space="preserve">35</w:t>
      </w:r>
      <w:r>
        <w:t xml:space="preserve">, 671–673 (2019).</w:t>
      </w:r>
    </w:p>
    <w:p>
      <w:pPr>
        <w:pStyle w:val="Compact"/>
        <w:numPr>
          <w:ilvl w:val="0"/>
          <w:numId w:val="1001"/>
        </w:numPr>
      </w:pPr>
      <w:r>
        <w:t xml:space="preserve">Olm, M. R., Brown, C. T., Brooks, B. &amp; Banfield, J. F. dRep: a tool for fast and accurate genomic comparisons that enables improved genome recovery from metagenomes through de-replication.</w:t>
      </w:r>
      <w:r>
        <w:t xml:space="preserve"> </w:t>
      </w:r>
      <w:r>
        <w:rPr>
          <w:i/>
          <w:iCs/>
        </w:rPr>
        <w:t xml:space="preserve">ISME J.</w:t>
      </w:r>
      <w:r>
        <w:t xml:space="preserve"> </w:t>
      </w:r>
      <w:r>
        <w:rPr>
          <w:b/>
          <w:bCs/>
        </w:rPr>
        <w:t xml:space="preserve">11</w:t>
      </w:r>
      <w:r>
        <w:t xml:space="preserve">, 2864–2868 (2017).</w:t>
      </w:r>
    </w:p>
    <w:p>
      <w:pPr>
        <w:pStyle w:val="Compact"/>
        <w:numPr>
          <w:ilvl w:val="0"/>
          <w:numId w:val="1001"/>
        </w:numPr>
      </w:pPr>
      <w:r>
        <w:t xml:space="preserve">Kurtz, S. et al. Versatile and open software for comparing large genomes.</w:t>
      </w:r>
      <w:r>
        <w:t xml:space="preserve"> </w:t>
      </w:r>
      <w:r>
        <w:rPr>
          <w:i/>
          <w:iCs/>
        </w:rPr>
        <w:t xml:space="preserve">Genome Biol.</w:t>
      </w:r>
      <w:r>
        <w:t xml:space="preserve"> </w:t>
      </w:r>
      <w:r>
        <w:rPr>
          <w:b/>
          <w:bCs/>
        </w:rPr>
        <w:t xml:space="preserve">5</w:t>
      </w:r>
      <w:r>
        <w:t xml:space="preserve">, R12 (2004).</w:t>
      </w:r>
    </w:p>
    <w:p>
      <w:pPr>
        <w:pStyle w:val="Compact"/>
        <w:numPr>
          <w:ilvl w:val="0"/>
          <w:numId w:val="1001"/>
        </w:numPr>
      </w:pPr>
      <w:r>
        <w:t xml:space="preserve">Li, H. Minimap2: pairwise alignment for nucleotide sequences.</w:t>
      </w:r>
      <w:r>
        <w:t xml:space="preserve"> </w:t>
      </w:r>
      <w:r>
        <w:rPr>
          <w:i/>
          <w:iCs/>
        </w:rPr>
        <w:t xml:space="preserve">Bioinformatics</w:t>
      </w:r>
      <w:r>
        <w:t xml:space="preserve"> </w:t>
      </w:r>
      <w:r>
        <w:rPr>
          <w:b/>
          <w:bCs/>
        </w:rPr>
        <w:t xml:space="preserve">34</w:t>
      </w:r>
      <w:r>
        <w:t xml:space="preserve">, 3094–3100 (2018).</w:t>
      </w:r>
    </w:p>
    <w:p>
      <w:pPr>
        <w:pStyle w:val="Compact"/>
        <w:numPr>
          <w:ilvl w:val="0"/>
          <w:numId w:val="1001"/>
        </w:numPr>
      </w:pPr>
      <w:r>
        <w:t xml:space="preserve">Hickey, G. et al. Pangenome graph construction from genome alignments with Minigraph-Cactus.</w:t>
      </w:r>
      <w:r>
        <w:t xml:space="preserve"> </w:t>
      </w:r>
      <w:r>
        <w:rPr>
          <w:i/>
          <w:iCs/>
        </w:rPr>
        <w:t xml:space="preserve">Nat. Biotechnol.</w:t>
      </w:r>
      <w:r>
        <w:t xml:space="preserve"> </w:t>
      </w:r>
      <w:r>
        <w:rPr>
          <w:b/>
          <w:bCs/>
        </w:rPr>
        <w:t xml:space="preserve">42</w:t>
      </w:r>
      <w:r>
        <w:t xml:space="preserve">, 663–673 (2024).</w:t>
      </w:r>
    </w:p>
    <w:p>
      <w:pPr>
        <w:pStyle w:val="Compact"/>
        <w:numPr>
          <w:ilvl w:val="0"/>
          <w:numId w:val="1001"/>
        </w:numPr>
      </w:pPr>
      <w:r>
        <w:t xml:space="preserve">Goel, M., Sun, H., Jiao, W.-B. &amp; Schneeberger, K. SyRI: finding genomic rearrangements and local sequence differences from whole-genome assemblies.</w:t>
      </w:r>
      <w:r>
        <w:t xml:space="preserve"> </w:t>
      </w:r>
      <w:r>
        <w:rPr>
          <w:i/>
          <w:iCs/>
        </w:rPr>
        <w:t xml:space="preserve">Genome Biol.</w:t>
      </w:r>
      <w:r>
        <w:t xml:space="preserve"> </w:t>
      </w:r>
      <w:r>
        <w:rPr>
          <w:b/>
          <w:bCs/>
        </w:rPr>
        <w:t xml:space="preserve">20</w:t>
      </w:r>
      <w:r>
        <w:t xml:space="preserve">, 277 (2019).</w:t>
      </w:r>
    </w:p>
    <w:p>
      <w:pPr>
        <w:pStyle w:val="Compact"/>
        <w:numPr>
          <w:ilvl w:val="0"/>
          <w:numId w:val="1001"/>
        </w:numPr>
      </w:pPr>
      <w:r>
        <w:t xml:space="preserve">Darling, A. E., Mau, B. &amp; Perna, N. T. progressiveMauve: multiple genome alignment with gene gain, loss and rearrangement.</w:t>
      </w:r>
      <w:r>
        <w:t xml:space="preserve"> </w:t>
      </w:r>
      <w:r>
        <w:rPr>
          <w:i/>
          <w:iCs/>
        </w:rPr>
        <w:t xml:space="preserve">PLoS One</w:t>
      </w:r>
      <w:r>
        <w:t xml:space="preserve"> </w:t>
      </w:r>
      <w:r>
        <w:rPr>
          <w:b/>
          <w:bCs/>
        </w:rPr>
        <w:t xml:space="preserve">5</w:t>
      </w:r>
      <w:r>
        <w:t xml:space="preserve">, e11147 (2010).</w:t>
      </w:r>
    </w:p>
    <w:p>
      <w:pPr>
        <w:pStyle w:val="Compact"/>
        <w:numPr>
          <w:ilvl w:val="0"/>
          <w:numId w:val="1001"/>
        </w:numPr>
      </w:pPr>
      <w:r>
        <w:t xml:space="preserve">Truong, D. T. et al. MetaPhlAn4: profiling the composition of microbial communities from metagenomic sequencing data.</w:t>
      </w:r>
      <w:r>
        <w:t xml:space="preserve"> </w:t>
      </w:r>
      <w:r>
        <w:rPr>
          <w:i/>
          <w:iCs/>
        </w:rPr>
        <w:t xml:space="preserve">Nat. Protoc.</w:t>
      </w:r>
      <w:r>
        <w:t xml:space="preserve"> </w:t>
      </w:r>
      <w:r>
        <w:rPr>
          <w:b/>
          <w:bCs/>
        </w:rPr>
        <w:t xml:space="preserve">18</w:t>
      </w:r>
      <w:r>
        <w:t xml:space="preserve">, 3534–3546 (2023).</w:t>
      </w:r>
    </w:p>
    <w:p>
      <w:pPr>
        <w:pStyle w:val="Compact"/>
        <w:numPr>
          <w:ilvl w:val="0"/>
          <w:numId w:val="1001"/>
        </w:numPr>
      </w:pPr>
      <w:r>
        <w:t xml:space="preserve">Olm, M. R. et al. inStrain profiles population microdiversity from metagenomic data and sensitively detects shared microbial strains.</w:t>
      </w:r>
      <w:r>
        <w:t xml:space="preserve"> </w:t>
      </w:r>
      <w:r>
        <w:rPr>
          <w:i/>
          <w:iCs/>
        </w:rPr>
        <w:t xml:space="preserve">Nat. Biotechnol.</w:t>
      </w:r>
      <w:r>
        <w:t xml:space="preserve"> </w:t>
      </w:r>
      <w:r>
        <w:rPr>
          <w:b/>
          <w:bCs/>
        </w:rPr>
        <w:t xml:space="preserve">39</w:t>
      </w:r>
      <w:r>
        <w:t xml:space="preserve">, 727–736 (2021).</w:t>
      </w:r>
    </w:p>
    <w:p>
      <w:pPr>
        <w:pStyle w:val="Compact"/>
        <w:numPr>
          <w:ilvl w:val="0"/>
          <w:numId w:val="1001"/>
        </w:numPr>
      </w:pPr>
      <w:r>
        <w:t xml:space="preserve">Parks, D. H., Imelfort, M., Skennerton, C. T., Hugenholtz, P. &amp; Tyson, G. W. CheckM: assessing the quality of microbial genomes recovered from isolates, single cells, and metagenomes.</w:t>
      </w:r>
      <w:r>
        <w:t xml:space="preserve"> </w:t>
      </w:r>
      <w:r>
        <w:rPr>
          <w:i/>
          <w:iCs/>
        </w:rPr>
        <w:t xml:space="preserve">Genome Res.</w:t>
      </w:r>
      <w:r>
        <w:t xml:space="preserve"> </w:t>
      </w:r>
      <w:r>
        <w:rPr>
          <w:b/>
          <w:bCs/>
        </w:rPr>
        <w:t xml:space="preserve">25</w:t>
      </w:r>
      <w:r>
        <w:t xml:space="preserve">, 1043–1055 (2015).</w:t>
      </w:r>
    </w:p>
    <w:p>
      <w:pPr>
        <w:pStyle w:val="Compact"/>
        <w:numPr>
          <w:ilvl w:val="0"/>
          <w:numId w:val="1001"/>
        </w:numPr>
      </w:pPr>
      <w:r>
        <w:t xml:space="preserve">Chklovski, A., Parks, D. H., Woodcroft, B. J. &amp; Tyson, G. W. CheckM2: a rapid, scalable and accurate tool for assessing microbial genome quality using machine learning.</w:t>
      </w:r>
      <w:r>
        <w:t xml:space="preserve"> </w:t>
      </w:r>
      <w:r>
        <w:rPr>
          <w:i/>
          <w:iCs/>
        </w:rPr>
        <w:t xml:space="preserve">Nat. Methods</w:t>
      </w:r>
      <w:r>
        <w:t xml:space="preserve"> </w:t>
      </w:r>
      <w:r>
        <w:rPr>
          <w:b/>
          <w:bCs/>
        </w:rPr>
        <w:t xml:space="preserve">20</w:t>
      </w:r>
      <w:r>
        <w:t xml:space="preserve">, 1203–1212 (2023).</w:t>
      </w:r>
    </w:p>
    <w:p>
      <w:pPr>
        <w:pStyle w:val="Compact"/>
        <w:numPr>
          <w:ilvl w:val="0"/>
          <w:numId w:val="1001"/>
        </w:numPr>
      </w:pPr>
      <w:r>
        <w:t xml:space="preserve">Li, D., Liu, C.-M., Luo, R., Sadakane, K. &amp; Lam, T.-W. MEGAHIT: an ultra-fast single-node solution for large and complex metagenomics assembly via succinct de Bruijn graph.</w:t>
      </w:r>
      <w:r>
        <w:t xml:space="preserve"> </w:t>
      </w:r>
      <w:r>
        <w:rPr>
          <w:i/>
          <w:iCs/>
        </w:rPr>
        <w:t xml:space="preserve">Bioinformatics</w:t>
      </w:r>
      <w:r>
        <w:t xml:space="preserve"> </w:t>
      </w:r>
      <w:r>
        <w:rPr>
          <w:b/>
          <w:bCs/>
        </w:rPr>
        <w:t xml:space="preserve">31</w:t>
      </w:r>
      <w:r>
        <w:t xml:space="preserve">, 1674–1676 (2015).</w:t>
      </w:r>
    </w:p>
    <w:p>
      <w:pPr>
        <w:pStyle w:val="Compact"/>
        <w:numPr>
          <w:ilvl w:val="0"/>
          <w:numId w:val="1001"/>
        </w:numPr>
      </w:pPr>
      <w:r>
        <w:t xml:space="preserve">Kang, D. D. et al. MetaBAT 2: an adaptive binning algorithm for robust and efficient genome reconstruction from metagenome assemblies.</w:t>
      </w:r>
      <w:r>
        <w:t xml:space="preserve"> </w:t>
      </w:r>
      <w:r>
        <w:rPr>
          <w:i/>
          <w:iCs/>
        </w:rPr>
        <w:t xml:space="preserve">PeerJ</w:t>
      </w:r>
      <w:r>
        <w:t xml:space="preserve"> </w:t>
      </w:r>
      <w:r>
        <w:rPr>
          <w:b/>
          <w:bCs/>
        </w:rPr>
        <w:t xml:space="preserve">7</w:t>
      </w:r>
      <w:r>
        <w:t xml:space="preserve">, e7359 (2019).</w:t>
      </w:r>
    </w:p>
    <w:p>
      <w:pPr>
        <w:pStyle w:val="Compact"/>
        <w:numPr>
          <w:ilvl w:val="0"/>
          <w:numId w:val="1001"/>
        </w:numPr>
      </w:pPr>
      <w:r>
        <w:t xml:space="preserve">Clopper, C. J. &amp; Pearson, E. S. The use of confidence or fiducial limits illustrated in the case of the binomial.</w:t>
      </w:r>
      <w:r>
        <w:t xml:space="preserve"> </w:t>
      </w:r>
      <w:r>
        <w:rPr>
          <w:i/>
          <w:iCs/>
        </w:rPr>
        <w:t xml:space="preserve">Biometrika</w:t>
      </w:r>
      <w:r>
        <w:t xml:space="preserve"> </w:t>
      </w:r>
      <w:r>
        <w:rPr>
          <w:b/>
          <w:bCs/>
        </w:rPr>
        <w:t xml:space="preserve">26</w:t>
      </w:r>
      <w:r>
        <w:t xml:space="preserve">, 404–413 (1934).</w:t>
      </w:r>
    </w:p>
    <w:p>
      <w:pPr>
        <w:pStyle w:val="Compact"/>
        <w:numPr>
          <w:ilvl w:val="0"/>
          <w:numId w:val="1001"/>
        </w:numPr>
      </w:pPr>
      <w:r>
        <w:t xml:space="preserve">Pedregosa, F. et al. Scikit-learn: machine learning in Python.</w:t>
      </w:r>
      <w:r>
        <w:t xml:space="preserve"> </w:t>
      </w:r>
      <w:r>
        <w:rPr>
          <w:i/>
          <w:iCs/>
        </w:rPr>
        <w:t xml:space="preserve">J. Mach. Learn. Res.</w:t>
      </w:r>
      <w:r>
        <w:t xml:space="preserve"> </w:t>
      </w:r>
      <w:r>
        <w:rPr>
          <w:b/>
          <w:bCs/>
        </w:rPr>
        <w:t xml:space="preserve">12</w:t>
      </w:r>
      <w:r>
        <w:t xml:space="preserve">, 2825–2830 (2011).</w:t>
      </w:r>
    </w:p>
    <w:p>
      <w:pPr>
        <w:pStyle w:val="Compact"/>
        <w:numPr>
          <w:ilvl w:val="0"/>
          <w:numId w:val="1001"/>
        </w:numPr>
      </w:pPr>
      <w:r>
        <w:t xml:space="preserve">Roberts, R. J., Vincze, T., Posfai, J. &amp; Macelis, D. REBASE — a database for DNA restriction and modification: enzymes, genes and genomes.</w:t>
      </w:r>
      <w:r>
        <w:t xml:space="preserve"> </w:t>
      </w:r>
      <w:r>
        <w:rPr>
          <w:i/>
          <w:iCs/>
        </w:rPr>
        <w:t xml:space="preserve">Nucleic Acids Res.</w:t>
      </w:r>
      <w:r>
        <w:t xml:space="preserve"> </w:t>
      </w:r>
      <w:r>
        <w:rPr>
          <w:b/>
          <w:bCs/>
        </w:rPr>
        <w:t xml:space="preserve">43</w:t>
      </w:r>
      <w:r>
        <w:t xml:space="preserve">, D298–D299 (2015).</w:t>
      </w:r>
    </w:p>
    <w:p>
      <w:pPr>
        <w:pStyle w:val="Compact"/>
        <w:numPr>
          <w:ilvl w:val="0"/>
          <w:numId w:val="1001"/>
        </w:numPr>
      </w:pPr>
      <w:r>
        <w:t xml:space="preserve">Camacho, C. et al. BLAST+: architecture and applications.</w:t>
      </w:r>
      <w:r>
        <w:t xml:space="preserve"> </w:t>
      </w:r>
      <w:r>
        <w:rPr>
          <w:i/>
          <w:iCs/>
        </w:rPr>
        <w:t xml:space="preserve">BMC Bioinformatics</w:t>
      </w:r>
      <w:r>
        <w:t xml:space="preserve"> </w:t>
      </w:r>
      <w:r>
        <w:rPr>
          <w:b/>
          <w:bCs/>
        </w:rPr>
        <w:t xml:space="preserve">10</w:t>
      </w:r>
      <w:r>
        <w:t xml:space="preserve">, 421 (2009).</w:t>
      </w:r>
    </w:p>
    <w:p>
      <w:pPr>
        <w:pStyle w:val="Compact"/>
        <w:numPr>
          <w:ilvl w:val="0"/>
          <w:numId w:val="1001"/>
        </w:numPr>
      </w:pPr>
      <w:r>
        <w:t xml:space="preserve">Altschul, S. F., Gish, W., Miller, W., Myers, E. W. &amp; Lipman, D. J. Basic local alignment search tool.</w:t>
      </w:r>
      <w:r>
        <w:t xml:space="preserve"> </w:t>
      </w:r>
      <w:r>
        <w:rPr>
          <w:i/>
          <w:iCs/>
        </w:rPr>
        <w:t xml:space="preserve">J. Mol. Biol.</w:t>
      </w:r>
      <w:r>
        <w:t xml:space="preserve"> </w:t>
      </w:r>
      <w:r>
        <w:rPr>
          <w:b/>
          <w:bCs/>
        </w:rPr>
        <w:t xml:space="preserve">215</w:t>
      </w:r>
      <w:r>
        <w:t xml:space="preserve">, 403–410 (1990).</w:t>
      </w:r>
    </w:p>
    <w:p>
      <w:pPr>
        <w:pStyle w:val="Compact"/>
        <w:numPr>
          <w:ilvl w:val="0"/>
          <w:numId w:val="1001"/>
        </w:numPr>
      </w:pPr>
      <w:r>
        <w:t xml:space="preserve">Eddy, S. R. Accelerated profile HMM searches.</w:t>
      </w:r>
      <w:r>
        <w:t xml:space="preserve"> </w:t>
      </w:r>
      <w:r>
        <w:rPr>
          <w:i/>
          <w:iCs/>
        </w:rPr>
        <w:t xml:space="preserve">PLoS Comput. Biol.</w:t>
      </w:r>
      <w:r>
        <w:t xml:space="preserve"> </w:t>
      </w:r>
      <w:r>
        <w:rPr>
          <w:b/>
          <w:bCs/>
        </w:rPr>
        <w:t xml:space="preserve">7</w:t>
      </w:r>
      <w:r>
        <w:t xml:space="preserve">, e1002195 (2011).</w:t>
      </w:r>
    </w:p>
    <w:p>
      <w:pPr>
        <w:pStyle w:val="Compact"/>
        <w:numPr>
          <w:ilvl w:val="0"/>
          <w:numId w:val="1001"/>
        </w:numPr>
      </w:pPr>
      <w:r>
        <w:t xml:space="preserve">Buchfink, B., Xie, C. &amp; Huson, D. H. Fast and sensitive protein alignment using DIAMOND.</w:t>
      </w:r>
      <w:r>
        <w:t xml:space="preserve"> </w:t>
      </w:r>
      <w:r>
        <w:rPr>
          <w:i/>
          <w:iCs/>
        </w:rPr>
        <w:t xml:space="preserve">Nat. Methods</w:t>
      </w:r>
      <w:r>
        <w:t xml:space="preserve"> </w:t>
      </w:r>
      <w:r>
        <w:rPr>
          <w:b/>
          <w:bCs/>
        </w:rPr>
        <w:t xml:space="preserve">12</w:t>
      </w:r>
      <w:r>
        <w:t xml:space="preserve">, 59–60 (2015).</w:t>
      </w:r>
    </w:p>
    <w:p>
      <w:pPr>
        <w:pStyle w:val="Compact"/>
        <w:numPr>
          <w:ilvl w:val="0"/>
          <w:numId w:val="1001"/>
        </w:numPr>
      </w:pPr>
      <w:r>
        <w:t xml:space="preserve">Hyatt, D. et al. Prodigal: prokaryotic gene recognition and translation initiation site identification.</w:t>
      </w:r>
      <w:r>
        <w:t xml:space="preserve"> </w:t>
      </w:r>
      <w:r>
        <w:rPr>
          <w:i/>
          <w:iCs/>
        </w:rPr>
        <w:t xml:space="preserve">BMC Bioinformatics</w:t>
      </w:r>
      <w:r>
        <w:t xml:space="preserve"> </w:t>
      </w:r>
      <w:r>
        <w:rPr>
          <w:b/>
          <w:bCs/>
        </w:rPr>
        <w:t xml:space="preserve">11</w:t>
      </w:r>
      <w:r>
        <w:t xml:space="preserve">, 119 (2010).</w:t>
      </w:r>
    </w:p>
    <w:p>
      <w:pPr>
        <w:pStyle w:val="Compact"/>
        <w:numPr>
          <w:ilvl w:val="0"/>
          <w:numId w:val="1001"/>
        </w:numPr>
      </w:pPr>
      <w:r>
        <w:t xml:space="preserve">Seemann, T. Prokka: rapid prokaryotic genome annotation.</w:t>
      </w:r>
      <w:r>
        <w:t xml:space="preserve"> </w:t>
      </w:r>
      <w:r>
        <w:rPr>
          <w:i/>
          <w:iCs/>
        </w:rPr>
        <w:t xml:space="preserve">Bioinformatics</w:t>
      </w:r>
      <w:r>
        <w:t xml:space="preserve"> </w:t>
      </w:r>
      <w:r>
        <w:rPr>
          <w:b/>
          <w:bCs/>
        </w:rPr>
        <w:t xml:space="preserve">30</w:t>
      </w:r>
      <w:r>
        <w:t xml:space="preserve">, 2068–2069 (2014).</w:t>
      </w:r>
    </w:p>
    <w:p>
      <w:pPr>
        <w:pStyle w:val="Compact"/>
        <w:numPr>
          <w:ilvl w:val="0"/>
          <w:numId w:val="1001"/>
        </w:numPr>
      </w:pPr>
      <w:r>
        <w:t xml:space="preserve">Wick, R. R., Judd, L. M., Gorrie, C. L. &amp; Holt, K. E. Unicycler: resolving bacterial genome assemblies from short and long sequencing reads.</w:t>
      </w:r>
      <w:r>
        <w:t xml:space="preserve"> </w:t>
      </w:r>
      <w:r>
        <w:rPr>
          <w:i/>
          <w:iCs/>
        </w:rPr>
        <w:t xml:space="preserve">PLoS Comput. Biol.</w:t>
      </w:r>
      <w:r>
        <w:t xml:space="preserve"> </w:t>
      </w:r>
      <w:r>
        <w:rPr>
          <w:b/>
          <w:bCs/>
        </w:rPr>
        <w:t xml:space="preserve">13</w:t>
      </w:r>
      <w:r>
        <w:t xml:space="preserve">, e1005595 (2017).</w:t>
      </w:r>
    </w:p>
    <w:p>
      <w:pPr>
        <w:pStyle w:val="Compact"/>
        <w:numPr>
          <w:ilvl w:val="0"/>
          <w:numId w:val="1001"/>
        </w:numPr>
      </w:pPr>
      <w:r>
        <w:t xml:space="preserve">Bankevich, A. et al. SPAdes: a new genome assembly algorithm and its applications to single-cell sequencing.</w:t>
      </w:r>
      <w:r>
        <w:t xml:space="preserve"> </w:t>
      </w:r>
      <w:r>
        <w:rPr>
          <w:i/>
          <w:iCs/>
        </w:rPr>
        <w:t xml:space="preserve">J. Comput. Biol.</w:t>
      </w:r>
      <w:r>
        <w:t xml:space="preserve"> </w:t>
      </w:r>
      <w:r>
        <w:rPr>
          <w:b/>
          <w:bCs/>
        </w:rPr>
        <w:t xml:space="preserve">19</w:t>
      </w:r>
      <w:r>
        <w:t xml:space="preserve">, 455–477 (2012).</w:t>
      </w:r>
    </w:p>
    <w:p>
      <w:pPr>
        <w:pStyle w:val="Compact"/>
        <w:numPr>
          <w:ilvl w:val="0"/>
          <w:numId w:val="1001"/>
        </w:numPr>
      </w:pPr>
      <w:r>
        <w:t xml:space="preserve">Koren, S. et al. Canu: scalable and accurate long-read assembly via adaptive k-mer weighting and repeat separation.</w:t>
      </w:r>
      <w:r>
        <w:t xml:space="preserve"> </w:t>
      </w:r>
      <w:r>
        <w:rPr>
          <w:i/>
          <w:iCs/>
        </w:rPr>
        <w:t xml:space="preserve">Genome Res.</w:t>
      </w:r>
      <w:r>
        <w:t xml:space="preserve"> </w:t>
      </w:r>
      <w:r>
        <w:rPr>
          <w:b/>
          <w:bCs/>
        </w:rPr>
        <w:t xml:space="preserve">27</w:t>
      </w:r>
      <w:r>
        <w:t xml:space="preserve">, 722–736 (2017).</w:t>
      </w:r>
    </w:p>
    <w:p>
      <w:pPr>
        <w:pStyle w:val="Compact"/>
        <w:numPr>
          <w:ilvl w:val="0"/>
          <w:numId w:val="1001"/>
        </w:numPr>
      </w:pPr>
      <w:r>
        <w:t xml:space="preserve">Chaisson, M. J. &amp; Tesler, G. Mapping single molecule sequencing reads using basic local alignment with successive refinement (BLASR): application and theory.</w:t>
      </w:r>
      <w:r>
        <w:t xml:space="preserve"> </w:t>
      </w:r>
      <w:r>
        <w:rPr>
          <w:i/>
          <w:iCs/>
        </w:rPr>
        <w:t xml:space="preserve">BMC Bioinformatics</w:t>
      </w:r>
      <w:r>
        <w:t xml:space="preserve"> </w:t>
      </w:r>
      <w:r>
        <w:rPr>
          <w:b/>
          <w:bCs/>
        </w:rPr>
        <w:t xml:space="preserve">13</w:t>
      </w:r>
      <w:r>
        <w:t xml:space="preserve">, 238 (2012).</w:t>
      </w:r>
    </w:p>
    <w:p>
      <w:pPr>
        <w:pStyle w:val="Compact"/>
        <w:numPr>
          <w:ilvl w:val="0"/>
          <w:numId w:val="1001"/>
        </w:numPr>
      </w:pPr>
      <w:r>
        <w:t xml:space="preserve">Song, X. et al. Risk prediction of</w:t>
      </w:r>
      <w:r>
        <w:t xml:space="preserve"> </w:t>
      </w:r>
      <w:r>
        <w:rPr>
          <w:i/>
          <w:iCs/>
        </w:rPr>
        <w:t xml:space="preserve">Helicobacter pylori</w:t>
      </w:r>
      <w:r>
        <w:t xml:space="preserve"> </w:t>
      </w:r>
      <w:r>
        <w:t xml:space="preserve">strains across Correa’s cascade via intelligent analysis of genome-wide SNPs.</w:t>
      </w:r>
      <w:r>
        <w:t xml:space="preserve"> </w:t>
      </w:r>
      <w:r>
        <w:rPr>
          <w:i/>
          <w:iCs/>
        </w:rPr>
        <w:t xml:space="preserve">Proc. Natl. Acad. Sci. USA</w:t>
      </w:r>
      <w:r>
        <w:t xml:space="preserve"> </w:t>
      </w:r>
      <w:r>
        <w:rPr>
          <w:b/>
          <w:bCs/>
        </w:rPr>
        <w:t xml:space="preserve">123</w:t>
      </w:r>
      <w:r>
        <w:t xml:space="preserve">, e2603926123 (2026).</w:t>
      </w:r>
    </w:p>
    <w:p>
      <w:pPr>
        <w:pStyle w:val="Compact"/>
        <w:numPr>
          <w:ilvl w:val="0"/>
          <w:numId w:val="1001"/>
        </w:numPr>
      </w:pPr>
      <w:r>
        <w:t xml:space="preserve">Fitzgerald, S. F. et al. Genome structural variation in</w:t>
      </w:r>
      <w:r>
        <w:t xml:space="preserve"> </w:t>
      </w:r>
      <w:r>
        <w:rPr>
          <w:i/>
          <w:iCs/>
        </w:rPr>
        <w:t xml:space="preserve">Escherichia coli</w:t>
      </w:r>
      <w:r>
        <w:t xml:space="preserve"> </w:t>
      </w:r>
      <w:r>
        <w:t xml:space="preserve">O157:H7.</w:t>
      </w:r>
      <w:r>
        <w:t xml:space="preserve"> </w:t>
      </w:r>
      <w:r>
        <w:rPr>
          <w:i/>
          <w:iCs/>
        </w:rPr>
        <w:t xml:space="preserve">Microb. Genom.</w:t>
      </w:r>
      <w:r>
        <w:t xml:space="preserve"> </w:t>
      </w:r>
      <w:r>
        <w:rPr>
          <w:b/>
          <w:bCs/>
        </w:rPr>
        <w:t xml:space="preserve">7</w:t>
      </w:r>
      <w:r>
        <w:t xml:space="preserve">, 000682 (2021).</w:t>
      </w:r>
    </w:p>
    <w:p>
      <w:pPr>
        <w:pStyle w:val="Compact"/>
        <w:numPr>
          <w:ilvl w:val="0"/>
          <w:numId w:val="1001"/>
        </w:numPr>
      </w:pPr>
      <w:r>
        <w:t xml:space="preserve">Sichtig, H. et al. FDA-ARGOS is a database with public quality-controlled reference genomes for diagnostic use and regulatory science.</w:t>
      </w:r>
      <w:r>
        <w:t xml:space="preserve"> </w:t>
      </w:r>
      <w:r>
        <w:rPr>
          <w:i/>
          <w:iCs/>
        </w:rPr>
        <w:t xml:space="preserve">Nat. Commun.</w:t>
      </w:r>
      <w:r>
        <w:t xml:space="preserve"> </w:t>
      </w:r>
      <w:r>
        <w:rPr>
          <w:b/>
          <w:bCs/>
        </w:rPr>
        <w:t xml:space="preserve">10</w:t>
      </w:r>
      <w:r>
        <w:t xml:space="preserve">, 3313 (2019).</w:t>
      </w:r>
    </w:p>
    <w:p>
      <w:pPr>
        <w:pStyle w:val="Compact"/>
        <w:numPr>
          <w:ilvl w:val="0"/>
          <w:numId w:val="1001"/>
        </w:numPr>
      </w:pPr>
      <w:r>
        <w:t xml:space="preserve">Yu, L. et al. A key genetic factor governing arabinan utilization in the gut microbiome alleviates constipation.</w:t>
      </w:r>
      <w:r>
        <w:t xml:space="preserve"> </w:t>
      </w:r>
      <w:r>
        <w:rPr>
          <w:i/>
          <w:iCs/>
        </w:rPr>
        <w:t xml:space="preserve">Cell Host Microbe</w:t>
      </w:r>
      <w:r>
        <w:t xml:space="preserve"> </w:t>
      </w:r>
      <w:r>
        <w:rPr>
          <w:b/>
          <w:bCs/>
        </w:rPr>
        <w:t xml:space="preserve">31</w:t>
      </w:r>
      <w:r>
        <w:t xml:space="preserve">, 1989–2006.e8 (2023).</w:t>
      </w:r>
    </w:p>
    <w:p>
      <w:pPr>
        <w:pStyle w:val="Compact"/>
        <w:numPr>
          <w:ilvl w:val="0"/>
          <w:numId w:val="1001"/>
        </w:numPr>
      </w:pPr>
      <w:r>
        <w:t xml:space="preserve">Cha, J. H., Kim, N., Ma, J., Lee, S., Koh, G., Yang, S., Beck, S., Byeon, I., Lee, B. &amp; Lee, I. A high-quality genomic catalog of the human oral microbiome broadens its phylogeny and clinical insights.</w:t>
      </w:r>
      <w:r>
        <w:t xml:space="preserve"> </w:t>
      </w:r>
      <w:r>
        <w:rPr>
          <w:i/>
          <w:iCs/>
        </w:rPr>
        <w:t xml:space="preserve">Cell Host Microbe</w:t>
      </w:r>
      <w:r>
        <w:t xml:space="preserve"> </w:t>
      </w:r>
      <w:r>
        <w:rPr>
          <w:b/>
          <w:bCs/>
        </w:rPr>
        <w:t xml:space="preserve">33</w:t>
      </w:r>
      <w:r>
        <w:t xml:space="preserve">, 1977–1994.e8 (2025).</w:t>
      </w:r>
    </w:p>
    <w:p>
      <w:pPr>
        <w:pStyle w:val="Compact"/>
        <w:numPr>
          <w:ilvl w:val="0"/>
          <w:numId w:val="1001"/>
        </w:numPr>
      </w:pPr>
      <w:r>
        <w:t xml:space="preserve">Zou, X. et al. OAPGC: a high-quality oral and airway prokaryotic genome catalog for enhanced ecological resolution and disease inference.</w:t>
      </w:r>
      <w:r>
        <w:t xml:space="preserve"> </w:t>
      </w:r>
      <w:r>
        <w:rPr>
          <w:i/>
          <w:iCs/>
        </w:rPr>
        <w:t xml:space="preserve">npj Biofilms Microbiomes</w:t>
      </w:r>
      <w:r>
        <w:t xml:space="preserve"> </w:t>
      </w:r>
      <w:r>
        <w:rPr>
          <w:b/>
          <w:bCs/>
        </w:rPr>
        <w:t xml:space="preserve">12</w:t>
      </w:r>
      <w:r>
        <w:t xml:space="preserve">, 182 (2026).</w:t>
      </w:r>
    </w:p>
    <w:p>
      <w:r>
        <w:pict>
          <v:rect style="width:0;height:1.5pt" o:hralign="center" o:hrstd="t" o:hr="t"/>
        </w:pict>
      </w:r>
    </w:p>
    <w:p>
      <w:pPr>
        <w:pStyle w:val="FirstParagraph"/>
      </w:pPr>
      <w:r>
        <w:rPr>
          <w:i/>
          <w:iCs/>
        </w:rPr>
        <w:t xml:space="preserve">Manuscript draft — Nature Methods format. Main-text target: ~3,000–5,000 words; abstract: ≤200 words (currently 196 words, excluding the heading).</w:t>
      </w:r>
      <w:r>
        <w:t xml:space="preserve"> </w:t>
      </w:r>
      <w:r>
        <w:rPr>
          <w:i/>
          <w:iCs/>
        </w:rPr>
        <w:t xml:space="preserve">Corresponding author: Shi Huang (shihuang@hku.hk)</w:t>
      </w:r>
    </w:p>
    <w:p>
      <w:r>
        <w:pict>
          <v:rect style="width:0;height:1.5pt" o:hralign="center" o:hrstd="t" o:hr="t"/>
        </w:pict>
      </w:r>
    </w:p>
    <w:bookmarkEnd w:id="47"/>
    <w:bookmarkStart w:id="48" w:name="figure-legends"/>
    <w:p>
      <w:pPr>
        <w:pStyle w:val="Heading2"/>
      </w:pPr>
      <w:r>
        <w:t xml:space="preserve">Figure Legends</w:t>
      </w:r>
    </w:p>
    <w:p>
      <w:pPr>
        <w:pStyle w:val="FirstParagraph"/>
      </w:pPr>
      <w:r>
        <w:rPr>
          <w:b/>
          <w:bCs/>
        </w:rPr>
        <w:t xml:space="preserve">Figure 1 | The Syn2bANI estimator.</w:t>
      </w:r>
      <w:r>
        <w:t xml:space="preserve"> </w:t>
      </w:r>
      <w:r>
        <w:t xml:space="preserve">(a) In-silico digestion with the default Type IIB enzyme panel (BcgI, AlfI, AloI, FalI); tags carry sequence and coordinate. (b) Shared tags become anchors; lost tags contribute to the miss count. (c) Anchors are chained per (query contig, reference contig, orientation) by gap-penalized collinear dynamic programming in two passes; inverted blocks are detected as orientation flips. (d) Per-enzyme tag outcomes inside chains enter a chain-restricted maximum-likelihood fit; outputs include gated ANI, standard error, aligned fractions, anchor adjacency, SV calls, reliability flag, and</w:t>
      </w:r>
      <w:r>
        <w:t xml:space="preserve"> </w:t>
      </w:r>
      <w:r>
        <w:rPr>
          <w:rStyle w:val="VerbatimChar"/>
        </w:rPr>
        <w:t xml:space="preserve">ani_upper95</w:t>
      </w:r>
      <w:r>
        <w:t xml:space="preserve">. (e) Contrast with k-mer tools: skani and FastANI perform an analogous seed-and-chain step, but regress the chains into a single ANI scalar and discard the coordinates; because Syn2bANI’s anchors carry fixed genomic positions, the same pass reports structural information at no extra cost. Source:</w:t>
      </w:r>
      <w:r>
        <w:t xml:space="preserve"> </w:t>
      </w:r>
      <w:r>
        <w:rPr>
          <w:rStyle w:val="VerbatimChar"/>
        </w:rPr>
        <w:t xml:space="preserve">paper/figures/main/fig1_algorithm.png</w:t>
      </w:r>
      <w:r>
        <w:t xml:space="preserve">.</w:t>
      </w:r>
    </w:p>
    <w:p>
      <w:pPr>
        <w:pStyle w:val="BodyText"/>
      </w:pPr>
      <w:r>
        <w:rPr>
          <w:b/>
          <w:bCs/>
        </w:rPr>
        <w:t xml:space="preserve">Figure 2 | Accuracy and robustness under exact truth.</w:t>
      </w:r>
      <w:r>
        <w:t xml:space="preserve"> </w:t>
      </w:r>
      <w:r>
        <w:t xml:space="preserve">(a,b) Twelve</w:t>
      </w:r>
      <w:r>
        <w:t xml:space="preserve"> </w:t>
      </w:r>
      <w:r>
        <w:rPr>
          <w:i/>
          <w:iCs/>
        </w:rPr>
        <w:t xml:space="preserve">E. coli</w:t>
      </w:r>
      <w:r>
        <w:t xml:space="preserve"> </w:t>
      </w:r>
      <w:r>
        <w:t xml:space="preserve">genomes evolved at true ANI 85.0–99.9% (400 kb inversion + deletions): estimated vs true ANI and signed error. MAE: Syn2bANI 0.073%, skani 0.377%, FastANI 0.742%. (c) Indel sweep at 95% ANI (0–4 deletions/100 kb): MAE 0.081. (d) Simulated fragmentation (20–201 contigs): MAE 0.093. (e) Accessory-content sweep (0–50% shuffled blocks at 95% core ANI): ANI estimate flat,</w:t>
      </w:r>
      <w:r>
        <w:t xml:space="preserve"> </w:t>
      </w:r>
      <w:r>
        <w:rPr>
          <w:rStyle w:val="VerbatimChar"/>
        </w:rPr>
        <w:t xml:space="preserve">af_query</w:t>
      </w:r>
      <w:r>
        <w:t xml:space="preserve"> </w:t>
      </w:r>
      <w:r>
        <w:t xml:space="preserve">tracks true shared fraction. Source:</w:t>
      </w:r>
      <w:r>
        <w:t xml:space="preserve"> </w:t>
      </w:r>
      <w:r>
        <w:rPr>
          <w:rStyle w:val="VerbatimChar"/>
        </w:rPr>
        <w:t xml:space="preserve">paper/figures/main/fig2_simulations.png</w:t>
      </w:r>
      <w:r>
        <w:t xml:space="preserve">; underlying panels archived in</w:t>
      </w:r>
      <w:r>
        <w:t xml:space="preserve"> </w:t>
      </w:r>
      <w:r>
        <w:rPr>
          <w:rStyle w:val="VerbatimChar"/>
        </w:rPr>
        <w:t xml:space="preserve">paper/figures/archive/</w:t>
      </w:r>
      <w:r>
        <w:t xml:space="preserve">.</w:t>
      </w:r>
    </w:p>
    <w:p>
      <w:pPr>
        <w:pStyle w:val="BodyText"/>
      </w:pPr>
      <w:r>
        <w:rPr>
          <w:b/>
          <w:bCs/>
        </w:rPr>
        <w:t xml:space="preserve">Figure 3 | Unified GTDB-R207 80–100% benchmark against ANIm truth.</w:t>
      </w:r>
      <w:r>
        <w:t xml:space="preserve"> </w:t>
      </w:r>
      <w:r>
        <w:t xml:space="preserve">43,334 held-out same-genus pairs plus 727 high-ANI test pairs. (a) Estimated vs ANIm truth for Syn2bANI hybrid (raw ≥98% / v6-calibrated &lt;98%), skani, and FastANI. Raw and v6-calibrated Syn2bANI variants are shown in Supplementary Figs. S2–S3. (b) Per-band MAE. (c) Signed-error distributions. (d) High-ANI zoom. Source:</w:t>
      </w:r>
      <w:r>
        <w:t xml:space="preserve"> </w:t>
      </w:r>
      <w:r>
        <w:rPr>
          <w:rStyle w:val="VerbatimChar"/>
        </w:rPr>
        <w:t xml:space="preserve">paper/figures/main/fig3_gtdb_r207_benchmark.png</w:t>
      </w:r>
      <w:r>
        <w:t xml:space="preserve">; per-band detail in Supplementary Fig. S3.</w:t>
      </w:r>
    </w:p>
    <w:p>
      <w:pPr>
        <w:pStyle w:val="BodyText"/>
      </w:pPr>
      <w:r>
        <w:rPr>
          <w:b/>
          <w:bCs/>
        </w:rPr>
        <w:t xml:space="preserve">Figure 4 | Computational efficiency on small subsets and at GTDB-R207 database scale.</w:t>
      </w:r>
      <w:r>
        <w:t xml:space="preserve"> </w:t>
      </w:r>
      <w:r>
        <w:t xml:space="preserve">(a) All-vs-all ANI wall time versus number of pairs. (b) One-to-all ANI search wall time versus number of reference genomes. (c) Peak memory for all-vs-all comparison. (d) SV-inclusive workflow wall time, comparing dnadiff alone, skani followed by dnadiff, and Syn2bANI (struct alone or combined ANI+SV from FASTA or pre-built sketches). Panels a–d are medians of three replicates on a Mac Studio (M4 Max, 16 cores) for a–c and on a 16-core HPC node for d. (e) One-to-all wall time per query against all 65,703 GTDB R207 representative genomes, comparing skani search, Syn2bANI search, Syn2bANI dist, and FastANI (all failed; memory bars show peak RSS before OOM). (f) SV-follow-up speedup:</w:t>
      </w:r>
      <w:r>
        <w:t xml:space="preserve"> </w:t>
      </w:r>
      <w:r>
        <w:rPr>
          <w:rStyle w:val="VerbatimChar"/>
        </w:rPr>
        <w:t xml:space="preserve">syn2bani struct</w:t>
      </w:r>
      <w:r>
        <w:t xml:space="preserve"> </w:t>
      </w:r>
      <w:r>
        <w:t xml:space="preserve">versus dnadiff on the top non-self hit from panel e. Source:</w:t>
      </w:r>
      <w:r>
        <w:t xml:space="preserve"> </w:t>
      </w:r>
      <w:r>
        <w:rPr>
          <w:rStyle w:val="VerbatimChar"/>
        </w:rPr>
        <w:t xml:space="preserve">paper/figures/main/fig4_efficiency.png</w:t>
      </w:r>
      <w:r>
        <w:t xml:space="preserve"> </w:t>
      </w:r>
      <w:r>
        <w:t xml:space="preserve">(panels a–d) and</w:t>
      </w:r>
      <w:r>
        <w:t xml:space="preserve"> </w:t>
      </w:r>
      <w:r>
        <w:rPr>
          <w:rStyle w:val="VerbatimChar"/>
        </w:rPr>
        <w:t xml:space="preserve">results/one_to_all/ONE_TO_ALL_BENCHMARK.md</w:t>
      </w:r>
      <w:r>
        <w:t xml:space="preserve"> </w:t>
      </w:r>
      <w:r>
        <w:t xml:space="preserve">(panels e–f).</w:t>
      </w:r>
    </w:p>
    <w:p>
      <w:pPr>
        <w:pStyle w:val="BodyText"/>
      </w:pPr>
      <w:r>
        <w:rPr>
          <w:b/>
          <w:bCs/>
        </w:rPr>
        <w:t xml:space="preserve">Figure 5 | Structural outputs agree with alignment-based truth and are orders of magnitude faster than alignment-based SV calling.</w:t>
      </w:r>
      <w:r>
        <w:t xml:space="preserve"> </w:t>
      </w:r>
      <w:r>
        <w:t xml:space="preserve">(a)</w:t>
      </w:r>
      <w:r>
        <w:t xml:space="preserve"> </w:t>
      </w:r>
      <w:r>
        <w:rPr>
          <w:rStyle w:val="VerbatimChar"/>
        </w:rPr>
        <w:t xml:space="preserve">raw_inverted_fraction</w:t>
      </w:r>
      <w:r>
        <w:t xml:space="preserve">, computed by the companion Syn2b tool from the same anchor definition, vs dnadiff inverted fraction across the 43,334 held-out GTDB-R207 pairs (Pearson r = 0.936, slope 1.004). (b) Strain-range zoom on the separately sampled high-ANI set (n = 3,826 at ANIm ≥ 97%; r = 0.996, slope 1.006, intercept −0.004). The held-out set contains only two pairs at ANIm ≥ 97% and does not support this panel. (c) Partial correlation of</w:t>
      </w:r>
      <w:r>
        <w:t xml:space="preserve"> </w:t>
      </w:r>
      <w:r>
        <w:rPr>
          <w:rStyle w:val="VerbatimChar"/>
        </w:rPr>
        <w:t xml:space="preserve">breakpoint_count</w:t>
      </w:r>
      <w:r>
        <w:t xml:space="preserve"> </w:t>
      </w:r>
      <w:r>
        <w:t xml:space="preserve">vs dnadiff breakpoints after controlling for ANIm and contig count. (d)</w:t>
      </w:r>
      <w:r>
        <w:t xml:space="preserve"> </w:t>
      </w:r>
      <w:r>
        <w:rPr>
          <w:rStyle w:val="VerbatimChar"/>
        </w:rPr>
        <w:t xml:space="preserve">af_query</w:t>
      </w:r>
      <w:r>
        <w:t xml:space="preserve"> </w:t>
      </w:r>
      <w:r>
        <w:t xml:space="preserve">vs dnadiff aligned fraction. (e) Wall time for SV-only or ANI+SV workflows at n = 22 genomes (484 pairs). (f) Speedup of Syn2bANI (ANI+SV, sketch workflow) over dnadiff across subset sizes. Source:</w:t>
      </w:r>
      <w:r>
        <w:t xml:space="preserve"> </w:t>
      </w:r>
      <w:r>
        <w:rPr>
          <w:rStyle w:val="VerbatimChar"/>
        </w:rPr>
        <w:t xml:space="preserve">paper/figures/main/fig5_sv_validation.png</w:t>
      </w:r>
      <w:r>
        <w:t xml:space="preserve">.</w:t>
      </w:r>
    </w:p>
    <w:p>
      <w:pPr>
        <w:pStyle w:val="BodyText"/>
      </w:pPr>
      <w:r>
        <w:rPr>
          <w:b/>
          <w:bCs/>
        </w:rPr>
        <w:t xml:space="preserve">Figure 6 | Structural divergence at near-clonal ANI in four published isolate collections.</w:t>
      </w:r>
      <w:r>
        <w:t xml:space="preserve"> </w:t>
      </w:r>
      <w:r>
        <w:t xml:space="preserve">Junctions per pair from the Syn2b structural channel (four-enzyme panel) against skani ANI, for the four SynTracker isolate collections10; every assembly scores 0 against itself, so the floor is a true zero. Medians: hypermutator</w:t>
      </w:r>
      <w:r>
        <w:t xml:space="preserve"> </w:t>
      </w:r>
      <w:r>
        <w:rPr>
          <w:i/>
          <w:iCs/>
        </w:rPr>
        <w:t xml:space="preserve">E. coli</w:t>
      </w:r>
      <w:r>
        <w:t xml:space="preserve"> </w:t>
      </w:r>
      <w:r>
        <w:t xml:space="preserve">0 (divergence predominantly sequence-level),</w:t>
      </w:r>
      <w:r>
        <w:t xml:space="preserve"> </w:t>
      </w:r>
      <w:r>
        <w:rPr>
          <w:i/>
          <w:iCs/>
        </w:rPr>
        <w:t xml:space="preserve">N. gonorrhoeae</w:t>
      </w:r>
      <w:r>
        <w:t xml:space="preserve"> </w:t>
      </w:r>
      <w:r>
        <w:t xml:space="preserve">3,</w:t>
      </w:r>
      <w:r>
        <w:t xml:space="preserve"> </w:t>
      </w:r>
      <w:r>
        <w:rPr>
          <w:i/>
          <w:iCs/>
        </w:rPr>
        <w:t xml:space="preserve">H. pylori</w:t>
      </w:r>
      <w:r>
        <w:t xml:space="preserve"> </w:t>
      </w:r>
      <w:r>
        <w:t xml:space="preserve">7,</w:t>
      </w:r>
      <w:r>
        <w:t xml:space="preserve"> </w:t>
      </w:r>
      <w:r>
        <w:rPr>
          <w:i/>
          <w:iCs/>
        </w:rPr>
        <w:t xml:space="preserve">S. rimosus</w:t>
      </w:r>
      <w:r>
        <w:t xml:space="preserve"> </w:t>
      </w:r>
      <w:r>
        <w:t xml:space="preserve">10 (greater architecture-level divergence). Within</w:t>
      </w:r>
      <w:r>
        <w:t xml:space="preserve"> </w:t>
      </w:r>
      <w:r>
        <w:rPr>
          <w:i/>
          <w:iCs/>
        </w:rPr>
        <w:t xml:space="preserve">H. pylori</w:t>
      </w:r>
      <w:r>
        <w:t xml:space="preserve">, pairs from one participant differ by a median of 0 junctions and pairs from different participants by 8 (Supplementary Fig. S8); the same ordering and within-participant floor reproduce through Syn2bANI’s own</w:t>
      </w:r>
      <w:r>
        <w:t xml:space="preserve"> </w:t>
      </w:r>
      <w:r>
        <w:rPr>
          <w:rStyle w:val="VerbatimChar"/>
        </w:rPr>
        <w:t xml:space="preserve">breakpoint_count</w:t>
      </w:r>
      <w:r>
        <w:t xml:space="preserve"> </w:t>
      </w:r>
      <w:r>
        <w:t xml:space="preserve">(medians 0/1/5/3; within- vs between-participant 0 vs 6). Source:</w:t>
      </w:r>
      <w:r>
        <w:t xml:space="preserve"> </w:t>
      </w:r>
      <w:r>
        <w:rPr>
          <w:rStyle w:val="VerbatimChar"/>
        </w:rPr>
        <w:t xml:space="preserve">paper/figures/main/fig6_syntracker_structure.png</w:t>
      </w:r>
      <w:r>
        <w:t xml:space="preserve">;</w:t>
      </w:r>
      <w:r>
        <w:t xml:space="preserve"> </w:t>
      </w:r>
      <w:r>
        <w:rPr>
          <w:rStyle w:val="VerbatimChar"/>
        </w:rPr>
        <w:t xml:space="preserve">results/syntracker_validation/SYNTRACKER_STRUCTURAL_REANALYSIS.md</w:t>
      </w:r>
      <w:r>
        <w:t xml:space="preserve"> </w:t>
      </w:r>
      <w:r>
        <w:t xml:space="preserve">and</w:t>
      </w:r>
      <w:r>
        <w:t xml:space="preserve"> </w:t>
      </w:r>
      <w:r>
        <w:rPr>
          <w:rStyle w:val="VerbatimChar"/>
        </w:rPr>
        <w:t xml:space="preserve">results/syntracker_validation/rerun_v032/</w:t>
      </w:r>
      <w:r>
        <w:t xml:space="preserve"> </w:t>
      </w:r>
      <w:r>
        <w:t xml:space="preserve">(dual-channel rerun). The previous version of this figure (GTDB-R207 pairs with 61–989 SV calls) was produced with a pre-c974f5f binary and is withdrawn; the GTDB-R207 discordance analysis is superseded by the genome-wide within-species census in the companion Syn2b paper.</w:t>
      </w:r>
    </w:p>
    <w:p>
      <w:pPr>
        <w:pStyle w:val="BodyText"/>
      </w:pPr>
      <w:r>
        <w:rPr>
          <w:b/>
          <w:bCs/>
        </w:rPr>
        <w:t xml:space="preserve">Supplementary Figure S8 |</w:t>
      </w:r>
      <w:r>
        <w:rPr>
          <w:b/>
          <w:bCs/>
        </w:rPr>
        <w:t xml:space="preserve"> </w:t>
      </w:r>
      <w:r>
        <w:rPr>
          <w:b/>
          <w:bCs/>
          <w:i/>
          <w:iCs/>
        </w:rPr>
        <w:t xml:space="preserve">H. pylori</w:t>
      </w:r>
      <w:r>
        <w:rPr>
          <w:b/>
          <w:bCs/>
        </w:rPr>
        <w:t xml:space="preserve"> </w:t>
      </w:r>
      <w:r>
        <w:rPr>
          <w:b/>
          <w:bCs/>
        </w:rPr>
        <w:t xml:space="preserve">junction counts resolve by participant.</w:t>
      </w:r>
      <w:r>
        <w:t xml:space="preserve"> </w:t>
      </w:r>
      <w:r>
        <w:t xml:space="preserve">The</w:t>
      </w:r>
      <w:r>
        <w:t xml:space="preserve"> </w:t>
      </w:r>
      <w:r>
        <w:rPr>
          <w:i/>
          <w:iCs/>
        </w:rPr>
        <w:t xml:space="preserve">H. pylori</w:t>
      </w:r>
      <w:r>
        <w:t xml:space="preserve"> </w:t>
      </w:r>
      <w:r>
        <w:t xml:space="preserve">panel of Fig. 6 coloured by the participant each isolate came from, 2,926 pairs. Same-participant pairs sit at the zero floor (median 0 junctions); different-participant pairs carry a median of 8 (Mann–Whitney p = 4.1 × 10⁻²²⁶). Source:</w:t>
      </w:r>
      <w:r>
        <w:t xml:space="preserve"> </w:t>
      </w:r>
      <w:r>
        <w:rPr>
          <w:rStyle w:val="VerbatimChar"/>
        </w:rPr>
        <w:t xml:space="preserve">paper/figures/supplementary/fig_s8_syntracker_h_pylori_by_host.png</w:t>
      </w:r>
      <w:r>
        <w:t xml:space="preserve">.</w:t>
      </w:r>
    </w:p>
    <w:p>
      <w:pPr>
        <w:pStyle w:val="BodyText"/>
      </w:pPr>
      <w:r>
        <w:rPr>
          <w:b/>
          <w:bCs/>
        </w:rPr>
        <w:t xml:space="preserve">Figure 7 | Locus-targeted chain coverage detects a phenotype-associated structural difference invisible to genome-wide ANI.</w:t>
      </w:r>
      <w:r>
        <w:t xml:space="preserve"> </w:t>
      </w:r>
      <w:r>
        <w:t xml:space="preserve">185</w:t>
      </w:r>
      <w:r>
        <w:t xml:space="preserve"> </w:t>
      </w:r>
      <w:r>
        <w:rPr>
          <w:i/>
          <w:iCs/>
        </w:rPr>
        <w:t xml:space="preserve">Bifidobacterium longum</w:t>
      </w:r>
      <w:r>
        <w:t xml:space="preserve"> </w:t>
      </w:r>
      <w:r>
        <w:t xml:space="preserve">isolates stratified by abfA gene-cluster status (complete vs deleted/peripheral-truncated). (a) Syn2bANI chain coverage across the abfA locus (8.5–37.1 kb; core genes 8.8–17.2 kb, peripheral region 17.2–37.1 kb). (b) Periphery coverage boxplot by group. Whole-genome ANI and aligned fraction do not separate the groups, but local chain coverage over the cluster periphery is significantly reduced in the deleted group (MWU p = 1.4 × 10⁻³). Source:</w:t>
      </w:r>
      <w:r>
        <w:t xml:space="preserve"> </w:t>
      </w:r>
      <w:r>
        <w:rPr>
          <w:rStyle w:val="VerbatimChar"/>
        </w:rPr>
        <w:t xml:space="preserve">paper/figures/main/fig7_b_longum_abfa.png</w:t>
      </w:r>
      <w:r>
        <w:t xml:space="preserve">.</w:t>
      </w:r>
    </w:p>
    <w:p>
      <w:pPr>
        <w:pStyle w:val="BodyText"/>
      </w:pPr>
      <w:r>
        <w:rPr>
          <w:b/>
          <w:bCs/>
        </w:rPr>
        <w:t xml:space="preserve">Figure 8 | cagPAI architecture in 528</w:t>
      </w:r>
      <w:r>
        <w:rPr>
          <w:b/>
          <w:bCs/>
        </w:rPr>
        <w:t xml:space="preserve"> </w:t>
      </w:r>
      <w:r>
        <w:rPr>
          <w:b/>
          <w:bCs/>
          <w:i/>
          <w:iCs/>
        </w:rPr>
        <w:t xml:space="preserve">H. pylori</w:t>
      </w:r>
      <w:r>
        <w:rPr>
          <w:b/>
          <w:bCs/>
        </w:rPr>
        <w:t xml:space="preserve"> </w:t>
      </w:r>
      <w:r>
        <w:rPr>
          <w:b/>
          <w:bCs/>
        </w:rPr>
        <w:t xml:space="preserve">isolates tracks lineage, cross-validates against independent cagA typing, and is invisible to ANI.</w:t>
      </w:r>
      <w:r>
        <w:t xml:space="preserve"> </w:t>
      </w:r>
      <w:r>
        <w:t xml:space="preserve">(a) Engineered control validation: wild-type, ΔcagPAI, inversion, translocation, and mutated backgrounds. (b) Extended state classification workflow: marker presence/absence plus</w:t>
      </w:r>
      <w:r>
        <w:t xml:space="preserve"> </w:t>
      </w:r>
      <w:r>
        <w:rPr>
          <w:rStyle w:val="VerbatimChar"/>
        </w:rPr>
        <w:t xml:space="preserve">syn2bani struct</w:t>
      </w:r>
      <w:r>
        <w:t xml:space="preserve"> </w:t>
      </w:r>
      <w:r>
        <w:t xml:space="preserve">calls, with circular-origin filtering. (c) Stacked-bar distribution of extended cagPAI states by FastBAPS lineage. (d) Distribution by Correa’s cascade disease stage. (e) Cross-validation against independent cagA molecular typing (collaborator data): cagPAI presence fraction by cagA detection status (OR = 783; lineage-stratified OR = 3,986; Breslow–Day p = 0.96). (f) SV-call burden by CARD macrolide-resistance genotype (23S rRNA); the crude association (OR = 2.81) does not survive FastBAPS-lineage stratification (OR = 1.33). FastBAPS lineage is strongly associated with extended state (χ² = 58.75, df = 12, p = 3.8 × 10⁻⁸), but the disease-stage association is not significant after lineage stratification (CMH p ≥ 0.21). Full association statistics in Supplementary Table S5; lineage-stratified forest plot in Supplementary Fig. S13; assembly-level review of the 26 discordant genomes in the text. Source:</w:t>
      </w:r>
      <w:r>
        <w:t xml:space="preserve"> </w:t>
      </w:r>
      <w:r>
        <w:rPr>
          <w:rStyle w:val="VerbatimChar"/>
        </w:rPr>
        <w:t xml:space="preserve">paper/figures/main/fig8_cagpai_h_pylori.png</w:t>
      </w:r>
      <w:r>
        <w:t xml:space="preserve">; country/population breakdown in Supplementary Fig. S11; filtering detail in Supplementary Fig. S12.</w:t>
      </w:r>
    </w:p>
    <w:p>
      <w:pPr>
        <w:pStyle w:val="BodyText"/>
      </w:pPr>
      <w:r>
        <w:rPr>
          <w:b/>
          <w:bCs/>
        </w:rPr>
        <w:t xml:space="preserve">Figure 9 | HROM dual-axis census separates candidate divergence modes.</w:t>
      </w:r>
      <w:r>
        <w:t xml:space="preserve"> </w:t>
      </w:r>
      <w:r>
        <w:t xml:space="preserve">(a) Joint distribution of Syn2b structural similarity and skani ANI for 60,014,738 pairs passing evidence filters, highlighting the mutually exclusive top 5% by each similarity axis and their overlap. (b) Species-level enrichment in the structural-similarity and ANI-similarity sets. Species above the dashed null are enriched in the structural-similarity set (candidate sequence-level divergence); species to the right of the dashed null are enriched in the ANI-similarity set (candidate architecture-level divergence). Candidate mode labels do not imply direct mutation-rate or recombination-rate measurements. Source:</w:t>
      </w:r>
      <w:r>
        <w:t xml:space="preserve"> </w:t>
      </w:r>
      <w:r>
        <w:rPr>
          <w:rStyle w:val="VerbatimChar"/>
        </w:rPr>
        <w:t xml:space="preserve">results/census/hrom/hypermodes/fig_hrom_hypermodes.pdf</w:t>
      </w:r>
      <w:r>
        <w:t xml:space="preserve">; enrichment statistics in</w:t>
      </w:r>
      <w:r>
        <w:t xml:space="preserve"> </w:t>
      </w:r>
      <w:r>
        <w:rPr>
          <w:rStyle w:val="VerbatimChar"/>
        </w:rPr>
        <w:t xml:space="preserve">hypermode_species_enrichment.tsv</w:t>
      </w:r>
      <w:r>
        <w:t xml:space="preserve">.</w:t>
      </w:r>
    </w:p>
    <w:p>
      <w:pPr>
        <w:pStyle w:val="BodyText"/>
      </w:pPr>
      <w:r>
        <w:rPr>
          <w:b/>
          <w:bCs/>
        </w:rPr>
        <w:t xml:space="preserve">Figure 10 | Oral-airway conspecifics show sequence-distance enrichment without a global breakpoint excess.</w:t>
      </w:r>
      <w:r>
        <w:t xml:space="preserve"> </w:t>
      </w:r>
      <w:r>
        <w:t xml:space="preserve">(a) Species-level AUCs for detecting oral-airway versus within-habitat (oral–oral or airway–airway) pairs using ANI-derived sequence distance (x axis) and breakpoint count (y axis) among 200 eligible OAPGC species; categories require BH q &lt; 0.05 and AUC &gt; 0.5. (b) Fraction of OAPGC structural pairs with at least two breakpoints across all informative pairs and two minimum pair-level contig-N50 strata. The increase with N50 demonstrates contiguity sensitivity; the null-to-modest breakpoint AUC in a contrasts with the consistent ANI-derived sequence-distance enrichment. Source:</w:t>
      </w:r>
      <w:r>
        <w:t xml:space="preserve"> </w:t>
      </w:r>
      <w:r>
        <w:rPr>
          <w:rStyle w:val="VerbatimChar"/>
        </w:rPr>
        <w:t xml:space="preserve">results/census/oapgc/figures/fig_oapgc_site_axes.pdf</w:t>
      </w:r>
      <w:r>
        <w:t xml:space="preserve">; statistics in</w:t>
      </w:r>
      <w:r>
        <w:t xml:space="preserve"> </w:t>
      </w:r>
      <w:r>
        <w:rPr>
          <w:rStyle w:val="VerbatimChar"/>
        </w:rPr>
        <w:t xml:space="preserve">results/census/oapgc/site_effects/</w:t>
      </w:r>
      <w:r>
        <w:t xml:space="preserve">.</w:t>
      </w:r>
    </w:p>
    <w:p>
      <w:pPr>
        <w:pStyle w:val="BodyText"/>
      </w:pPr>
      <w:r>
        <w:rPr>
          <w:b/>
          <w:bCs/>
        </w:rPr>
        <w:t xml:space="preserve">Figure 11 | GTDB catalog-scale ANI–structural census.</w:t>
      </w:r>
      <w:r>
        <w:t xml:space="preserve"> </w:t>
      </w:r>
      <w:r>
        <w:t xml:space="preserve">(a) Species-level relationship between mean skani ANI and the fraction of within-species pairs with at least two breakpoints for 1,311 complete GTDB-R207 species with at least 100 expected pairs; colour gives the number of species in each hexagonal bin. (b) Breakpoint-positive fraction across all effective pairs and CheckM/N50 quality strata. For each stratum, paired bars show the fraction among all reported structural pairs (first bar) and the fraction among breakpoint-informative pairs with a numeric breakpoint value (second bar; numeric breakpoint-positive fractions are printed above the bars). The informative denominator excludes the 10.08% of reported pairs without a numeric breakpoint. Source:</w:t>
      </w:r>
      <w:r>
        <w:t xml:space="preserve"> </w:t>
      </w:r>
      <w:r>
        <w:rPr>
          <w:rStyle w:val="VerbatimChar"/>
        </w:rPr>
        <w:t xml:space="preserve">results/census/gtdb/figures/fig_gtdb_ani_sv_census.pdf</w:t>
      </w:r>
      <w:r>
        <w:t xml:space="preserve">; joint table in</w:t>
      </w:r>
      <w:r>
        <w:t xml:space="preserve"> </w:t>
      </w:r>
      <w:r>
        <w:rPr>
          <w:rStyle w:val="VerbatimChar"/>
        </w:rPr>
        <w:t xml:space="preserve">results/census/gtdb/gtdb_species_ani_sv_joint.tsv</w:t>
      </w:r>
      <w:r>
        <w:t xml:space="preserve">; sensitivity in</w:t>
      </w:r>
      <w:r>
        <w:t xml:space="preserve"> </w:t>
      </w:r>
      <w:r>
        <w:rPr>
          <w:rStyle w:val="VerbatimChar"/>
        </w:rPr>
        <w:t xml:space="preserve">results/census/gtdb/effective_quality_sensitivity.tsv</w:t>
      </w:r>
      <w:r>
        <w:t xml:space="preserve">.</w:t>
      </w:r>
    </w:p>
    <w:p>
      <w:pPr>
        <w:pStyle w:val="BodyText"/>
      </w:pPr>
      <w:r>
        <w:rPr>
          <w:b/>
          <w:bCs/>
        </w:rPr>
        <w:t xml:space="preserve">Supplementary Figure S9 | Near-clonal</w:t>
      </w:r>
      <w:r>
        <w:rPr>
          <w:b/>
          <w:bCs/>
        </w:rPr>
        <w:t xml:space="preserve"> </w:t>
      </w:r>
      <w:r>
        <w:rPr>
          <w:b/>
          <w:bCs/>
          <w:i/>
          <w:iCs/>
        </w:rPr>
        <w:t xml:space="preserve">E. coli</w:t>
      </w:r>
      <w:r>
        <w:rPr>
          <w:b/>
          <w:bCs/>
        </w:rPr>
        <w:t xml:space="preserve"> </w:t>
      </w:r>
      <w:r>
        <w:rPr>
          <w:b/>
          <w:bCs/>
        </w:rPr>
        <w:t xml:space="preserve">O157:H7 pairs still differ structurally.</w:t>
      </w:r>
      <w:r>
        <w:t xml:space="preserve"> </w:t>
      </w:r>
      <w:r>
        <w:t xml:space="preserve">Seventy-four complete genomes from Fitzgerald et al. (2021)42, 2,701 non-self pairs, re-run with Syn2bANI v0.1.1. (a) ANI vs</w:t>
      </w:r>
      <w:r>
        <w:t xml:space="preserve"> </w:t>
      </w:r>
      <w:r>
        <w:rPr>
          <w:rStyle w:val="VerbatimChar"/>
        </w:rPr>
        <w:t xml:space="preserve">breakpoint_count</w:t>
      </w:r>
      <w:r>
        <w:t xml:space="preserve">, coloured by lineage when both members share one (I/II, II, Ia, Ic; grey = different lineages). (b) The same by host category (bovine, human, other/unknown). Every pairwise ANI exceeds 99.886%, yet the median pair differs by 7 breakpoints (IQR 4–9, max 19) and only 7.1% of pairs are structurally identical. Source:</w:t>
      </w:r>
      <w:r>
        <w:t xml:space="preserve"> </w:t>
      </w:r>
      <w:r>
        <w:rPr>
          <w:rStyle w:val="VerbatimChar"/>
        </w:rPr>
        <w:t xml:space="preserve">case_studies/ecoli_o157_fitzgerald_2021/results/triangle_rerun.tsv</w:t>
      </w:r>
      <w:r>
        <w:t xml:space="preserve">,</w:t>
      </w:r>
      <w:r>
        <w:t xml:space="preserve"> </w:t>
      </w:r>
      <w:r>
        <w:rPr>
          <w:rStyle w:val="VerbatimChar"/>
        </w:rPr>
        <w:t xml:space="preserve">rerun_summary.md</w:t>
      </w:r>
      <w:r>
        <w:t xml:space="preserve">.</w:t>
      </w:r>
    </w:p>
    <w:p>
      <w:pPr>
        <w:pStyle w:val="BodyText"/>
      </w:pPr>
      <w:r>
        <w:rPr>
          <w:b/>
          <w:bCs/>
        </w:rPr>
        <w:t xml:space="preserve">Supplementary Figure S10 | The FDA-ARGOS</w:t>
      </w:r>
      <w:r>
        <w:rPr>
          <w:b/>
          <w:bCs/>
        </w:rPr>
        <w:t xml:space="preserve"> </w:t>
      </w:r>
      <w:r>
        <w:rPr>
          <w:b/>
          <w:bCs/>
          <w:i/>
          <w:iCs/>
        </w:rPr>
        <w:t xml:space="preserve">Staphylococcus aureus</w:t>
      </w:r>
      <w:r>
        <w:rPr>
          <w:b/>
          <w:bCs/>
        </w:rPr>
        <w:t xml:space="preserve"> </w:t>
      </w:r>
      <w:r>
        <w:rPr>
          <w:b/>
          <w:bCs/>
        </w:rPr>
        <w:t xml:space="preserve">collection is structurally conserved — a negative control.</w:t>
      </w:r>
      <w:r>
        <w:t xml:space="preserve"> </w:t>
      </w:r>
      <w:r>
        <w:t xml:space="preserve">Sixty-seven distinct assemblies43 (the 122 accessions include 54 GenBank/RefSeq or superseded-version twins of one another, which were deduplicated), 2,211 non-self pairs, ANI 93.6–100%, re-run with Syn2bANI v0.1.1. (a) ANI vs</w:t>
      </w:r>
      <w:r>
        <w:t xml:space="preserve"> </w:t>
      </w:r>
      <w:r>
        <w:rPr>
          <w:rStyle w:val="VerbatimChar"/>
        </w:rPr>
        <w:t xml:space="preserve">breakpoint_count</w:t>
      </w:r>
      <w:r>
        <w:t xml:space="preserve"> </w:t>
      </w:r>
      <w:r>
        <w:t xml:space="preserve">by country of isolation (grey = different countries; most records have no country). (b) Breakpoint-count distribution: 60.5% of pairs carry none and the maximum is 7. In this collection ANI and architecture are not decoupled. Source:</w:t>
      </w:r>
      <w:r>
        <w:t xml:space="preserve"> </w:t>
      </w:r>
      <w:r>
        <w:rPr>
          <w:rStyle w:val="VerbatimChar"/>
        </w:rPr>
        <w:t xml:space="preserve">case_studies/fda_argos_s_aureus/results/triangle_rerun.tsv</w:t>
      </w:r>
      <w:r>
        <w:t xml:space="preserve">,</w:t>
      </w:r>
      <w:r>
        <w:t xml:space="preserve"> </w:t>
      </w:r>
      <w:r>
        <w:rPr>
          <w:rStyle w:val="VerbatimChar"/>
        </w:rPr>
        <w:t xml:space="preserve">rerun_summary.md</w:t>
      </w:r>
      <w:r>
        <w:t xml:space="preserve">.</w:t>
      </w:r>
    </w:p>
    <w:bookmarkEnd w:id="48"/>
    <w:bookmarkStart w:id="49" w:name="X81fb71449b1430ddbb32a42e5e2ec228172046d"/>
    <w:p>
      <w:pPr>
        <w:pStyle w:val="Heading2"/>
      </w:pPr>
      <w:r>
        <w:rPr>
          <w:b/>
          <w:bCs/>
        </w:rPr>
        <w:t xml:space="preserve">Supplementary Figure S15 | FDA-ARGOS</w:t>
      </w:r>
      <w:r>
        <w:rPr>
          <w:b/>
          <w:bCs/>
        </w:rPr>
        <w:t xml:space="preserve"> </w:t>
      </w:r>
      <w:r>
        <w:rPr>
          <w:b/>
          <w:bCs/>
          <w:i/>
          <w:iCs/>
        </w:rPr>
        <w:t xml:space="preserve">E. coli</w:t>
      </w:r>
      <w:r>
        <w:rPr>
          <w:b/>
          <w:bCs/>
        </w:rPr>
        <w:t xml:space="preserve">: structural and resistance discordance among very-high-ANI reference-genome pairs.</w:t>
      </w:r>
      <w:r>
        <w:t xml:space="preserve"> </w:t>
      </w:r>
      <w:r>
        <w:t xml:space="preserve">One hundred and twenty-nine FDA-ARGOS</w:t>
      </w:r>
      <w:r>
        <w:t xml:space="preserve"> </w:t>
      </w:r>
      <w:r>
        <w:rPr>
          <w:i/>
          <w:iCs/>
        </w:rPr>
        <w:t xml:space="preserve">E. coli</w:t>
      </w:r>
      <w:r>
        <w:t xml:space="preserve"> </w:t>
      </w:r>
      <w:r>
        <w:t xml:space="preserve">assemblies; 103 pairs at skani ANI ≥ 99.9. (a) ANI distribution of the 103 pairs. (b) Structural classes from minimap2 validation: global flip/rotation convention artifacts (41 pairs), partial inversions confirmed by minus-strand blocks (16 pairs), and collinear/local events (46 pairs). (c) Core AMR genotype discordance by ANI band; 60/103 pairs (58.3%) differ, including 11/24 at ANI ≥ 99.99. (d) Minimap2 chromosome alignment blocks of at least 100 kb for the ANI = 100.0 pair FDAARGOS_348/772, which differs by tet(A)/tet(K) and a 48 kb insertion. Source:</w:t>
      </w:r>
      <w:r>
        <w:t xml:space="preserve"> </w:t>
      </w:r>
      <w:r>
        <w:rPr>
          <w:rStyle w:val="VerbatimChar"/>
        </w:rPr>
        <w:t xml:space="preserve">paper/figures/supplementary/fig_s15_fda_argos_ecoli.png</w:t>
      </w:r>
      <w:r>
        <w:t xml:space="preserve">;</w:t>
      </w:r>
      <w:r>
        <w:t xml:space="preserve"> </w:t>
      </w:r>
      <w:r>
        <w:rPr>
          <w:rStyle w:val="VerbatimChar"/>
        </w:rPr>
        <w:t xml:space="preserve">case_studies/fda_argos/ANALYSIS.md</w:t>
      </w:r>
      <w:r>
        <w:t xml:space="preserve">,</w:t>
      </w:r>
      <w:r>
        <w:t xml:space="preserve"> </w:t>
      </w:r>
      <w:r>
        <w:rPr>
          <w:rStyle w:val="VerbatimChar"/>
        </w:rPr>
        <w:t xml:space="preserve">validate/VALIDATION.md</w:t>
      </w:r>
      <w:r>
        <w:t xml:space="preserve">,</w:t>
      </w:r>
      <w:r>
        <w:t xml:space="preserve"> </w:t>
      </w:r>
      <w:r>
        <w:rPr>
          <w:rStyle w:val="VerbatimChar"/>
        </w:rPr>
        <w:t xml:space="preserve">amr_discordance.tsv</w:t>
      </w:r>
      <w:r>
        <w:t xml:space="preserve">.</w:t>
      </w:r>
    </w:p>
    <w:bookmarkEnd w:id="49"/>
    <w:bookmarkStart w:id="50" w:name="tables"/>
    <w:p>
      <w:pPr>
        <w:pStyle w:val="Heading2"/>
      </w:pPr>
      <w:r>
        <w:t xml:space="preserve">Tables</w:t>
      </w:r>
    </w:p>
    <w:p>
      <w:pPr>
        <w:pStyle w:val="FirstParagraph"/>
      </w:pPr>
      <w:r>
        <w:rPr>
          <w:b/>
          <w:bCs/>
        </w:rPr>
        <w:t xml:space="preserve">Table 1 | GTDB-R207 ANIm-truth benchmark (MAE in ANI points, by band).</w:t>
      </w:r>
      <w:r>
        <w:t xml:space="preserve"> </w:t>
      </w:r>
      <w:r>
        <w:t xml:space="preserve">Upper panel: 2,074-pair benchmark with band-holdout cross-validation using deployed v5. Lower panel: strictly held-out 43,334-pair evaluation and unified 80–100% benchmark using benchmark calibration v6. Raw rows are post-rescue gated estimates; v6 is trained on the 2,520 v5 pairs plus 1,614 usable high-ANI pairs; hybrid uses raw ≥98% ANI and v6-calibrated &lt;98%. Throughout the manuscript,</w:t>
      </w:r>
      <w:r>
        <w:t xml:space="preserve"> </w:t>
      </w:r>
      <w:r>
        <w:t xml:space="preserve">“ANI”</w:t>
      </w:r>
      <w:r>
        <w:t xml:space="preserve"> </w:t>
      </w:r>
      <w:r>
        <w:t xml:space="preserve">refers to the hybrid default output unless a row or column is explicitly labelled raw (gated) or calibrated. Held-out rows for Syn2bANI calibrated are over the 39,903 pairs with a calibrated value, and the skani and FastANI held-out rows are over the same 39,903 pairs. The last three rows give the comparators the same band-holdout linear calibration (</w:t>
      </w:r>
      <w:r>
        <w:rPr>
          <w:rStyle w:val="VerbatimChar"/>
        </w:rPr>
        <w:t xml:space="preserve">results/gtdb50k/CALIBRATED_COMPARATORS.md</w:t>
      </w:r>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Method</w:t>
            </w:r>
          </w:p>
        </w:tc>
        <w:tc>
          <w:tcPr/>
          <w:p>
            <w:pPr>
              <w:pStyle w:val="Compact"/>
            </w:pPr>
            <w:r>
              <w:t xml:space="preserve">80–85</w:t>
            </w:r>
          </w:p>
        </w:tc>
        <w:tc>
          <w:tcPr/>
          <w:p>
            <w:pPr>
              <w:pStyle w:val="Compact"/>
            </w:pPr>
            <w:r>
              <w:t xml:space="preserve">85–90</w:t>
            </w:r>
          </w:p>
        </w:tc>
        <w:tc>
          <w:tcPr/>
          <w:p>
            <w:pPr>
              <w:pStyle w:val="Compact"/>
            </w:pPr>
            <w:r>
              <w:t xml:space="preserve">90–95</w:t>
            </w:r>
          </w:p>
        </w:tc>
        <w:tc>
          <w:tcPr/>
          <w:p>
            <w:pPr>
              <w:pStyle w:val="Compact"/>
            </w:pPr>
            <w:r>
              <w:t xml:space="preserve">95–99/95–100</w:t>
            </w:r>
          </w:p>
        </w:tc>
        <w:tc>
          <w:tcPr/>
          <w:p>
            <w:pPr>
              <w:pStyle w:val="Compact"/>
            </w:pPr>
            <w:r>
              <w:t xml:space="preserve">all</w:t>
            </w:r>
          </w:p>
        </w:tc>
        <w:tc>
          <w:tcPr/>
          <w:p>
            <w:pPr>
              <w:pStyle w:val="Compact"/>
            </w:pPr>
            <w:r>
              <w:t xml:space="preserve">bias (all)</w:t>
            </w:r>
          </w:p>
        </w:tc>
        <w:tc>
          <w:tcPr/>
          <w:p>
            <w:pPr>
              <w:pStyle w:val="Compact"/>
            </w:pPr>
            <w:r>
              <w:t xml:space="preserve">r (all)</w:t>
            </w:r>
          </w:p>
        </w:tc>
      </w:tr>
      <w:tr>
        <w:tc>
          <w:tcPr/>
          <w:p>
            <w:pPr>
              <w:pStyle w:val="Compact"/>
            </w:pPr>
            <w:r>
              <w:t xml:space="preserve">syn2bani 4e gamma (raw)</w:t>
            </w:r>
          </w:p>
        </w:tc>
        <w:tc>
          <w:tcPr/>
          <w:p>
            <w:pPr>
              <w:pStyle w:val="Compact"/>
            </w:pPr>
            <w:r>
              <w:t xml:space="preserve">3.21</w:t>
            </w:r>
          </w:p>
        </w:tc>
        <w:tc>
          <w:tcPr/>
          <w:p>
            <w:pPr>
              <w:pStyle w:val="Compact"/>
            </w:pPr>
            <w:r>
              <w:t xml:space="preserve">2.81</w:t>
            </w:r>
          </w:p>
        </w:tc>
        <w:tc>
          <w:tcPr/>
          <w:p>
            <w:pPr>
              <w:pStyle w:val="Compact"/>
            </w:pPr>
            <w:r>
              <w:t xml:space="preserve">1.47</w:t>
            </w:r>
          </w:p>
        </w:tc>
        <w:tc>
          <w:tcPr/>
          <w:p>
            <w:pPr>
              <w:pStyle w:val="Compact"/>
            </w:pPr>
            <w:r>
              <w:t xml:space="preserve">0.88</w:t>
            </w:r>
          </w:p>
        </w:tc>
        <w:tc>
          <w:tcPr/>
          <w:p>
            <w:pPr>
              <w:pStyle w:val="Compact"/>
            </w:pPr>
            <w:r>
              <w:t xml:space="preserve">2.35</w:t>
            </w:r>
          </w:p>
        </w:tc>
        <w:tc>
          <w:tcPr/>
          <w:p>
            <w:pPr>
              <w:pStyle w:val="Compact"/>
            </w:pPr>
            <w:r>
              <w:t xml:space="preserve">+2.02</w:t>
            </w:r>
          </w:p>
        </w:tc>
        <w:tc>
          <w:tcPr/>
          <w:p>
            <w:pPr>
              <w:pStyle w:val="Compact"/>
            </w:pPr>
            <w:r>
              <w:t xml:space="preserve">0.763</w:t>
            </w:r>
          </w:p>
        </w:tc>
      </w:tr>
      <w:tr>
        <w:tc>
          <w:tcPr/>
          <w:p>
            <w:pPr>
              <w:pStyle w:val="Compact"/>
            </w:pPr>
            <w:r>
              <w:t xml:space="preserve">syn2bani 4e uniform (raw)</w:t>
            </w:r>
          </w:p>
        </w:tc>
        <w:tc>
          <w:tcPr/>
          <w:p>
            <w:pPr>
              <w:pStyle w:val="Compact"/>
            </w:pPr>
            <w:r>
              <w:t xml:space="preserve">4.26</w:t>
            </w:r>
          </w:p>
        </w:tc>
        <w:tc>
          <w:tcPr/>
          <w:p>
            <w:pPr>
              <w:pStyle w:val="Compact"/>
            </w:pPr>
            <w:r>
              <w:t xml:space="preserve">3.81</w:t>
            </w:r>
          </w:p>
        </w:tc>
        <w:tc>
          <w:tcPr/>
          <w:p>
            <w:pPr>
              <w:pStyle w:val="Compact"/>
            </w:pPr>
            <w:r>
              <w:t xml:space="preserve">2.16</w:t>
            </w:r>
          </w:p>
        </w:tc>
        <w:tc>
          <w:tcPr/>
          <w:p>
            <w:pPr>
              <w:pStyle w:val="Compact"/>
            </w:pPr>
            <w:r>
              <w:t xml:space="preserve">1.43</w:t>
            </w:r>
          </w:p>
        </w:tc>
        <w:tc>
          <w:tcPr/>
          <w:p>
            <w:pPr>
              <w:pStyle w:val="Compact"/>
            </w:pPr>
            <w:r>
              <w:t xml:space="preserve">3.23</w:t>
            </w:r>
          </w:p>
        </w:tc>
        <w:tc>
          <w:tcPr/>
          <w:p>
            <w:pPr>
              <w:pStyle w:val="Compact"/>
            </w:pPr>
            <w:r>
              <w:t xml:space="preserve">+3.23</w:t>
            </w:r>
          </w:p>
        </w:tc>
        <w:tc>
          <w:tcPr/>
          <w:p>
            <w:pPr>
              <w:pStyle w:val="Compact"/>
            </w:pPr>
            <w:r>
              <w:t xml:space="preserve">0.863</w:t>
            </w:r>
          </w:p>
        </w:tc>
      </w:tr>
      <w:tr>
        <w:tc>
          <w:tcPr/>
          <w:p>
            <w:pPr>
              <w:pStyle w:val="Compact"/>
            </w:pPr>
            <w:r>
              <w:t xml:space="preserve">syn2bani 4e gated (raw)</w:t>
            </w:r>
          </w:p>
        </w:tc>
        <w:tc>
          <w:tcPr/>
          <w:p>
            <w:pPr>
              <w:pStyle w:val="Compact"/>
            </w:pPr>
            <w:r>
              <w:t xml:space="preserve">3.24</w:t>
            </w:r>
          </w:p>
        </w:tc>
        <w:tc>
          <w:tcPr/>
          <w:p>
            <w:pPr>
              <w:pStyle w:val="Compact"/>
            </w:pPr>
            <w:r>
              <w:t xml:space="preserve">2.81</w:t>
            </w:r>
          </w:p>
        </w:tc>
        <w:tc>
          <w:tcPr/>
          <w:p>
            <w:pPr>
              <w:pStyle w:val="Compact"/>
            </w:pPr>
            <w:r>
              <w:t xml:space="preserve">1.47</w:t>
            </w:r>
          </w:p>
        </w:tc>
        <w:tc>
          <w:tcPr/>
          <w:p>
            <w:pPr>
              <w:pStyle w:val="Compact"/>
            </w:pPr>
            <w:r>
              <w:t xml:space="preserve">0.88</w:t>
            </w:r>
          </w:p>
        </w:tc>
        <w:tc>
          <w:tcPr/>
          <w:p>
            <w:pPr>
              <w:pStyle w:val="Compact"/>
            </w:pPr>
            <w:r>
              <w:t xml:space="preserve">2.35</w:t>
            </w:r>
          </w:p>
        </w:tc>
        <w:tc>
          <w:tcPr/>
          <w:p>
            <w:pPr>
              <w:pStyle w:val="Compact"/>
            </w:pPr>
            <w:r>
              <w:t xml:space="preserve">+2.22</w:t>
            </w:r>
          </w:p>
        </w:tc>
        <w:tc>
          <w:tcPr/>
          <w:p>
            <w:pPr>
              <w:pStyle w:val="Compact"/>
            </w:pPr>
            <w:r>
              <w:t xml:space="preserve">0.789</w:t>
            </w:r>
          </w:p>
        </w:tc>
      </w:tr>
      <w:tr>
        <w:tc>
          <w:tcPr/>
          <w:p>
            <w:pPr>
              <w:pStyle w:val="Compact"/>
            </w:pPr>
            <w:r>
              <w:rPr>
                <w:b/>
                <w:bCs/>
              </w:rPr>
              <w:t xml:space="preserve">syn2bani 4e calibrated v5 (band-holdout CV)</w:t>
            </w:r>
          </w:p>
        </w:tc>
        <w:tc>
          <w:tcPr/>
          <w:p>
            <w:pPr>
              <w:pStyle w:val="Compact"/>
            </w:pPr>
            <w:r>
              <w:t xml:space="preserve">0.82</w:t>
            </w:r>
          </w:p>
        </w:tc>
        <w:tc>
          <w:tcPr/>
          <w:p>
            <w:pPr>
              <w:pStyle w:val="Compact"/>
            </w:pPr>
            <w:r>
              <w:t xml:space="preserve">0.77</w:t>
            </w:r>
          </w:p>
        </w:tc>
        <w:tc>
          <w:tcPr/>
          <w:p>
            <w:pPr>
              <w:pStyle w:val="Compact"/>
            </w:pPr>
            <w:r>
              <w:t xml:space="preserve">0.64</w:t>
            </w:r>
          </w:p>
        </w:tc>
        <w:tc>
          <w:tcPr/>
          <w:p>
            <w:pPr>
              <w:pStyle w:val="Compact"/>
            </w:pPr>
            <w:r>
              <w:t xml:space="preserve">0.71</w:t>
            </w:r>
          </w:p>
        </w:tc>
        <w:tc>
          <w:tcPr/>
          <w:p>
            <w:pPr>
              <w:pStyle w:val="Compact"/>
            </w:pPr>
            <w:r>
              <w:rPr>
                <w:b/>
                <w:bCs/>
              </w:rPr>
              <w:t xml:space="preserve">0.731</w:t>
            </w:r>
          </w:p>
        </w:tc>
        <w:tc>
          <w:tcPr/>
          <w:p>
            <w:pPr>
              <w:pStyle w:val="Compact"/>
            </w:pPr>
            <w:r>
              <w:rPr>
                <w:b/>
                <w:bCs/>
              </w:rPr>
              <w:t xml:space="preserve">+0.05</w:t>
            </w:r>
          </w:p>
        </w:tc>
        <w:tc>
          <w:tcPr/>
          <w:p>
            <w:pPr>
              <w:pStyle w:val="Compact"/>
            </w:pPr>
            <w:r>
              <w:t xml:space="preserve">0.963</w:t>
            </w:r>
          </w:p>
        </w:tc>
      </w:tr>
      <w:tr>
        <w:tc>
          <w:tcPr/>
          <w:p>
            <w:pPr>
              <w:pStyle w:val="Compact"/>
            </w:pPr>
            <w:r>
              <w:t xml:space="preserve">skani</w:t>
            </w:r>
          </w:p>
        </w:tc>
        <w:tc>
          <w:tcPr/>
          <w:p>
            <w:pPr>
              <w:pStyle w:val="Compact"/>
            </w:pPr>
            <w:r>
              <w:t xml:space="preserve">1.74</w:t>
            </w:r>
          </w:p>
        </w:tc>
        <w:tc>
          <w:tcPr/>
          <w:p>
            <w:pPr>
              <w:pStyle w:val="Compact"/>
            </w:pPr>
            <w:r>
              <w:t xml:space="preserve">0.85</w:t>
            </w:r>
          </w:p>
        </w:tc>
        <w:tc>
          <w:tcPr/>
          <w:p>
            <w:pPr>
              <w:pStyle w:val="Compact"/>
            </w:pPr>
            <w:r>
              <w:t xml:space="preserve">0.45</w:t>
            </w:r>
          </w:p>
        </w:tc>
        <w:tc>
          <w:tcPr/>
          <w:p>
            <w:pPr>
              <w:pStyle w:val="Compact"/>
            </w:pPr>
            <w:r>
              <w:t xml:space="preserve">0.34</w:t>
            </w:r>
          </w:p>
        </w:tc>
        <w:tc>
          <w:tcPr/>
          <w:p>
            <w:pPr>
              <w:pStyle w:val="Compact"/>
            </w:pPr>
            <w:r>
              <w:t xml:space="preserve">0.906</w:t>
            </w:r>
          </w:p>
        </w:tc>
        <w:tc>
          <w:tcPr/>
          <w:p>
            <w:pPr>
              <w:pStyle w:val="Compact"/>
            </w:pPr>
            <w:r>
              <w:t xml:space="preserve">−0.65</w:t>
            </w:r>
          </w:p>
        </w:tc>
        <w:tc>
          <w:tcPr/>
          <w:p>
            <w:pPr>
              <w:pStyle w:val="Compact"/>
            </w:pPr>
            <w:r>
              <w:t xml:space="preserve">0.969</w:t>
            </w:r>
          </w:p>
        </w:tc>
      </w:tr>
      <w:tr>
        <w:tc>
          <w:tcPr/>
          <w:p>
            <w:pPr>
              <w:pStyle w:val="Compact"/>
            </w:pPr>
            <w:r>
              <w:t xml:space="preserve">FastANI (363-pair subset)</w:t>
            </w:r>
          </w:p>
        </w:tc>
        <w:tc>
          <w:tcPr/>
          <w:p>
            <w:pPr>
              <w:pStyle w:val="Compact"/>
            </w:pPr>
            <w:r>
              <w:t xml:space="preserve">1.73</w:t>
            </w:r>
          </w:p>
        </w:tc>
        <w:tc>
          <w:tcPr/>
          <w:p>
            <w:pPr>
              <w:pStyle w:val="Compact"/>
            </w:pPr>
            <w:r>
              <w:t xml:space="preserve">1.26</w:t>
            </w:r>
          </w:p>
        </w:tc>
        <w:tc>
          <w:tcPr/>
          <w:p>
            <w:pPr>
              <w:pStyle w:val="Compact"/>
            </w:pPr>
            <w:r>
              <w:t xml:space="preserve">0.54</w:t>
            </w:r>
          </w:p>
        </w:tc>
        <w:tc>
          <w:tcPr/>
          <w:p>
            <w:pPr>
              <w:pStyle w:val="Compact"/>
            </w:pPr>
            <w:r>
              <w:t xml:space="preserve">0.69</w:t>
            </w:r>
          </w:p>
        </w:tc>
        <w:tc>
          <w:tcPr/>
          <w:p>
            <w:pPr>
              <w:pStyle w:val="Compact"/>
            </w:pPr>
            <w:r>
              <w:t xml:space="preserve">1.056</w:t>
            </w:r>
          </w:p>
        </w:tc>
        <w:tc>
          <w:tcPr/>
          <w:p>
            <w:pPr>
              <w:pStyle w:val="Compact"/>
            </w:pPr>
            <w:r>
              <w:t xml:space="preserve">−0.98</w:t>
            </w:r>
          </w:p>
        </w:tc>
        <w:tc>
          <w:tcPr/>
          <w:p>
            <w:pPr>
              <w:pStyle w:val="Compact"/>
            </w:pPr>
            <w:r>
              <w:t xml:space="preserve">0.981</w:t>
            </w:r>
          </w:p>
        </w:tc>
      </w:tr>
      <w:tr>
        <w:tc>
          <w:tcPr/>
          <w:p>
            <w:pPr>
              <w:pStyle w:val="Compact"/>
            </w:pPr>
            <w:r>
              <w:t xml:space="preserve">syn2bani 4e gated, held-out (raw)</w:t>
            </w:r>
          </w:p>
        </w:tc>
        <w:tc>
          <w:tcPr/>
          <w:p>
            <w:pPr>
              <w:pStyle w:val="Compact"/>
            </w:pPr>
            <w:r>
              <w:t xml:space="preserve">2.20</w:t>
            </w:r>
          </w:p>
        </w:tc>
        <w:tc>
          <w:tcPr/>
          <w:p>
            <w:pPr>
              <w:pStyle w:val="Compact"/>
            </w:pPr>
            <w:r>
              <w:t xml:space="preserve">1.89</w:t>
            </w:r>
          </w:p>
        </w:tc>
        <w:tc>
          <w:tcPr/>
          <w:p>
            <w:pPr>
              <w:pStyle w:val="Compact"/>
            </w:pPr>
            <w:r>
              <w:t xml:space="preserve">1.21</w:t>
            </w:r>
          </w:p>
        </w:tc>
        <w:tc>
          <w:tcPr/>
          <w:p>
            <w:pPr>
              <w:pStyle w:val="Compact"/>
            </w:pPr>
            <w:r>
              <w:t xml:space="preserve">0.75</w:t>
            </w:r>
          </w:p>
        </w:tc>
        <w:tc>
          <w:tcPr/>
          <w:p>
            <w:pPr>
              <w:pStyle w:val="Compact"/>
            </w:pPr>
            <w:r>
              <w:t xml:space="preserve">1.70</w:t>
            </w:r>
          </w:p>
        </w:tc>
        <w:tc>
          <w:tcPr/>
          <w:p>
            <w:pPr>
              <w:pStyle w:val="Compact"/>
            </w:pPr>
            <w:r>
              <w:t xml:space="preserve">+1.50</w:t>
            </w:r>
          </w:p>
        </w:tc>
        <w:tc>
          <w:tcPr/>
          <w:p>
            <w:pPr>
              <w:pStyle w:val="Compact"/>
            </w:pPr>
            <w:r>
              <w:t xml:space="preserve">0.834</w:t>
            </w:r>
          </w:p>
        </w:tc>
      </w:tr>
      <w:tr>
        <w:tc>
          <w:tcPr/>
          <w:p>
            <w:pPr>
              <w:pStyle w:val="Compact"/>
            </w:pPr>
            <w:r>
              <w:rPr>
                <w:b/>
                <w:bCs/>
              </w:rPr>
              <w:t xml:space="preserve">syn2bani 4e calibrated v6, held-out</w:t>
            </w:r>
          </w:p>
        </w:tc>
        <w:tc>
          <w:tcPr/>
          <w:p>
            <w:pPr>
              <w:pStyle w:val="Compact"/>
            </w:pPr>
            <w:r>
              <w:rPr>
                <w:b/>
                <w:bCs/>
              </w:rPr>
              <w:t xml:space="preserve">0.72</w:t>
            </w:r>
          </w:p>
        </w:tc>
        <w:tc>
          <w:tcPr/>
          <w:p>
            <w:pPr>
              <w:pStyle w:val="Compact"/>
            </w:pPr>
            <w:r>
              <w:rPr>
                <w:b/>
                <w:bCs/>
              </w:rPr>
              <w:t xml:space="preserve">0.64</w:t>
            </w:r>
          </w:p>
        </w:tc>
        <w:tc>
          <w:tcPr/>
          <w:p>
            <w:pPr>
              <w:pStyle w:val="Compact"/>
            </w:pPr>
            <w:r>
              <w:t xml:space="preserve">0.54</w:t>
            </w:r>
          </w:p>
        </w:tc>
        <w:tc>
          <w:tcPr/>
          <w:p>
            <w:pPr>
              <w:pStyle w:val="Compact"/>
            </w:pPr>
            <w:r>
              <w:t xml:space="preserve">0.44</w:t>
            </w:r>
          </w:p>
        </w:tc>
        <w:tc>
          <w:tcPr/>
          <w:p>
            <w:pPr>
              <w:pStyle w:val="Compact"/>
            </w:pPr>
            <w:r>
              <w:rPr>
                <w:b/>
                <w:bCs/>
              </w:rPr>
              <w:t xml:space="preserve">0.619</w:t>
            </w:r>
          </w:p>
        </w:tc>
        <w:tc>
          <w:tcPr/>
          <w:p>
            <w:pPr>
              <w:pStyle w:val="Compact"/>
            </w:pPr>
            <w:r>
              <w:rPr>
                <w:b/>
                <w:bCs/>
              </w:rPr>
              <w:t xml:space="preserve">−0.12</w:t>
            </w:r>
          </w:p>
        </w:tc>
        <w:tc>
          <w:tcPr/>
          <w:p>
            <w:pPr>
              <w:pStyle w:val="Compact"/>
            </w:pPr>
            <w:r>
              <w:t xml:space="preserve">0.962</w:t>
            </w:r>
          </w:p>
        </w:tc>
      </w:tr>
      <w:tr>
        <w:tc>
          <w:tcPr/>
          <w:p>
            <w:pPr>
              <w:pStyle w:val="Compact"/>
            </w:pPr>
            <w:r>
              <w:t xml:space="preserve">skani, held-out</w:t>
            </w:r>
          </w:p>
        </w:tc>
        <w:tc>
          <w:tcPr/>
          <w:p>
            <w:pPr>
              <w:pStyle w:val="Compact"/>
            </w:pPr>
            <w:r>
              <w:t xml:space="preserve">1.98</w:t>
            </w:r>
          </w:p>
        </w:tc>
        <w:tc>
          <w:tcPr/>
          <w:p>
            <w:pPr>
              <w:pStyle w:val="Compact"/>
            </w:pPr>
            <w:r>
              <w:t xml:space="preserve">0.89</w:t>
            </w:r>
          </w:p>
        </w:tc>
        <w:tc>
          <w:tcPr/>
          <w:p>
            <w:pPr>
              <w:pStyle w:val="Compact"/>
            </w:pPr>
            <w:r>
              <w:t xml:space="preserve">0.43</w:t>
            </w:r>
          </w:p>
        </w:tc>
        <w:tc>
          <w:tcPr/>
          <w:p>
            <w:pPr>
              <w:pStyle w:val="Compact"/>
            </w:pPr>
            <w:r>
              <w:t xml:space="preserve">0.32</w:t>
            </w:r>
          </w:p>
        </w:tc>
        <w:tc>
          <w:tcPr/>
          <w:p>
            <w:pPr>
              <w:pStyle w:val="Compact"/>
            </w:pPr>
            <w:r>
              <w:t xml:space="preserve">0.957</w:t>
            </w:r>
          </w:p>
        </w:tc>
        <w:tc>
          <w:tcPr/>
          <w:p>
            <w:pPr>
              <w:pStyle w:val="Compact"/>
            </w:pPr>
            <w:r>
              <w:t xml:space="preserve">−0.80</w:t>
            </w:r>
          </w:p>
        </w:tc>
        <w:tc>
          <w:tcPr/>
          <w:p>
            <w:pPr>
              <w:pStyle w:val="Compact"/>
            </w:pPr>
            <w:r>
              <w:t xml:space="preserve">0.973</w:t>
            </w:r>
          </w:p>
        </w:tc>
      </w:tr>
      <w:tr>
        <w:tc>
          <w:tcPr/>
          <w:p>
            <w:pPr>
              <w:pStyle w:val="Compact"/>
            </w:pPr>
            <w:r>
              <w:t xml:space="preserve">FastANI, held-out</w:t>
            </w:r>
          </w:p>
        </w:tc>
        <w:tc>
          <w:tcPr/>
          <w:p>
            <w:pPr>
              <w:pStyle w:val="Compact"/>
            </w:pPr>
            <w:r>
              <w:t xml:space="preserve">1.83</w:t>
            </w:r>
          </w:p>
        </w:tc>
        <w:tc>
          <w:tcPr/>
          <w:p>
            <w:pPr>
              <w:pStyle w:val="Compact"/>
            </w:pPr>
            <w:r>
              <w:t xml:space="preserve">1.00</w:t>
            </w:r>
          </w:p>
        </w:tc>
        <w:tc>
          <w:tcPr/>
          <w:p>
            <w:pPr>
              <w:pStyle w:val="Compact"/>
            </w:pPr>
            <w:r>
              <w:t xml:space="preserve">0.46</w:t>
            </w:r>
          </w:p>
        </w:tc>
        <w:tc>
          <w:tcPr/>
          <w:p>
            <w:pPr>
              <w:pStyle w:val="Compact"/>
            </w:pPr>
            <w:r>
              <w:t xml:space="preserve">0.36</w:t>
            </w:r>
          </w:p>
        </w:tc>
        <w:tc>
          <w:tcPr/>
          <w:p>
            <w:pPr>
              <w:pStyle w:val="Compact"/>
            </w:pPr>
            <w:r>
              <w:t xml:space="preserve">0.977</w:t>
            </w:r>
          </w:p>
        </w:tc>
        <w:tc>
          <w:tcPr/>
          <w:p>
            <w:pPr>
              <w:pStyle w:val="Compact"/>
            </w:pPr>
            <w:r>
              <w:t xml:space="preserve">−0.91</w:t>
            </w:r>
          </w:p>
        </w:tc>
        <w:tc>
          <w:tcPr/>
          <w:p>
            <w:pPr>
              <w:pStyle w:val="Compact"/>
            </w:pPr>
            <w:r>
              <w:t xml:space="preserve">0.980</w:t>
            </w:r>
          </w:p>
        </w:tc>
      </w:tr>
      <w:tr>
        <w:tc>
          <w:tcPr/>
          <w:p>
            <w:pPr>
              <w:pStyle w:val="Compact"/>
            </w:pPr>
            <w:r>
              <w:rPr>
                <w:b/>
                <w:bCs/>
              </w:rPr>
              <w:t xml:space="preserve">syn2bani 4e calibrated v6, unified 80–100%</w:t>
            </w:r>
          </w:p>
        </w:tc>
        <w:tc>
          <w:tcPr/>
          <w:p>
            <w:pPr>
              <w:pStyle w:val="Compact"/>
            </w:pPr>
            <w:r>
              <w:rPr>
                <w:b/>
                <w:bCs/>
              </w:rPr>
              <w:t xml:space="preserve">0.72</w:t>
            </w:r>
          </w:p>
        </w:tc>
        <w:tc>
          <w:tcPr/>
          <w:p>
            <w:pPr>
              <w:pStyle w:val="Compact"/>
            </w:pPr>
            <w:r>
              <w:rPr>
                <w:b/>
                <w:bCs/>
              </w:rPr>
              <w:t xml:space="preserve">0.64</w:t>
            </w:r>
          </w:p>
        </w:tc>
        <w:tc>
          <w:tcPr/>
          <w:p>
            <w:pPr>
              <w:pStyle w:val="Compact"/>
            </w:pPr>
            <w:r>
              <w:t xml:space="preserve">0.54</w:t>
            </w:r>
          </w:p>
        </w:tc>
        <w:tc>
          <w:tcPr/>
          <w:p>
            <w:pPr>
              <w:pStyle w:val="Compact"/>
            </w:pPr>
            <w:r>
              <w:t xml:space="preserve">—</w:t>
            </w:r>
          </w:p>
        </w:tc>
        <w:tc>
          <w:tcPr/>
          <w:p>
            <w:pPr>
              <w:pStyle w:val="Compact"/>
            </w:pPr>
            <w:r>
              <w:rPr>
                <w:b/>
                <w:bCs/>
              </w:rPr>
              <w:t xml:space="preserve">0.618</w:t>
            </w:r>
          </w:p>
        </w:tc>
        <w:tc>
          <w:tcPr/>
          <w:p>
            <w:pPr>
              <w:pStyle w:val="Compact"/>
            </w:pPr>
            <w:r>
              <w:rPr>
                <w:b/>
                <w:bCs/>
              </w:rPr>
              <w:t xml:space="preserve">−0.13</w:t>
            </w:r>
          </w:p>
        </w:tc>
        <w:tc>
          <w:tcPr/>
          <w:p>
            <w:pPr>
              <w:pStyle w:val="Compact"/>
            </w:pPr>
            <w:r>
              <w:t xml:space="preserve">0.967</w:t>
            </w:r>
          </w:p>
        </w:tc>
      </w:tr>
      <w:tr>
        <w:tc>
          <w:tcPr/>
          <w:p>
            <w:pPr>
              <w:pStyle w:val="Compact"/>
            </w:pPr>
            <w:r>
              <w:rPr>
                <w:b/>
                <w:bCs/>
              </w:rPr>
              <w:t xml:space="preserve">syn2bani 4e hybrid (raw ≥98%, cal &lt;98%), unified</w:t>
            </w:r>
          </w:p>
        </w:tc>
        <w:tc>
          <w:tcPr/>
          <w:p>
            <w:pPr>
              <w:pStyle w:val="Compact"/>
            </w:pPr>
            <w:r>
              <w:rPr>
                <w:b/>
                <w:bCs/>
              </w:rPr>
              <w:t xml:space="preserve">0.72</w:t>
            </w:r>
          </w:p>
        </w:tc>
        <w:tc>
          <w:tcPr/>
          <w:p>
            <w:pPr>
              <w:pStyle w:val="Compact"/>
            </w:pPr>
            <w:r>
              <w:rPr>
                <w:b/>
                <w:bCs/>
              </w:rPr>
              <w:t xml:space="preserve">0.65</w:t>
            </w:r>
          </w:p>
        </w:tc>
        <w:tc>
          <w:tcPr/>
          <w:p>
            <w:pPr>
              <w:pStyle w:val="Compact"/>
            </w:pPr>
            <w:r>
              <w:t xml:space="preserve">0.54</w:t>
            </w:r>
          </w:p>
        </w:tc>
        <w:tc>
          <w:tcPr/>
          <w:p>
            <w:pPr>
              <w:pStyle w:val="Compact"/>
            </w:pPr>
            <w:r>
              <w:t xml:space="preserve">—</w:t>
            </w:r>
          </w:p>
        </w:tc>
        <w:tc>
          <w:tcPr/>
          <w:p>
            <w:pPr>
              <w:pStyle w:val="Compact"/>
            </w:pPr>
            <w:r>
              <w:rPr>
                <w:b/>
                <w:bCs/>
              </w:rPr>
              <w:t xml:space="preserve">0.615</w:t>
            </w:r>
          </w:p>
        </w:tc>
        <w:tc>
          <w:tcPr/>
          <w:p>
            <w:pPr>
              <w:pStyle w:val="Compact"/>
            </w:pPr>
            <w:r>
              <w:rPr>
                <w:b/>
                <w:bCs/>
              </w:rPr>
              <w:t xml:space="preserve">−0.12</w:t>
            </w:r>
          </w:p>
        </w:tc>
        <w:tc>
          <w:tcPr/>
          <w:p>
            <w:pPr>
              <w:pStyle w:val="Compact"/>
            </w:pPr>
            <w:r>
              <w:t xml:space="preserve">0.967</w:t>
            </w:r>
          </w:p>
        </w:tc>
      </w:tr>
      <w:tr>
        <w:tc>
          <w:tcPr/>
          <w:p>
            <w:pPr>
              <w:pStyle w:val="Compact"/>
            </w:pPr>
            <w:r>
              <w:t xml:space="preserve">syn2bani 4e gated (raw), unified</w:t>
            </w:r>
          </w:p>
        </w:tc>
        <w:tc>
          <w:tcPr/>
          <w:p>
            <w:pPr>
              <w:pStyle w:val="Compact"/>
            </w:pPr>
            <w:r>
              <w:t xml:space="preserve">1.96</w:t>
            </w:r>
          </w:p>
        </w:tc>
        <w:tc>
          <w:tcPr/>
          <w:p>
            <w:pPr>
              <w:pStyle w:val="Compact"/>
            </w:pPr>
            <w:r>
              <w:t xml:space="preserve">1.89</w:t>
            </w:r>
          </w:p>
        </w:tc>
        <w:tc>
          <w:tcPr/>
          <w:p>
            <w:pPr>
              <w:pStyle w:val="Compact"/>
            </w:pPr>
            <w:r>
              <w:t xml:space="preserve">1.21</w:t>
            </w:r>
          </w:p>
        </w:tc>
        <w:tc>
          <w:tcPr/>
          <w:p>
            <w:pPr>
              <w:pStyle w:val="Compact"/>
            </w:pPr>
            <w:r>
              <w:t xml:space="preserve">—</w:t>
            </w:r>
          </w:p>
        </w:tc>
        <w:tc>
          <w:tcPr/>
          <w:p>
            <w:pPr>
              <w:pStyle w:val="Compact"/>
            </w:pPr>
            <w:r>
              <w:t xml:space="preserve">1.647</w:t>
            </w:r>
          </w:p>
        </w:tc>
        <w:tc>
          <w:tcPr/>
          <w:p>
            <w:pPr>
              <w:pStyle w:val="Compact"/>
            </w:pPr>
            <w:r>
              <w:t xml:space="preserve">+1.42</w:t>
            </w:r>
          </w:p>
        </w:tc>
        <w:tc>
          <w:tcPr/>
          <w:p>
            <w:pPr>
              <w:pStyle w:val="Compact"/>
            </w:pPr>
            <w:r>
              <w:t xml:space="preserve">0.867</w:t>
            </w:r>
          </w:p>
        </w:tc>
      </w:tr>
      <w:tr>
        <w:tc>
          <w:tcPr/>
          <w:p>
            <w:pPr>
              <w:pStyle w:val="Compact"/>
            </w:pPr>
            <w:r>
              <w:t xml:space="preserve">skani, unified</w:t>
            </w:r>
          </w:p>
        </w:tc>
        <w:tc>
          <w:tcPr/>
          <w:p>
            <w:pPr>
              <w:pStyle w:val="Compact"/>
            </w:pPr>
            <w:r>
              <w:t xml:space="preserve">1.97</w:t>
            </w:r>
          </w:p>
        </w:tc>
        <w:tc>
          <w:tcPr/>
          <w:p>
            <w:pPr>
              <w:pStyle w:val="Compact"/>
            </w:pPr>
            <w:r>
              <w:t xml:space="preserve">0.89</w:t>
            </w:r>
          </w:p>
        </w:tc>
        <w:tc>
          <w:tcPr/>
          <w:p>
            <w:pPr>
              <w:pStyle w:val="Compact"/>
            </w:pPr>
            <w:r>
              <w:t xml:space="preserve">0.43</w:t>
            </w:r>
          </w:p>
        </w:tc>
        <w:tc>
          <w:tcPr/>
          <w:p>
            <w:pPr>
              <w:pStyle w:val="Compact"/>
            </w:pPr>
            <w:r>
              <w:t xml:space="preserve">—</w:t>
            </w:r>
          </w:p>
        </w:tc>
        <w:tc>
          <w:tcPr/>
          <w:p>
            <w:pPr>
              <w:pStyle w:val="Compact"/>
            </w:pPr>
            <w:r>
              <w:t xml:space="preserve">1.018</w:t>
            </w:r>
          </w:p>
        </w:tc>
        <w:tc>
          <w:tcPr/>
          <w:p>
            <w:pPr>
              <w:pStyle w:val="Compact"/>
            </w:pPr>
            <w:r>
              <w:t xml:space="preserve">−0.87</w:t>
            </w:r>
          </w:p>
        </w:tc>
        <w:tc>
          <w:tcPr/>
          <w:p>
            <w:pPr>
              <w:pStyle w:val="Compact"/>
            </w:pPr>
            <w:r>
              <w:t xml:space="preserve">0.978</w:t>
            </w:r>
          </w:p>
        </w:tc>
      </w:tr>
      <w:tr>
        <w:tc>
          <w:tcPr/>
          <w:p>
            <w:pPr>
              <w:pStyle w:val="Compact"/>
            </w:pPr>
            <w:r>
              <w:t xml:space="preserve">FastANI, unified</w:t>
            </w:r>
          </w:p>
        </w:tc>
        <w:tc>
          <w:tcPr/>
          <w:p>
            <w:pPr>
              <w:pStyle w:val="Compact"/>
            </w:pPr>
            <w:r>
              <w:t xml:space="preserve">1.84</w:t>
            </w:r>
          </w:p>
        </w:tc>
        <w:tc>
          <w:tcPr/>
          <w:p>
            <w:pPr>
              <w:pStyle w:val="Compact"/>
            </w:pPr>
            <w:r>
              <w:t xml:space="preserve">1.00</w:t>
            </w:r>
          </w:p>
        </w:tc>
        <w:tc>
          <w:tcPr/>
          <w:p>
            <w:pPr>
              <w:pStyle w:val="Compact"/>
            </w:pPr>
            <w:r>
              <w:t xml:space="preserve">0.46</w:t>
            </w:r>
          </w:p>
        </w:tc>
        <w:tc>
          <w:tcPr/>
          <w:p>
            <w:pPr>
              <w:pStyle w:val="Compact"/>
            </w:pPr>
            <w:r>
              <w:t xml:space="preserve">—</w:t>
            </w:r>
          </w:p>
        </w:tc>
        <w:tc>
          <w:tcPr/>
          <w:p>
            <w:pPr>
              <w:pStyle w:val="Compact"/>
            </w:pPr>
            <w:r>
              <w:t xml:space="preserve">1.032</w:t>
            </w:r>
          </w:p>
        </w:tc>
        <w:tc>
          <w:tcPr/>
          <w:p>
            <w:pPr>
              <w:pStyle w:val="Compact"/>
            </w:pPr>
            <w:r>
              <w:t xml:space="preserve">−0.97</w:t>
            </w:r>
          </w:p>
        </w:tc>
        <w:tc>
          <w:tcPr/>
          <w:p>
            <w:pPr>
              <w:pStyle w:val="Compact"/>
            </w:pPr>
            <w:r>
              <w:t xml:space="preserve">0.983</w:t>
            </w:r>
          </w:p>
        </w:tc>
      </w:tr>
      <w:tr>
        <w:tc>
          <w:tcPr/>
          <w:p>
            <w:pPr>
              <w:pStyle w:val="Compact"/>
            </w:pPr>
            <w:r>
              <w:t xml:space="preserve">skani + band-holdout linear calibration, held-out (39,903)</w:t>
            </w:r>
          </w:p>
        </w:tc>
        <w:tc>
          <w:tcPr/>
          <w:p>
            <w:pPr>
              <w:pStyle w:val="Compact"/>
            </w:pPr>
            <w:r>
              <w:t xml:space="preserve">0.83</w:t>
            </w:r>
          </w:p>
        </w:tc>
        <w:tc>
          <w:tcPr/>
          <w:p>
            <w:pPr>
              <w:pStyle w:val="Compact"/>
            </w:pPr>
            <w:r>
              <w:t xml:space="preserve">0.65</w:t>
            </w:r>
          </w:p>
        </w:tc>
        <w:tc>
          <w:tcPr/>
          <w:p>
            <w:pPr>
              <w:pStyle w:val="Compact"/>
            </w:pPr>
            <w:r>
              <w:t xml:space="preserve">0.82</w:t>
            </w:r>
          </w:p>
        </w:tc>
        <w:tc>
          <w:tcPr/>
          <w:p>
            <w:pPr>
              <w:pStyle w:val="Compact"/>
            </w:pPr>
            <w:r>
              <w:t xml:space="preserve">0.56</w:t>
            </w:r>
          </w:p>
        </w:tc>
        <w:tc>
          <w:tcPr/>
          <w:p>
            <w:pPr>
              <w:pStyle w:val="Compact"/>
            </w:pPr>
            <w:r>
              <w:t xml:space="preserve">0.753</w:t>
            </w:r>
          </w:p>
        </w:tc>
        <w:tc>
          <w:tcPr/>
          <w:p>
            <w:pPr>
              <w:pStyle w:val="Compact"/>
            </w:pPr>
            <w:r>
              <w:t xml:space="preserve">—</w:t>
            </w:r>
          </w:p>
        </w:tc>
        <w:tc>
          <w:tcPr/>
          <w:p>
            <w:pPr>
              <w:pStyle w:val="Compact"/>
            </w:pPr>
            <w:r>
              <w:t xml:space="preserve">0.955</w:t>
            </w:r>
          </w:p>
        </w:tc>
      </w:tr>
      <w:tr>
        <w:tc>
          <w:tcPr/>
          <w:p>
            <w:pPr>
              <w:pStyle w:val="Compact"/>
            </w:pPr>
            <w:r>
              <w:t xml:space="preserve">FastANI + band-holdout linear calibration, held-out (39,903)</w:t>
            </w:r>
          </w:p>
        </w:tc>
        <w:tc>
          <w:tcPr/>
          <w:p>
            <w:pPr>
              <w:pStyle w:val="Compact"/>
            </w:pPr>
            <w:r>
              <w:t xml:space="preserve">0.46</w:t>
            </w:r>
          </w:p>
        </w:tc>
        <w:tc>
          <w:tcPr/>
          <w:p>
            <w:pPr>
              <w:pStyle w:val="Compact"/>
            </w:pPr>
            <w:r>
              <w:t xml:space="preserve">0.53</w:t>
            </w:r>
          </w:p>
        </w:tc>
        <w:tc>
          <w:tcPr/>
          <w:p>
            <w:pPr>
              <w:pStyle w:val="Compact"/>
            </w:pPr>
            <w:r>
              <w:t xml:space="preserve">0.62</w:t>
            </w:r>
          </w:p>
        </w:tc>
        <w:tc>
          <w:tcPr/>
          <w:p>
            <w:pPr>
              <w:pStyle w:val="Compact"/>
            </w:pPr>
            <w:r>
              <w:t xml:space="preserve">0.55</w:t>
            </w:r>
          </w:p>
        </w:tc>
        <w:tc>
          <w:tcPr/>
          <w:p>
            <w:pPr>
              <w:pStyle w:val="Compact"/>
            </w:pPr>
            <w:r>
              <w:t xml:space="preserve">0.548</w:t>
            </w:r>
          </w:p>
        </w:tc>
        <w:tc>
          <w:tcPr/>
          <w:p>
            <w:pPr>
              <w:pStyle w:val="Compact"/>
            </w:pPr>
            <w:r>
              <w:t xml:space="preserve">—</w:t>
            </w:r>
          </w:p>
        </w:tc>
        <w:tc>
          <w:tcPr/>
          <w:p>
            <w:pPr>
              <w:pStyle w:val="Compact"/>
            </w:pPr>
            <w:r>
              <w:t xml:space="preserve">0.974</w:t>
            </w:r>
          </w:p>
        </w:tc>
      </w:tr>
      <w:tr>
        <w:tc>
          <w:tcPr/>
          <w:p>
            <w:pPr>
              <w:pStyle w:val="Compact"/>
            </w:pPr>
            <w:r>
              <w:t xml:space="preserve">FastANI + linear calibration (ani, mapped, total), held-out (39,903)</w:t>
            </w:r>
          </w:p>
        </w:tc>
        <w:tc>
          <w:tcPr/>
          <w:p>
            <w:pPr>
              <w:pStyle w:val="Compact"/>
            </w:pPr>
            <w:r>
              <w:t xml:space="preserve">0.44</w:t>
            </w:r>
          </w:p>
        </w:tc>
        <w:tc>
          <w:tcPr/>
          <w:p>
            <w:pPr>
              <w:pStyle w:val="Compact"/>
            </w:pPr>
            <w:r>
              <w:t xml:space="preserve">0.47</w:t>
            </w:r>
          </w:p>
        </w:tc>
        <w:tc>
          <w:tcPr/>
          <w:p>
            <w:pPr>
              <w:pStyle w:val="Compact"/>
            </w:pPr>
            <w:r>
              <w:t xml:space="preserve">0.53</w:t>
            </w:r>
          </w:p>
        </w:tc>
        <w:tc>
          <w:tcPr/>
          <w:p>
            <w:pPr>
              <w:pStyle w:val="Compact"/>
            </w:pPr>
            <w:r>
              <w:t xml:space="preserve">0.53</w:t>
            </w:r>
          </w:p>
        </w:tc>
        <w:tc>
          <w:tcPr/>
          <w:p>
            <w:pPr>
              <w:pStyle w:val="Compact"/>
            </w:pPr>
            <w:r>
              <w:t xml:space="preserve">0.487</w:t>
            </w:r>
          </w:p>
        </w:tc>
        <w:tc>
          <w:tcPr/>
          <w:p>
            <w:pPr>
              <w:pStyle w:val="Compact"/>
            </w:pPr>
            <w:r>
              <w:t xml:space="preserve">—</w:t>
            </w:r>
          </w:p>
        </w:tc>
        <w:tc>
          <w:tcPr/>
          <w:p>
            <w:pPr>
              <w:pStyle w:val="Compact"/>
            </w:pPr>
            <w:r>
              <w:t xml:space="preserve">0.979</w:t>
            </w:r>
          </w:p>
        </w:tc>
      </w:tr>
    </w:tbl>
    <w:p>
      <w:pPr>
        <w:pStyle w:val="BodyText"/>
      </w:pPr>
      <w:r>
        <w:rPr>
          <w:b/>
          <w:bCs/>
        </w:rPr>
        <w:t xml:space="preserve">Table 2 | Computational efficiency summary.</w:t>
      </w:r>
      <w:r>
        <w:t xml:space="preserve"> </w:t>
      </w:r>
      <w:r>
        <w:t xml:space="preserve">Timings are median wall-clock seconds per query or per run; memory is peak RSS. Small-subset numbers (22 genomes, 484 pairs) are from a Mac Studio (M4 Max, 16 cores). Database-scale one-to-all numbers are from a 16-core/64 GB HPC node against all 65,703 GTDB R207 representative genomes.</w:t>
      </w:r>
      <w:r>
        <w:t xml:space="preserve"> </w:t>
      </w:r>
      <w:r>
        <w:t xml:space="preserve">“SV follow-up”</w:t>
      </w:r>
      <w:r>
        <w:t xml:space="preserve"> </w:t>
      </w:r>
      <w:r>
        <w:t xml:space="preserve">compares</w:t>
      </w:r>
      <w:r>
        <w:t xml:space="preserve"> </w:t>
      </w:r>
      <w:r>
        <w:rPr>
          <w:rStyle w:val="VerbatimChar"/>
        </w:rPr>
        <w:t xml:space="preserve">syn2bani struct</w:t>
      </w:r>
      <w:r>
        <w:t xml:space="preserve"> </w:t>
      </w:r>
      <w:r>
        <w:t xml:space="preserve">with dnadiff on the same top non-self hit. skani</w:t>
      </w:r>
      <w:r>
        <w:t xml:space="preserve"> </w:t>
      </w:r>
      <w:r>
        <w:rPr>
          <w:rStyle w:val="VerbatimChar"/>
        </w:rPr>
        <w:t xml:space="preserve">search</w:t>
      </w:r>
      <w:r>
        <w:t xml:space="preserve"> </w:t>
      </w:r>
      <w:r>
        <w:t xml:space="preserve">cold-start includes a one-off 1,309-s sketch-index load; subsequent warm queries are 7–45 s.</w:t>
      </w:r>
    </w:p>
    <w:tbl>
      <w:tblPr>
        <w:tblStyle w:val="Table"/>
        <w:tblW w:type="pct" w:w="5000"/>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pPr>
            <w:r>
              <w:t xml:space="preserve">Task</w:t>
            </w:r>
          </w:p>
        </w:tc>
        <w:tc>
          <w:tcPr/>
          <w:p>
            <w:pPr>
              <w:pStyle w:val="Compact"/>
            </w:pPr>
            <w:r>
              <w:t xml:space="preserve">Tool / mode</w:t>
            </w:r>
          </w:p>
        </w:tc>
        <w:tc>
          <w:tcPr/>
          <w:p>
            <w:pPr>
              <w:pStyle w:val="Compact"/>
              <w:jc w:val="right"/>
            </w:pPr>
            <w:r>
              <w:t xml:space="preserve">n queries / pairs</w:t>
            </w:r>
          </w:p>
        </w:tc>
        <w:tc>
          <w:tcPr/>
          <w:p>
            <w:pPr>
              <w:pStyle w:val="Compact"/>
              <w:jc w:val="right"/>
            </w:pPr>
            <w:r>
              <w:t xml:space="preserve">Wall time (s)</w:t>
            </w:r>
          </w:p>
        </w:tc>
        <w:tc>
          <w:tcPr/>
          <w:p>
            <w:pPr>
              <w:pStyle w:val="Compact"/>
              <w:jc w:val="right"/>
            </w:pPr>
            <w:r>
              <w:t xml:space="preserve">Peak memory (GB)</w:t>
            </w:r>
          </w:p>
        </w:tc>
        <w:tc>
          <w:tcPr/>
          <w:p>
            <w:pPr>
              <w:pStyle w:val="Compact"/>
            </w:pPr>
            <w:r>
              <w:t xml:space="preserve">Notes</w:t>
            </w:r>
          </w:p>
        </w:tc>
      </w:tr>
      <w:tr>
        <w:tc>
          <w:tcPr/>
          <w:p>
            <w:pPr>
              <w:pStyle w:val="Compact"/>
            </w:pPr>
            <w:r>
              <w:t xml:space="preserve">All-vs-all ANI (22 genomes)</w:t>
            </w:r>
          </w:p>
        </w:tc>
        <w:tc>
          <w:tcPr/>
          <w:p>
            <w:pPr>
              <w:pStyle w:val="Compact"/>
            </w:pPr>
            <w:r>
              <w:t xml:space="preserve">Syn2bANI dist (FASTA)</w:t>
            </w:r>
          </w:p>
        </w:tc>
        <w:tc>
          <w:tcPr/>
          <w:p>
            <w:pPr>
              <w:pStyle w:val="Compact"/>
              <w:jc w:val="right"/>
            </w:pPr>
            <w:r>
              <w:t xml:space="preserve">484</w:t>
            </w:r>
          </w:p>
        </w:tc>
        <w:tc>
          <w:tcPr/>
          <w:p>
            <w:pPr>
              <w:pStyle w:val="Compact"/>
              <w:jc w:val="right"/>
            </w:pPr>
            <w:r>
              <w:t xml:space="preserve">3.7</w:t>
            </w:r>
          </w:p>
        </w:tc>
        <w:tc>
          <w:tcPr/>
          <w:p>
            <w:pPr>
              <w:pStyle w:val="Compact"/>
              <w:jc w:val="right"/>
            </w:pPr>
            <w:r>
              <w:t xml:space="preserve">0.058</w:t>
            </w:r>
          </w:p>
        </w:tc>
        <w:tc>
          <w:tcPr/>
          <w:p>
            <w:pPr>
              <w:pStyle w:val="Compact"/>
            </w:pPr>
            <w:r>
              <w:t xml:space="preserve">ANI + SV in one pass</w:t>
            </w:r>
          </w:p>
        </w:tc>
      </w:tr>
      <w:tr>
        <w:tc>
          <w:tcPr/>
          <w:p>
            <w:pPr>
              <w:pStyle w:val="Compact"/>
            </w:pPr>
            <w:r>
              <w:t xml:space="preserve">All-vs-all ANI (22 genomes)</w:t>
            </w:r>
          </w:p>
        </w:tc>
        <w:tc>
          <w:tcPr/>
          <w:p>
            <w:pPr>
              <w:pStyle w:val="Compact"/>
            </w:pPr>
            <w:r>
              <w:t xml:space="preserve">Syn2bANI dist (sketch reuse)</w:t>
            </w:r>
          </w:p>
        </w:tc>
        <w:tc>
          <w:tcPr/>
          <w:p>
            <w:pPr>
              <w:pStyle w:val="Compact"/>
              <w:jc w:val="right"/>
            </w:pPr>
            <w:r>
              <w:t xml:space="preserve">484</w:t>
            </w:r>
          </w:p>
        </w:tc>
        <w:tc>
          <w:tcPr/>
          <w:p>
            <w:pPr>
              <w:pStyle w:val="Compact"/>
              <w:jc w:val="right"/>
            </w:pPr>
            <w:r>
              <w:t xml:space="preserve">2.8</w:t>
            </w:r>
          </w:p>
        </w:tc>
        <w:tc>
          <w:tcPr/>
          <w:p>
            <w:pPr>
              <w:pStyle w:val="Compact"/>
              <w:jc w:val="right"/>
            </w:pPr>
            <w:r>
              <w:t xml:space="preserve">0.012</w:t>
            </w:r>
          </w:p>
        </w:tc>
        <w:tc>
          <w:tcPr/>
          <w:p>
            <w:pPr>
              <w:pStyle w:val="Compact"/>
            </w:pPr>
            <w:r>
              <w:t xml:space="preserve">ANI + SV in one pass</w:t>
            </w:r>
          </w:p>
        </w:tc>
      </w:tr>
      <w:tr>
        <w:tc>
          <w:tcPr/>
          <w:p>
            <w:pPr>
              <w:pStyle w:val="Compact"/>
            </w:pPr>
            <w:r>
              <w:t xml:space="preserve">All-vs-all ANI (22 genomes)</w:t>
            </w:r>
          </w:p>
        </w:tc>
        <w:tc>
          <w:tcPr/>
          <w:p>
            <w:pPr>
              <w:pStyle w:val="Compact"/>
            </w:pPr>
            <w:r>
              <w:t xml:space="preserve">skani dist</w:t>
            </w:r>
          </w:p>
        </w:tc>
        <w:tc>
          <w:tcPr/>
          <w:p>
            <w:pPr>
              <w:pStyle w:val="Compact"/>
              <w:jc w:val="right"/>
            </w:pPr>
            <w:r>
              <w:t xml:space="preserve">302/484 reported</w:t>
            </w:r>
          </w:p>
        </w:tc>
        <w:tc>
          <w:tcPr/>
          <w:p>
            <w:pPr>
              <w:pStyle w:val="Compact"/>
              <w:jc w:val="right"/>
            </w:pPr>
            <w:r>
              <w:t xml:space="preserve">0.15</w:t>
            </w:r>
          </w:p>
        </w:tc>
        <w:tc>
          <w:tcPr/>
          <w:p>
            <w:pPr>
              <w:pStyle w:val="Compact"/>
              <w:jc w:val="right"/>
            </w:pPr>
            <w:r>
              <w:t xml:space="preserve">0.185</w:t>
            </w:r>
          </w:p>
        </w:tc>
        <w:tc>
          <w:tcPr/>
          <w:p>
            <w:pPr>
              <w:pStyle w:val="Compact"/>
            </w:pPr>
            <w:r>
              <w:t xml:space="preserve">excludes sketching; AF filter drops 182 pairs</w:t>
            </w:r>
          </w:p>
        </w:tc>
      </w:tr>
      <w:tr>
        <w:tc>
          <w:tcPr/>
          <w:p>
            <w:pPr>
              <w:pStyle w:val="Compact"/>
            </w:pPr>
            <w:r>
              <w:t xml:space="preserve">All-vs-all ANI (22 genomes)</w:t>
            </w:r>
          </w:p>
        </w:tc>
        <w:tc>
          <w:tcPr/>
          <w:p>
            <w:pPr>
              <w:pStyle w:val="Compact"/>
            </w:pPr>
            <w:r>
              <w:t xml:space="preserve">FastANI</w:t>
            </w:r>
          </w:p>
        </w:tc>
        <w:tc>
          <w:tcPr/>
          <w:p>
            <w:pPr>
              <w:pStyle w:val="Compact"/>
              <w:jc w:val="right"/>
            </w:pPr>
            <w:r>
              <w:t xml:space="preserve">484</w:t>
            </w:r>
          </w:p>
        </w:tc>
        <w:tc>
          <w:tcPr/>
          <w:p>
            <w:pPr>
              <w:pStyle w:val="Compact"/>
              <w:jc w:val="right"/>
            </w:pPr>
            <w:r>
              <w:t xml:space="preserve">17.7</w:t>
            </w:r>
          </w:p>
        </w:tc>
        <w:tc>
          <w:tcPr/>
          <w:p>
            <w:pPr>
              <w:pStyle w:val="Compact"/>
              <w:jc w:val="right"/>
            </w:pPr>
            <w:r>
              <w:t xml:space="preserve">0.912</w:t>
            </w:r>
          </w:p>
        </w:tc>
        <w:tc>
          <w:tcPr/>
          <w:p>
            <w:pPr>
              <w:pStyle w:val="Compact"/>
            </w:pPr>
          </w:p>
        </w:tc>
      </w:tr>
      <w:tr>
        <w:tc>
          <w:tcPr/>
          <w:p>
            <w:pPr>
              <w:pStyle w:val="Compact"/>
            </w:pPr>
            <w:r>
              <w:t xml:space="preserve">SV-inclusive workflow (22 genomes)</w:t>
            </w:r>
          </w:p>
        </w:tc>
        <w:tc>
          <w:tcPr/>
          <w:p>
            <w:pPr>
              <w:pStyle w:val="Compact"/>
            </w:pPr>
            <w:r>
              <w:t xml:space="preserve">skani + dnadiff</w:t>
            </w:r>
          </w:p>
        </w:tc>
        <w:tc>
          <w:tcPr/>
          <w:p>
            <w:pPr>
              <w:pStyle w:val="Compact"/>
              <w:jc w:val="right"/>
            </w:pPr>
            <w:r>
              <w:t xml:space="preserve">484</w:t>
            </w:r>
          </w:p>
        </w:tc>
        <w:tc>
          <w:tcPr/>
          <w:p>
            <w:pPr>
              <w:pStyle w:val="Compact"/>
              <w:jc w:val="right"/>
            </w:pPr>
            <w:r>
              <w:t xml:space="preserve">~1,843</w:t>
            </w:r>
          </w:p>
        </w:tc>
        <w:tc>
          <w:tcPr/>
          <w:p>
            <w:pPr>
              <w:pStyle w:val="Compact"/>
              <w:jc w:val="right"/>
            </w:pPr>
            <w:r>
              <w:t xml:space="preserve">—</w:t>
            </w:r>
          </w:p>
        </w:tc>
        <w:tc>
          <w:tcPr/>
          <w:p>
            <w:pPr>
              <w:pStyle w:val="Compact"/>
            </w:pPr>
            <w:r>
              <w:t xml:space="preserve">ANI then SV caller</w:t>
            </w:r>
          </w:p>
        </w:tc>
      </w:tr>
      <w:tr>
        <w:tc>
          <w:tcPr/>
          <w:p>
            <w:pPr>
              <w:pStyle w:val="Compact"/>
            </w:pPr>
            <w:r>
              <w:t xml:space="preserve">SV-inclusive workflow (22 genomes)</w:t>
            </w:r>
          </w:p>
        </w:tc>
        <w:tc>
          <w:tcPr/>
          <w:p>
            <w:pPr>
              <w:pStyle w:val="Compact"/>
            </w:pPr>
            <w:r>
              <w:t xml:space="preserve">Syn2bANI (sketch reuse)</w:t>
            </w:r>
          </w:p>
        </w:tc>
        <w:tc>
          <w:tcPr/>
          <w:p>
            <w:pPr>
              <w:pStyle w:val="Compact"/>
              <w:jc w:val="right"/>
            </w:pPr>
            <w:r>
              <w:t xml:space="preserve">484</w:t>
            </w:r>
          </w:p>
        </w:tc>
        <w:tc>
          <w:tcPr/>
          <w:p>
            <w:pPr>
              <w:pStyle w:val="Compact"/>
              <w:jc w:val="right"/>
            </w:pPr>
            <w:r>
              <w:t xml:space="preserve">7.6</w:t>
            </w:r>
          </w:p>
        </w:tc>
        <w:tc>
          <w:tcPr/>
          <w:p>
            <w:pPr>
              <w:pStyle w:val="Compact"/>
              <w:jc w:val="right"/>
            </w:pPr>
            <w:r>
              <w:t xml:space="preserve">0.058</w:t>
            </w:r>
          </w:p>
        </w:tc>
        <w:tc>
          <w:tcPr/>
          <w:p>
            <w:pPr>
              <w:pStyle w:val="Compact"/>
            </w:pPr>
            <w:r>
              <w:t xml:space="preserve">ANI + SV, &gt;240× faster than skani + dnadiff</w:t>
            </w:r>
          </w:p>
        </w:tc>
      </w:tr>
      <w:tr>
        <w:tc>
          <w:tcPr/>
          <w:p>
            <w:pPr>
              <w:pStyle w:val="Compact"/>
            </w:pPr>
            <w:r>
              <w:t xml:space="preserve">Database one-to-all ANI</w:t>
            </w:r>
          </w:p>
        </w:tc>
        <w:tc>
          <w:tcPr/>
          <w:p>
            <w:pPr>
              <w:pStyle w:val="Compact"/>
            </w:pPr>
            <w:r>
              <w:t xml:space="preserve">skani search (warm)</w:t>
            </w:r>
          </w:p>
        </w:tc>
        <w:tc>
          <w:tcPr/>
          <w:p>
            <w:pPr>
              <w:pStyle w:val="Compact"/>
              <w:jc w:val="right"/>
            </w:pPr>
            <w:r>
              <w:t xml:space="preserve">7</w:t>
            </w:r>
          </w:p>
        </w:tc>
        <w:tc>
          <w:tcPr/>
          <w:p>
            <w:pPr>
              <w:pStyle w:val="Compact"/>
              <w:jc w:val="right"/>
            </w:pPr>
            <w:r>
              <w:t xml:space="preserve">7–45</w:t>
            </w:r>
          </w:p>
        </w:tc>
        <w:tc>
          <w:tcPr/>
          <w:p>
            <w:pPr>
              <w:pStyle w:val="Compact"/>
              <w:jc w:val="right"/>
            </w:pPr>
            <w:r>
              <w:t xml:space="preserve">4.5</w:t>
            </w:r>
          </w:p>
        </w:tc>
        <w:tc>
          <w:tcPr/>
          <w:p>
            <w:pPr>
              <w:pStyle w:val="Compact"/>
            </w:pPr>
            <w:r>
              <w:t xml:space="preserve">persistent sketch index</w:t>
            </w:r>
          </w:p>
        </w:tc>
      </w:tr>
      <w:tr>
        <w:tc>
          <w:tcPr/>
          <w:p>
            <w:pPr>
              <w:pStyle w:val="Compact"/>
            </w:pPr>
            <w:r>
              <w:t xml:space="preserve">Database one-to-all ANI</w:t>
            </w:r>
          </w:p>
        </w:tc>
        <w:tc>
          <w:tcPr/>
          <w:p>
            <w:pPr>
              <w:pStyle w:val="Compact"/>
            </w:pPr>
            <w:r>
              <w:t xml:space="preserve">skani search (cold)</w:t>
            </w:r>
          </w:p>
        </w:tc>
        <w:tc>
          <w:tcPr/>
          <w:p>
            <w:pPr>
              <w:pStyle w:val="Compact"/>
              <w:jc w:val="right"/>
            </w:pPr>
            <w:r>
              <w:t xml:space="preserve">7</w:t>
            </w:r>
          </w:p>
        </w:tc>
        <w:tc>
          <w:tcPr/>
          <w:p>
            <w:pPr>
              <w:pStyle w:val="Compact"/>
              <w:jc w:val="right"/>
            </w:pPr>
            <w:r>
              <w:t xml:space="preserve">1,309</w:t>
            </w:r>
          </w:p>
        </w:tc>
        <w:tc>
          <w:tcPr/>
          <w:p>
            <w:pPr>
              <w:pStyle w:val="Compact"/>
              <w:jc w:val="right"/>
            </w:pPr>
            <w:r>
              <w:t xml:space="preserve">4.5</w:t>
            </w:r>
          </w:p>
        </w:tc>
        <w:tc>
          <w:tcPr/>
          <w:p>
            <w:pPr>
              <w:pStyle w:val="Compact"/>
            </w:pPr>
            <w:r>
              <w:t xml:space="preserve">index-load dominated</w:t>
            </w:r>
          </w:p>
        </w:tc>
      </w:tr>
      <w:tr>
        <w:tc>
          <w:tcPr/>
          <w:p>
            <w:pPr>
              <w:pStyle w:val="Compact"/>
            </w:pPr>
            <w:r>
              <w:t xml:space="preserve">Database one-to-all ANI</w:t>
            </w:r>
          </w:p>
        </w:tc>
        <w:tc>
          <w:tcPr/>
          <w:p>
            <w:pPr>
              <w:pStyle w:val="Compact"/>
            </w:pPr>
            <w:r>
              <w:t xml:space="preserve">Syn2bANI search</w:t>
            </w:r>
          </w:p>
        </w:tc>
        <w:tc>
          <w:tcPr/>
          <w:p>
            <w:pPr>
              <w:pStyle w:val="Compact"/>
              <w:jc w:val="right"/>
            </w:pPr>
            <w:r>
              <w:t xml:space="preserve">7</w:t>
            </w:r>
          </w:p>
        </w:tc>
        <w:tc>
          <w:tcPr/>
          <w:p>
            <w:pPr>
              <w:pStyle w:val="Compact"/>
              <w:jc w:val="right"/>
            </w:pPr>
            <w:r>
              <w:t xml:space="preserve">5,536</w:t>
            </w:r>
          </w:p>
        </w:tc>
        <w:tc>
          <w:tcPr/>
          <w:p>
            <w:pPr>
              <w:pStyle w:val="Compact"/>
              <w:jc w:val="right"/>
            </w:pPr>
            <w:r>
              <w:t xml:space="preserve">44.0</w:t>
            </w:r>
          </w:p>
        </w:tc>
        <w:tc>
          <w:tcPr/>
          <w:p>
            <w:pPr>
              <w:pStyle w:val="Compact"/>
            </w:pPr>
            <w:r>
              <w:t xml:space="preserve">ANI + structural columns</w:t>
            </w:r>
          </w:p>
        </w:tc>
      </w:tr>
      <w:tr>
        <w:tc>
          <w:tcPr/>
          <w:p>
            <w:pPr>
              <w:pStyle w:val="Compact"/>
            </w:pPr>
            <w:r>
              <w:t xml:space="preserve">Database one-to-all ANI</w:t>
            </w:r>
          </w:p>
        </w:tc>
        <w:tc>
          <w:tcPr/>
          <w:p>
            <w:pPr>
              <w:pStyle w:val="Compact"/>
            </w:pPr>
            <w:r>
              <w:t xml:space="preserve">Syn2bANI dist (FASTA)</w:t>
            </w:r>
          </w:p>
        </w:tc>
        <w:tc>
          <w:tcPr/>
          <w:p>
            <w:pPr>
              <w:pStyle w:val="Compact"/>
              <w:jc w:val="right"/>
            </w:pPr>
            <w:r>
              <w:t xml:space="preserve">7</w:t>
            </w:r>
          </w:p>
        </w:tc>
        <w:tc>
          <w:tcPr/>
          <w:p>
            <w:pPr>
              <w:pStyle w:val="Compact"/>
              <w:jc w:val="right"/>
            </w:pPr>
            <w:r>
              <w:t xml:space="preserve">13,643</w:t>
            </w:r>
          </w:p>
        </w:tc>
        <w:tc>
          <w:tcPr/>
          <w:p>
            <w:pPr>
              <w:pStyle w:val="Compact"/>
              <w:jc w:val="right"/>
            </w:pPr>
            <w:r>
              <w:t xml:space="preserve">51.6</w:t>
            </w:r>
          </w:p>
        </w:tc>
        <w:tc>
          <w:tcPr/>
          <w:p>
            <w:pPr>
              <w:pStyle w:val="Compact"/>
            </w:pPr>
            <w:r>
              <w:t xml:space="preserve">digestion-bound</w:t>
            </w:r>
          </w:p>
        </w:tc>
      </w:tr>
      <w:tr>
        <w:tc>
          <w:tcPr/>
          <w:p>
            <w:pPr>
              <w:pStyle w:val="Compact"/>
            </w:pPr>
            <w:r>
              <w:t xml:space="preserve">Database one-to-all ANI</w:t>
            </w:r>
          </w:p>
        </w:tc>
        <w:tc>
          <w:tcPr/>
          <w:p>
            <w:pPr>
              <w:pStyle w:val="Compact"/>
            </w:pPr>
            <w:r>
              <w:t xml:space="preserve">FastANI</w:t>
            </w:r>
          </w:p>
        </w:tc>
        <w:tc>
          <w:tcPr/>
          <w:p>
            <w:pPr>
              <w:pStyle w:val="Compact"/>
              <w:jc w:val="right"/>
            </w:pPr>
            <w:r>
              <w:t xml:space="preserve">7</w:t>
            </w:r>
          </w:p>
        </w:tc>
        <w:tc>
          <w:tcPr/>
          <w:p>
            <w:pPr>
              <w:pStyle w:val="Compact"/>
              <w:jc w:val="right"/>
            </w:pPr>
            <w:r>
              <w:t xml:space="preserve">did not finish</w:t>
            </w:r>
          </w:p>
        </w:tc>
        <w:tc>
          <w:tcPr/>
          <w:p>
            <w:pPr>
              <w:pStyle w:val="Compact"/>
              <w:jc w:val="right"/>
            </w:pPr>
            <w:r>
              <w:t xml:space="preserve">&gt;65–511</w:t>
            </w:r>
          </w:p>
        </w:tc>
        <w:tc>
          <w:tcPr/>
          <w:p>
            <w:pPr>
              <w:pStyle w:val="Compact"/>
            </w:pPr>
            <w:r>
              <w:t xml:space="preserve">OOM at t=1–32</w:t>
            </w:r>
          </w:p>
        </w:tc>
      </w:tr>
      <w:tr>
        <w:tc>
          <w:tcPr/>
          <w:p>
            <w:pPr>
              <w:pStyle w:val="Compact"/>
            </w:pPr>
            <w:r>
              <w:t xml:space="preserve">SV follow-up on top hit</w:t>
            </w:r>
          </w:p>
        </w:tc>
        <w:tc>
          <w:tcPr/>
          <w:p>
            <w:pPr>
              <w:pStyle w:val="Compact"/>
            </w:pPr>
            <w:r>
              <w:t xml:space="preserve">dnadiff</w:t>
            </w:r>
          </w:p>
        </w:tc>
        <w:tc>
          <w:tcPr/>
          <w:p>
            <w:pPr>
              <w:pStyle w:val="Compact"/>
              <w:jc w:val="right"/>
            </w:pPr>
            <w:r>
              <w:t xml:space="preserve">7</w:t>
            </w:r>
          </w:p>
        </w:tc>
        <w:tc>
          <w:tcPr/>
          <w:p>
            <w:pPr>
              <w:pStyle w:val="Compact"/>
              <w:jc w:val="right"/>
            </w:pPr>
            <w:r>
              <w:t xml:space="preserve">17.8</w:t>
            </w:r>
          </w:p>
        </w:tc>
        <w:tc>
          <w:tcPr/>
          <w:p>
            <w:pPr>
              <w:pStyle w:val="Compact"/>
              <w:jc w:val="right"/>
            </w:pPr>
            <w:r>
              <w:t xml:space="preserve">0.33</w:t>
            </w:r>
          </w:p>
        </w:tc>
        <w:tc>
          <w:tcPr/>
          <w:p>
            <w:pPr>
              <w:pStyle w:val="Compact"/>
            </w:pPr>
          </w:p>
        </w:tc>
      </w:tr>
      <w:tr>
        <w:tc>
          <w:tcPr/>
          <w:p>
            <w:pPr>
              <w:pStyle w:val="Compact"/>
            </w:pPr>
            <w:r>
              <w:t xml:space="preserve">SV follow-up on top hit</w:t>
            </w:r>
          </w:p>
        </w:tc>
        <w:tc>
          <w:tcPr/>
          <w:p>
            <w:pPr>
              <w:pStyle w:val="Compact"/>
            </w:pPr>
            <w:r>
              <w:t xml:space="preserve">syn2bani struct</w:t>
            </w:r>
          </w:p>
        </w:tc>
        <w:tc>
          <w:tcPr/>
          <w:p>
            <w:pPr>
              <w:pStyle w:val="Compact"/>
              <w:jc w:val="right"/>
            </w:pPr>
            <w:r>
              <w:t xml:space="preserve">7</w:t>
            </w:r>
          </w:p>
        </w:tc>
        <w:tc>
          <w:tcPr/>
          <w:p>
            <w:pPr>
              <w:pStyle w:val="Compact"/>
              <w:jc w:val="right"/>
            </w:pPr>
            <w:r>
              <w:t xml:space="preserve">0.29</w:t>
            </w:r>
          </w:p>
        </w:tc>
        <w:tc>
          <w:tcPr/>
          <w:p>
            <w:pPr>
              <w:pStyle w:val="Compact"/>
              <w:jc w:val="right"/>
            </w:pPr>
            <w:r>
              <w:t xml:space="preserve">0.000038</w:t>
            </w:r>
          </w:p>
        </w:tc>
        <w:tc>
          <w:tcPr/>
          <w:p>
            <w:pPr>
              <w:pStyle w:val="Compact"/>
            </w:pPr>
            <w:r>
              <w:t xml:space="preserve">~60–90× faster than dnadiff</w:t>
            </w:r>
          </w:p>
        </w:tc>
      </w:tr>
    </w:tbl>
    <w:p>
      <w:pPr>
        <w:pStyle w:val="BodyText"/>
      </w:pPr>
      <w:r>
        <w:rPr>
          <w:b/>
          <w:bCs/>
        </w:rPr>
        <w:t xml:space="preserve">Table 3 | Datasets used in this study.</w:t>
      </w:r>
      <w:r>
        <w:t xml:space="preserve"> </w:t>
      </w:r>
      <w:r>
        <w:t xml:space="preserve">Simulated datasets carry exact truth by construction (counted substitutions; Online Methods); real datasets use dnadiff (ANIm or structural) truth unless noted. Figure numbers refer to the main text.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Dataset</w:t>
            </w:r>
          </w:p>
        </w:tc>
        <w:tc>
          <w:tcPr/>
          <w:p>
            <w:pPr>
              <w:pStyle w:val="Compact"/>
            </w:pPr>
            <w:r>
              <w:t xml:space="preserve">Type</w:t>
            </w:r>
          </w:p>
        </w:tc>
        <w:tc>
          <w:tcPr/>
          <w:p>
            <w:pPr>
              <w:pStyle w:val="Compact"/>
            </w:pPr>
            <w:r>
              <w:t xml:space="preserve">Composition</w:t>
            </w:r>
          </w:p>
        </w:tc>
        <w:tc>
          <w:tcPr/>
          <w:p>
            <w:pPr>
              <w:pStyle w:val="Compact"/>
            </w:pPr>
            <w:r>
              <w:t xml:space="preserve">Ground truth</w:t>
            </w:r>
          </w:p>
        </w:tc>
        <w:tc>
          <w:tcPr/>
          <w:p>
            <w:pPr>
              <w:pStyle w:val="Compact"/>
            </w:pPr>
            <w:r>
              <w:t xml:space="preserve">Used in</w:t>
            </w:r>
          </w:p>
        </w:tc>
      </w:tr>
      <w:tr>
        <w:tc>
          <w:tcPr/>
          <w:p>
            <w:pPr>
              <w:pStyle w:val="Compact"/>
            </w:pPr>
            <w:r>
              <w:t xml:space="preserve">1</w:t>
            </w:r>
          </w:p>
        </w:tc>
        <w:tc>
          <w:tcPr/>
          <w:p>
            <w:pPr>
              <w:pStyle w:val="Compact"/>
            </w:pPr>
            <w:r>
              <w:t xml:space="preserve">ANI ladder</w:t>
            </w:r>
          </w:p>
        </w:tc>
        <w:tc>
          <w:tcPr/>
          <w:p>
            <w:pPr>
              <w:pStyle w:val="Compact"/>
            </w:pPr>
            <w:r>
              <w:t xml:space="preserve">simulated</w:t>
            </w:r>
          </w:p>
        </w:tc>
        <w:tc>
          <w:tcPr/>
          <w:p>
            <w:pPr>
              <w:pStyle w:val="Compact"/>
            </w:pPr>
            <w:r>
              <w:t xml:space="preserve">12 levels, 85–99.9% ANI; 400 kb inversion; ± ~46 deletions</w:t>
            </w:r>
          </w:p>
        </w:tc>
        <w:tc>
          <w:tcPr/>
          <w:p>
            <w:pPr>
              <w:pStyle w:val="Compact"/>
            </w:pPr>
            <w:r>
              <w:t xml:space="preserve">exact</w:t>
            </w:r>
          </w:p>
        </w:tc>
        <w:tc>
          <w:tcPr/>
          <w:p>
            <w:pPr>
              <w:pStyle w:val="Compact"/>
            </w:pPr>
            <w:r>
              <w:t xml:space="preserve">Fig. 2a,b</w:t>
            </w:r>
          </w:p>
        </w:tc>
      </w:tr>
      <w:tr>
        <w:tc>
          <w:tcPr/>
          <w:p>
            <w:pPr>
              <w:pStyle w:val="Compact"/>
            </w:pPr>
            <w:r>
              <w:t xml:space="preserve">2</w:t>
            </w:r>
          </w:p>
        </w:tc>
        <w:tc>
          <w:tcPr/>
          <w:p>
            <w:pPr>
              <w:pStyle w:val="Compact"/>
            </w:pPr>
            <w:r>
              <w:t xml:space="preserve">Indel sweep</w:t>
            </w:r>
          </w:p>
        </w:tc>
        <w:tc>
          <w:tcPr/>
          <w:p>
            <w:pPr>
              <w:pStyle w:val="Compact"/>
            </w:pPr>
            <w:r>
              <w:t xml:space="preserve">simulated</w:t>
            </w:r>
          </w:p>
        </w:tc>
        <w:tc>
          <w:tcPr/>
          <w:p>
            <w:pPr>
              <w:pStyle w:val="Compact"/>
            </w:pPr>
            <w:r>
              <w:t xml:space="preserve">ANI 95.000; 0–4 deletions/100 kb</w:t>
            </w:r>
          </w:p>
        </w:tc>
        <w:tc>
          <w:tcPr/>
          <w:p>
            <w:pPr>
              <w:pStyle w:val="Compact"/>
            </w:pPr>
            <w:r>
              <w:t xml:space="preserve">exact</w:t>
            </w:r>
          </w:p>
        </w:tc>
        <w:tc>
          <w:tcPr/>
          <w:p>
            <w:pPr>
              <w:pStyle w:val="Compact"/>
            </w:pPr>
            <w:r>
              <w:t xml:space="preserve">Fig. 2c</w:t>
            </w:r>
          </w:p>
        </w:tc>
      </w:tr>
      <w:tr>
        <w:tc>
          <w:tcPr/>
          <w:p>
            <w:pPr>
              <w:pStyle w:val="Compact"/>
            </w:pPr>
            <w:r>
              <w:t xml:space="preserve">3</w:t>
            </w:r>
          </w:p>
        </w:tc>
        <w:tc>
          <w:tcPr/>
          <w:p>
            <w:pPr>
              <w:pStyle w:val="Compact"/>
            </w:pPr>
            <w:r>
              <w:t xml:space="preserve">Fragmentation ladder</w:t>
            </w:r>
          </w:p>
        </w:tc>
        <w:tc>
          <w:tcPr/>
          <w:p>
            <w:pPr>
              <w:pStyle w:val="Compact"/>
            </w:pPr>
            <w:r>
              <w:t xml:space="preserve">simulated</w:t>
            </w:r>
          </w:p>
        </w:tc>
        <w:tc>
          <w:tcPr/>
          <w:p>
            <w:pPr>
              <w:pStyle w:val="Compact"/>
            </w:pPr>
            <w:r>
              <w:t xml:space="preserve">20–201 contigs; ~50% reverse-complemented</w:t>
            </w:r>
          </w:p>
        </w:tc>
        <w:tc>
          <w:tcPr/>
          <w:p>
            <w:pPr>
              <w:pStyle w:val="Compact"/>
            </w:pPr>
            <w:r>
              <w:t xml:space="preserve">exact</w:t>
            </w:r>
          </w:p>
        </w:tc>
        <w:tc>
          <w:tcPr/>
          <w:p>
            <w:pPr>
              <w:pStyle w:val="Compact"/>
            </w:pPr>
            <w:r>
              <w:t xml:space="preserve">Fig. 2d</w:t>
            </w:r>
          </w:p>
        </w:tc>
      </w:tr>
      <w:tr>
        <w:tc>
          <w:tcPr/>
          <w:p>
            <w:pPr>
              <w:pStyle w:val="Compact"/>
            </w:pPr>
            <w:r>
              <w:t xml:space="preserve">4</w:t>
            </w:r>
          </w:p>
        </w:tc>
        <w:tc>
          <w:tcPr/>
          <w:p>
            <w:pPr>
              <w:pStyle w:val="Compact"/>
            </w:pPr>
            <w:r>
              <w:t xml:space="preserve">GC ladders</w:t>
            </w:r>
          </w:p>
        </w:tc>
        <w:tc>
          <w:tcPr/>
          <w:p>
            <w:pPr>
              <w:pStyle w:val="Compact"/>
            </w:pPr>
            <w:r>
              <w:t xml:space="preserve">simulated</w:t>
            </w:r>
          </w:p>
        </w:tc>
        <w:tc>
          <w:tcPr/>
          <w:p>
            <w:pPr>
              <w:pStyle w:val="Compact"/>
            </w:pPr>
            <w:r>
              <w:t xml:space="preserve">5 real templates, GC 27.2–72.1%</w:t>
            </w:r>
          </w:p>
        </w:tc>
        <w:tc>
          <w:tcPr/>
          <w:p>
            <w:pPr>
              <w:pStyle w:val="Compact"/>
            </w:pPr>
            <w:r>
              <w:t xml:space="preserve">exact</w:t>
            </w:r>
          </w:p>
        </w:tc>
        <w:tc>
          <w:tcPr/>
          <w:p>
            <w:pPr>
              <w:pStyle w:val="Compact"/>
            </w:pPr>
            <w:r>
              <w:t xml:space="preserve">Supplementary Fig. S5</w:t>
            </w:r>
          </w:p>
        </w:tc>
      </w:tr>
      <w:tr>
        <w:tc>
          <w:tcPr/>
          <w:p>
            <w:pPr>
              <w:pStyle w:val="Compact"/>
            </w:pPr>
            <w:r>
              <w:t xml:space="preserve">5</w:t>
            </w:r>
          </w:p>
        </w:tc>
        <w:tc>
          <w:tcPr/>
          <w:p>
            <w:pPr>
              <w:pStyle w:val="Compact"/>
            </w:pPr>
            <w:r>
              <w:t xml:space="preserve">Accessory sweep</w:t>
            </w:r>
          </w:p>
        </w:tc>
        <w:tc>
          <w:tcPr/>
          <w:p>
            <w:pPr>
              <w:pStyle w:val="Compact"/>
            </w:pPr>
            <w:r>
              <w:t xml:space="preserve">simulated</w:t>
            </w:r>
          </w:p>
        </w:tc>
        <w:tc>
          <w:tcPr/>
          <w:p>
            <w:pPr>
              <w:pStyle w:val="Compact"/>
            </w:pPr>
            <w:r>
              <w:t xml:space="preserve">core ANI 95.000; 0–50% shuffled accessory</w:t>
            </w:r>
          </w:p>
        </w:tc>
        <w:tc>
          <w:tcPr/>
          <w:p>
            <w:pPr>
              <w:pStyle w:val="Compact"/>
            </w:pPr>
            <w:r>
              <w:t xml:space="preserve">exact</w:t>
            </w:r>
          </w:p>
        </w:tc>
        <w:tc>
          <w:tcPr/>
          <w:p>
            <w:pPr>
              <w:pStyle w:val="Compact"/>
            </w:pPr>
            <w:r>
              <w:t xml:space="preserve">Fig. 2e</w:t>
            </w:r>
          </w:p>
        </w:tc>
      </w:tr>
      <w:tr>
        <w:tc>
          <w:tcPr/>
          <w:p>
            <w:pPr>
              <w:pStyle w:val="Compact"/>
            </w:pPr>
            <w:r>
              <w:t xml:space="preserve">6</w:t>
            </w:r>
          </w:p>
        </w:tc>
        <w:tc>
          <w:tcPr/>
          <w:p>
            <w:pPr>
              <w:pStyle w:val="Compact"/>
            </w:pPr>
            <w:r>
              <w:t xml:space="preserve">Mosaic / rate-heterogeneity</w:t>
            </w:r>
          </w:p>
        </w:tc>
        <w:tc>
          <w:tcPr/>
          <w:p>
            <w:pPr>
              <w:pStyle w:val="Compact"/>
            </w:pPr>
            <w:r>
              <w:t xml:space="preserve">simulated</w:t>
            </w:r>
          </w:p>
        </w:tc>
        <w:tc>
          <w:tcPr/>
          <w:p>
            <w:pPr>
              <w:pStyle w:val="Compact"/>
            </w:pPr>
            <w:r>
              <w:t xml:space="preserve">Gamma(α,α), α = 0.5/1/2, ANI 90–98 + bimodal</w:t>
            </w:r>
          </w:p>
        </w:tc>
        <w:tc>
          <w:tcPr/>
          <w:p>
            <w:pPr>
              <w:pStyle w:val="Compact"/>
            </w:pPr>
            <w:r>
              <w:t xml:space="preserve">exact</w:t>
            </w:r>
          </w:p>
        </w:tc>
        <w:tc>
          <w:tcPr/>
          <w:p>
            <w:pPr>
              <w:pStyle w:val="Compact"/>
            </w:pPr>
            <w:r>
              <w:t xml:space="preserve">Supplementary Fig. S6</w:t>
            </w:r>
          </w:p>
        </w:tc>
      </w:tr>
      <w:tr>
        <w:tc>
          <w:tcPr/>
          <w:p>
            <w:pPr>
              <w:pStyle w:val="Compact"/>
            </w:pPr>
            <w:r>
              <w:t xml:space="preserve">7</w:t>
            </w:r>
          </w:p>
        </w:tc>
        <w:tc>
          <w:tcPr/>
          <w:p>
            <w:pPr>
              <w:pStyle w:val="Compact"/>
            </w:pPr>
            <w:r>
              <w:t xml:space="preserve">Inversion ladder</w:t>
            </w:r>
          </w:p>
        </w:tc>
        <w:tc>
          <w:tcPr/>
          <w:p>
            <w:pPr>
              <w:pStyle w:val="Compact"/>
            </w:pPr>
            <w:r>
              <w:t xml:space="preserve">simulated</w:t>
            </w:r>
          </w:p>
        </w:tc>
        <w:tc>
          <w:tcPr/>
          <w:p>
            <w:pPr>
              <w:pStyle w:val="Compact"/>
            </w:pPr>
            <w:r>
              <w:t xml:space="preserve">ANI 95/98; 0–32 inversions (2 breakpoints each)</w:t>
            </w:r>
          </w:p>
        </w:tc>
        <w:tc>
          <w:tcPr/>
          <w:p>
            <w:pPr>
              <w:pStyle w:val="Compact"/>
            </w:pPr>
            <w:r>
              <w:t xml:space="preserve">exact</w:t>
            </w:r>
          </w:p>
        </w:tc>
        <w:tc>
          <w:tcPr/>
          <w:p>
            <w:pPr>
              <w:pStyle w:val="Compact"/>
            </w:pPr>
            <w:r>
              <w:t xml:space="preserve">Supplementary Fig. S1</w:t>
            </w:r>
          </w:p>
        </w:tc>
      </w:tr>
      <w:tr>
        <w:tc>
          <w:tcPr/>
          <w:p>
            <w:pPr>
              <w:pStyle w:val="Compact"/>
            </w:pPr>
            <w:r>
              <w:t xml:space="preserve">8</w:t>
            </w:r>
          </w:p>
        </w:tc>
        <w:tc>
          <w:tcPr/>
          <w:p>
            <w:pPr>
              <w:pStyle w:val="Compact"/>
            </w:pPr>
            <w:r>
              <w:t xml:space="preserve">GTDB-ANIm benchmark</w:t>
            </w:r>
          </w:p>
        </w:tc>
        <w:tc>
          <w:tcPr/>
          <w:p>
            <w:pPr>
              <w:pStyle w:val="Compact"/>
            </w:pPr>
            <w:r>
              <w:t xml:space="preserve">real</w:t>
            </w:r>
          </w:p>
        </w:tc>
        <w:tc>
          <w:tcPr/>
          <w:p>
            <w:pPr>
              <w:pStyle w:val="Compact"/>
            </w:pPr>
            <w:r>
              <w:t xml:space="preserve">2,074 GTDB-R207 pairs, 4 bands (475/837/690/72)</w:t>
            </w:r>
          </w:p>
        </w:tc>
        <w:tc>
          <w:tcPr/>
          <w:p>
            <w:pPr>
              <w:pStyle w:val="Compact"/>
            </w:pPr>
            <w:r>
              <w:t xml:space="preserve">dnadiff ANIm</w:t>
            </w:r>
          </w:p>
        </w:tc>
        <w:tc>
          <w:tcPr/>
          <w:p>
            <w:pPr>
              <w:pStyle w:val="Compact"/>
            </w:pPr>
            <w:r>
              <w:t xml:space="preserve">Fig. 3, Table 1</w:t>
            </w:r>
          </w:p>
        </w:tc>
      </w:tr>
      <w:tr>
        <w:tc>
          <w:tcPr/>
          <w:p>
            <w:pPr>
              <w:pStyle w:val="Compact"/>
            </w:pPr>
            <w:r>
              <w:t xml:space="preserve">9</w:t>
            </w:r>
          </w:p>
        </w:tc>
        <w:tc>
          <w:tcPr/>
          <w:p>
            <w:pPr>
              <w:pStyle w:val="Compact"/>
            </w:pPr>
            <w:r>
              <w:t xml:space="preserve">95–99.5% expansion</w:t>
            </w:r>
          </w:p>
        </w:tc>
        <w:tc>
          <w:tcPr/>
          <w:p>
            <w:pPr>
              <w:pStyle w:val="Compact"/>
            </w:pPr>
            <w:r>
              <w:t xml:space="preserve">real</w:t>
            </w:r>
          </w:p>
        </w:tc>
        <w:tc>
          <w:tcPr/>
          <w:p>
            <w:pPr>
              <w:pStyle w:val="Compact"/>
            </w:pPr>
            <w:r>
              <w:t xml:space="preserve">467 pairs; 607 species, 26 phyla</w:t>
            </w:r>
          </w:p>
        </w:tc>
        <w:tc>
          <w:tcPr/>
          <w:p>
            <w:pPr>
              <w:pStyle w:val="Compact"/>
            </w:pPr>
            <w:r>
              <w:t xml:space="preserve">dnadiff ANIm</w:t>
            </w:r>
          </w:p>
        </w:tc>
        <w:tc>
          <w:tcPr/>
          <w:p>
            <w:pPr>
              <w:pStyle w:val="Compact"/>
            </w:pPr>
            <w:r>
              <w:t xml:space="preserve">calibration training</w:t>
            </w:r>
          </w:p>
        </w:tc>
      </w:tr>
      <w:tr>
        <w:tc>
          <w:tcPr/>
          <w:p>
            <w:pPr>
              <w:pStyle w:val="Compact"/>
            </w:pPr>
            <w:r>
              <w:t xml:space="preserve">10</w:t>
            </w:r>
          </w:p>
        </w:tc>
        <w:tc>
          <w:tcPr/>
          <w:p>
            <w:pPr>
              <w:pStyle w:val="Compact"/>
            </w:pPr>
            <w:r>
              <w:t xml:space="preserve">GTDB scale set</w:t>
            </w:r>
          </w:p>
        </w:tc>
        <w:tc>
          <w:tcPr/>
          <w:p>
            <w:pPr>
              <w:pStyle w:val="Compact"/>
            </w:pPr>
            <w:r>
              <w:t xml:space="preserve">real</w:t>
            </w:r>
          </w:p>
        </w:tc>
        <w:tc>
          <w:tcPr/>
          <w:p>
            <w:pPr>
              <w:pStyle w:val="Compact"/>
            </w:pPr>
            <w:r>
              <w:t xml:space="preserve">45,000 pairs, taxonomic-level stratified</w:t>
            </w:r>
          </w:p>
        </w:tc>
        <w:tc>
          <w:tcPr/>
          <w:p>
            <w:pPr>
              <w:pStyle w:val="Compact"/>
            </w:pPr>
            <w:r>
              <w:t xml:space="preserve">FastANI (672 pairs)</w:t>
            </w:r>
          </w:p>
        </w:tc>
        <w:tc>
          <w:tcPr/>
          <w:p>
            <w:pPr>
              <w:pStyle w:val="Compact"/>
            </w:pPr>
            <w:r>
              <w:t xml:space="preserve">Supplementary analysis</w:t>
            </w:r>
          </w:p>
        </w:tc>
      </w:tr>
      <w:tr>
        <w:tc>
          <w:tcPr/>
          <w:p>
            <w:pPr>
              <w:pStyle w:val="Compact"/>
            </w:pPr>
            <w:r>
              <w:t xml:space="preserve">11</w:t>
            </w:r>
          </w:p>
        </w:tc>
        <w:tc>
          <w:tcPr/>
          <w:p>
            <w:pPr>
              <w:pStyle w:val="Compact"/>
            </w:pPr>
            <w:r>
              <w:t xml:space="preserve">Unified high-ANI set</w:t>
            </w:r>
          </w:p>
        </w:tc>
        <w:tc>
          <w:tcPr/>
          <w:p>
            <w:pPr>
              <w:pStyle w:val="Compact"/>
            </w:pPr>
            <w:r>
              <w:t xml:space="preserve">real</w:t>
            </w:r>
          </w:p>
        </w:tc>
        <w:tc>
          <w:tcPr/>
          <w:p>
            <w:pPr>
              <w:pStyle w:val="Compact"/>
            </w:pPr>
            <w:r>
              <w:t xml:space="preserve">727 GTDB-R207 non-representative pairs (95–97 / 97–100), training genomes excluded</w:t>
            </w:r>
          </w:p>
        </w:tc>
        <w:tc>
          <w:tcPr/>
          <w:p>
            <w:pPr>
              <w:pStyle w:val="Compact"/>
            </w:pPr>
            <w:r>
              <w:t xml:space="preserve">dnadiff ANIm</w:t>
            </w:r>
          </w:p>
        </w:tc>
        <w:tc>
          <w:tcPr/>
          <w:p>
            <w:pPr>
              <w:pStyle w:val="Compact"/>
            </w:pPr>
            <w:r>
              <w:t xml:space="preserve">Table 1, Fig. 4</w:t>
            </w:r>
          </w:p>
        </w:tc>
      </w:tr>
      <w:tr>
        <w:tc>
          <w:tcPr/>
          <w:p>
            <w:pPr>
              <w:pStyle w:val="Compact"/>
            </w:pPr>
            <w:r>
              <w:t xml:space="preserve">12</w:t>
            </w:r>
          </w:p>
        </w:tc>
        <w:tc>
          <w:tcPr/>
          <w:p>
            <w:pPr>
              <w:pStyle w:val="Compact"/>
            </w:pPr>
            <w:r>
              <w:t xml:space="preserve">Mid-ANI set</w:t>
            </w:r>
          </w:p>
        </w:tc>
        <w:tc>
          <w:tcPr/>
          <w:p>
            <w:pPr>
              <w:pStyle w:val="Compact"/>
            </w:pPr>
            <w:r>
              <w:t xml:space="preserve">real</w:t>
            </w:r>
          </w:p>
        </w:tc>
        <w:tc>
          <w:tcPr/>
          <w:p>
            <w:pPr>
              <w:pStyle w:val="Compact"/>
            </w:pPr>
            <w:r>
              <w:t xml:space="preserve">15 pairs, ANIm 87.6–90.2</w:t>
            </w:r>
          </w:p>
        </w:tc>
        <w:tc>
          <w:tcPr/>
          <w:p>
            <w:pPr>
              <w:pStyle w:val="Compact"/>
            </w:pPr>
            <w:r>
              <w:t xml:space="preserve">dnadiff ANIm</w:t>
            </w:r>
          </w:p>
        </w:tc>
        <w:tc>
          <w:tcPr/>
          <w:p>
            <w:pPr>
              <w:pStyle w:val="Compact"/>
            </w:pPr>
            <w:r>
              <w:t xml:space="preserve">Results</w:t>
            </w:r>
          </w:p>
        </w:tc>
      </w:tr>
      <w:tr>
        <w:tc>
          <w:tcPr/>
          <w:p>
            <w:pPr>
              <w:pStyle w:val="Compact"/>
            </w:pPr>
            <w:r>
              <w:t xml:space="preserve">13</w:t>
            </w:r>
          </w:p>
        </w:tc>
        <w:tc>
          <w:tcPr/>
          <w:p>
            <w:pPr>
              <w:pStyle w:val="Compact"/>
            </w:pPr>
            <w:r>
              <w:t xml:space="preserve">Oral/gut set</w:t>
            </w:r>
          </w:p>
        </w:tc>
        <w:tc>
          <w:tcPr/>
          <w:p>
            <w:pPr>
              <w:pStyle w:val="Compact"/>
            </w:pPr>
            <w:r>
              <w:t xml:space="preserve">real</w:t>
            </w:r>
          </w:p>
        </w:tc>
        <w:tc>
          <w:tcPr/>
          <w:p>
            <w:pPr>
              <w:pStyle w:val="Compact"/>
            </w:pPr>
            <w:r>
              <w:t xml:space="preserve">50 genomes, 10 species (5 oral + 5 gut); 1,225 pairs</w:t>
            </w:r>
          </w:p>
        </w:tc>
        <w:tc>
          <w:tcPr/>
          <w:p>
            <w:pPr>
              <w:pStyle w:val="Compact"/>
            </w:pPr>
            <w:r>
              <w:t xml:space="preserve">FastANI/skani (100 same-species)</w:t>
            </w:r>
          </w:p>
        </w:tc>
        <w:tc>
          <w:tcPr/>
          <w:p>
            <w:pPr>
              <w:pStyle w:val="Compact"/>
            </w:pPr>
            <w:r>
              <w:t xml:space="preserve">Results</w:t>
            </w:r>
          </w:p>
        </w:tc>
      </w:tr>
      <w:tr>
        <w:tc>
          <w:tcPr/>
          <w:p>
            <w:pPr>
              <w:pStyle w:val="Compact"/>
            </w:pPr>
            <w:r>
              <w:t xml:space="preserve">14</w:t>
            </w:r>
          </w:p>
        </w:tc>
        <w:tc>
          <w:tcPr/>
          <w:p>
            <w:pPr>
              <w:pStyle w:val="Compact"/>
            </w:pPr>
            <w:r>
              <w:t xml:space="preserve">Enterobacteriaceae completes</w:t>
            </w:r>
          </w:p>
        </w:tc>
        <w:tc>
          <w:tcPr/>
          <w:p>
            <w:pPr>
              <w:pStyle w:val="Compact"/>
            </w:pPr>
            <w:r>
              <w:t xml:space="preserve">real</w:t>
            </w:r>
          </w:p>
        </w:tc>
        <w:tc>
          <w:tcPr/>
          <w:p>
            <w:pPr>
              <w:pStyle w:val="Compact"/>
            </w:pPr>
            <w:r>
              <w:t xml:space="preserve">13 chromosomes vs MG1655, ANI ~81–99.99</w:t>
            </w:r>
          </w:p>
        </w:tc>
        <w:tc>
          <w:tcPr/>
          <w:p>
            <w:pPr>
              <w:pStyle w:val="Compact"/>
            </w:pPr>
            <w:r>
              <w:t xml:space="preserve">dnadiff structural</w:t>
            </w:r>
          </w:p>
        </w:tc>
        <w:tc>
          <w:tcPr/>
          <w:p>
            <w:pPr>
              <w:pStyle w:val="Compact"/>
            </w:pPr>
            <w:r>
              <w:t xml:space="preserve">Fig. 1</w:t>
            </w:r>
          </w:p>
        </w:tc>
      </w:tr>
      <w:tr>
        <w:tc>
          <w:tcPr/>
          <w:p>
            <w:pPr>
              <w:pStyle w:val="Compact"/>
            </w:pPr>
            <w:r>
              <w:t xml:space="preserve">15</w:t>
            </w:r>
          </w:p>
        </w:tc>
        <w:tc>
          <w:tcPr/>
          <w:p>
            <w:pPr>
              <w:pStyle w:val="Compact"/>
            </w:pPr>
            <w:r>
              <w:t xml:space="preserve">Real drafts</w:t>
            </w:r>
          </w:p>
        </w:tc>
        <w:tc>
          <w:tcPr/>
          <w:p>
            <w:pPr>
              <w:pStyle w:val="Compact"/>
            </w:pPr>
            <w:r>
              <w:t xml:space="preserve">real</w:t>
            </w:r>
          </w:p>
        </w:tc>
        <w:tc>
          <w:tcPr/>
          <w:p>
            <w:pPr>
              <w:pStyle w:val="Compact"/>
            </w:pPr>
            <w:r>
              <w:t xml:space="preserve">8 E. coli assemblies, 88–8,025 contigs; RC controls</w:t>
            </w:r>
          </w:p>
        </w:tc>
        <w:tc>
          <w:tcPr/>
          <w:p>
            <w:pPr>
              <w:pStyle w:val="Compact"/>
            </w:pPr>
            <w:r>
              <w:t xml:space="preserve">complete-genome reference</w:t>
            </w:r>
          </w:p>
        </w:tc>
        <w:tc>
          <w:tcPr/>
          <w:p>
            <w:pPr>
              <w:pStyle w:val="Compact"/>
            </w:pPr>
            <w:r>
              <w:t xml:space="preserve">Fig. 2</w:t>
            </w:r>
          </w:p>
        </w:tc>
      </w:tr>
      <w:tr>
        <w:tc>
          <w:tcPr/>
          <w:p>
            <w:pPr>
              <w:pStyle w:val="Compact"/>
            </w:pPr>
            <w:r>
              <w:t xml:space="preserve">16</w:t>
            </w:r>
          </w:p>
        </w:tc>
        <w:tc>
          <w:tcPr/>
          <w:p>
            <w:pPr>
              <w:pStyle w:val="Compact"/>
            </w:pPr>
            <w:r>
              <w:t xml:space="preserve">CAMI2 MAG benchmark</w:t>
            </w:r>
          </w:p>
        </w:tc>
        <w:tc>
          <w:tcPr/>
          <w:p>
            <w:pPr>
              <w:pStyle w:val="Compact"/>
            </w:pPr>
            <w:r>
              <w:t xml:space="preserve">real metagenomes</w:t>
            </w:r>
          </w:p>
        </w:tc>
        <w:tc>
          <w:tcPr/>
          <w:p>
            <w:pPr>
              <w:pStyle w:val="Compact"/>
            </w:pPr>
            <w:r>
              <w:t xml:space="preserve">35 samples → 695 bins ≥ 100 kbp</w:t>
            </w:r>
          </w:p>
        </w:tc>
        <w:tc>
          <w:tcPr/>
          <w:p>
            <w:pPr>
              <w:pStyle w:val="Compact"/>
            </w:pPr>
            <w:r>
              <w:t xml:space="preserve">dnadiff ANIm + CAMI2 assignment</w:t>
            </w:r>
          </w:p>
        </w:tc>
        <w:tc>
          <w:tcPr/>
          <w:p>
            <w:pPr>
              <w:pStyle w:val="Compact"/>
            </w:pPr>
            <w:r>
              <w:t xml:space="preserve">Supplementary Fig. S7</w:t>
            </w:r>
          </w:p>
        </w:tc>
      </w:tr>
      <w:tr>
        <w:tc>
          <w:tcPr/>
          <w:p>
            <w:pPr>
              <w:pStyle w:val="Compact"/>
            </w:pPr>
            <w:r>
              <w:t xml:space="preserve">17</w:t>
            </w:r>
          </w:p>
        </w:tc>
        <w:tc>
          <w:tcPr/>
          <w:p>
            <w:pPr>
              <w:pStyle w:val="Compact"/>
            </w:pPr>
            <w:r>
              <w:t xml:space="preserve">GTDB 50k held-out benchmark</w:t>
            </w:r>
          </w:p>
        </w:tc>
        <w:tc>
          <w:tcPr/>
          <w:p>
            <w:pPr>
              <w:pStyle w:val="Compact"/>
            </w:pPr>
            <w:r>
              <w:t xml:space="preserve">real</w:t>
            </w:r>
          </w:p>
        </w:tc>
        <w:tc>
          <w:tcPr/>
          <w:p>
            <w:pPr>
              <w:pStyle w:val="Compact"/>
            </w:pPr>
            <w:r>
              <w:t xml:space="preserve">43,334 same-genus pairs, 24,831 genomes, 74 phyla; training genomes excluded</w:t>
            </w:r>
          </w:p>
        </w:tc>
        <w:tc>
          <w:tcPr/>
          <w:p>
            <w:pPr>
              <w:pStyle w:val="Compact"/>
            </w:pPr>
            <w:r>
              <w:t xml:space="preserve">dnadiff ANIm</w:t>
            </w:r>
          </w:p>
        </w:tc>
        <w:tc>
          <w:tcPr/>
          <w:p>
            <w:pPr>
              <w:pStyle w:val="Compact"/>
            </w:pPr>
            <w:r>
              <w:t xml:space="preserve">Fig. 3, Table 1</w:t>
            </w:r>
          </w:p>
        </w:tc>
      </w:tr>
      <w:tr>
        <w:tc>
          <w:tcPr/>
          <w:p>
            <w:pPr>
              <w:pStyle w:val="Compact"/>
            </w:pPr>
            <w:r>
              <w:t xml:space="preserve">18</w:t>
            </w:r>
          </w:p>
        </w:tc>
        <w:tc>
          <w:tcPr/>
          <w:p>
            <w:pPr>
              <w:pStyle w:val="Compact"/>
            </w:pPr>
            <w:r>
              <w:t xml:space="preserve">GTDB 50k SV benchmark</w:t>
            </w:r>
          </w:p>
        </w:tc>
        <w:tc>
          <w:tcPr/>
          <w:p>
            <w:pPr>
              <w:pStyle w:val="Compact"/>
            </w:pPr>
            <w:r>
              <w:t xml:space="preserve">real</w:t>
            </w:r>
          </w:p>
        </w:tc>
        <w:tc>
          <w:tcPr/>
          <w:p>
            <w:pPr>
              <w:pStyle w:val="Compact"/>
            </w:pPr>
            <w:r>
              <w:t xml:space="preserve">same 43,334 pairs as #17</w:t>
            </w:r>
          </w:p>
        </w:tc>
        <w:tc>
          <w:tcPr/>
          <w:p>
            <w:pPr>
              <w:pStyle w:val="Compact"/>
            </w:pPr>
            <w:r>
              <w:t xml:space="preserve">dnadiff structural + minimap2</w:t>
            </w:r>
          </w:p>
        </w:tc>
        <w:tc>
          <w:tcPr/>
          <w:p>
            <w:pPr>
              <w:pStyle w:val="Compact"/>
            </w:pPr>
            <w:r>
              <w:t xml:space="preserve">Results</w:t>
            </w:r>
          </w:p>
        </w:tc>
      </w:tr>
      <w:tr>
        <w:tc>
          <w:tcPr/>
          <w:p>
            <w:pPr>
              <w:pStyle w:val="Compact"/>
            </w:pPr>
            <w:r>
              <w:t xml:space="preserve">19</w:t>
            </w:r>
          </w:p>
        </w:tc>
        <w:tc>
          <w:tcPr/>
          <w:p>
            <w:pPr>
              <w:pStyle w:val="Compact"/>
            </w:pPr>
            <w:r>
              <w:t xml:space="preserve">cagPAI pilot</w:t>
            </w:r>
          </w:p>
        </w:tc>
        <w:tc>
          <w:tcPr/>
          <w:p>
            <w:pPr>
              <w:pStyle w:val="Compact"/>
            </w:pPr>
            <w:r>
              <w:t xml:space="preserve">engineered</w:t>
            </w:r>
          </w:p>
        </w:tc>
        <w:tc>
          <w:tcPr/>
          <w:p>
            <w:pPr>
              <w:pStyle w:val="Compact"/>
            </w:pPr>
            <w:r>
              <w:t xml:space="preserve">8</w:t>
            </w:r>
            <w:r>
              <w:t xml:space="preserve"> </w:t>
            </w:r>
            <w:r>
              <w:rPr>
                <w:i/>
                <w:iCs/>
              </w:rPr>
              <w:t xml:space="preserve">H. pylori</w:t>
            </w:r>
            <w:r>
              <w:t xml:space="preserve"> </w:t>
            </w:r>
            <w:r>
              <w:t xml:space="preserve">26695-derived genomes (wild-type, ΔcagPAI, inversion, translocation, and mutated backgrounds)</w:t>
            </w:r>
          </w:p>
        </w:tc>
        <w:tc>
          <w:tcPr/>
          <w:p>
            <w:pPr>
              <w:pStyle w:val="Compact"/>
            </w:pPr>
            <w:r>
              <w:t xml:space="preserve">designed event sizes</w:t>
            </w:r>
          </w:p>
        </w:tc>
        <w:tc>
          <w:tcPr/>
          <w:p>
            <w:pPr>
              <w:pStyle w:val="Compact"/>
            </w:pPr>
            <w:r>
              <w:t xml:space="preserve">Fig. 8a</w:t>
            </w:r>
          </w:p>
        </w:tc>
      </w:tr>
      <w:tr>
        <w:tc>
          <w:tcPr/>
          <w:p>
            <w:pPr>
              <w:pStyle w:val="Compact"/>
            </w:pPr>
            <w:r>
              <w:t xml:space="preserve">20</w:t>
            </w:r>
          </w:p>
        </w:tc>
        <w:tc>
          <w:tcPr/>
          <w:p>
            <w:pPr>
              <w:pStyle w:val="Compact"/>
            </w:pPr>
            <w:r>
              <w:rPr>
                <w:i/>
                <w:iCs/>
              </w:rPr>
              <w:t xml:space="preserve">H. pylori</w:t>
            </w:r>
            <w:r>
              <w:t xml:space="preserve"> </w:t>
            </w:r>
            <w:r>
              <w:t xml:space="preserve">cagPAI cohort</w:t>
            </w:r>
          </w:p>
        </w:tc>
        <w:tc>
          <w:tcPr/>
          <w:p>
            <w:pPr>
              <w:pStyle w:val="Compact"/>
            </w:pPr>
            <w:r>
              <w:t xml:space="preserve">real</w:t>
            </w:r>
          </w:p>
        </w:tc>
        <w:tc>
          <w:tcPr/>
          <w:p>
            <w:pPr>
              <w:pStyle w:val="Compact"/>
            </w:pPr>
            <w:r>
              <w:t xml:space="preserve">528 genomes from Song et al. (2026); marker + struct state vs 26695</w:t>
            </w:r>
          </w:p>
        </w:tc>
        <w:tc>
          <w:tcPr/>
          <w:p>
            <w:pPr>
              <w:pStyle w:val="Compact"/>
            </w:pPr>
            <w:r>
              <w:t xml:space="preserve">disease stage, FastBAPS, country, population; collaborator metadata: cagA EPIYA typing, vacA typing, CARD resistance genotype</w:t>
            </w:r>
          </w:p>
        </w:tc>
        <w:tc>
          <w:tcPr/>
          <w:p>
            <w:pPr>
              <w:pStyle w:val="Compact"/>
            </w:pPr>
            <w:r>
              <w:t xml:space="preserve">Fig. 8</w:t>
            </w:r>
          </w:p>
        </w:tc>
      </w:tr>
      <w:tr>
        <w:tc>
          <w:tcPr/>
          <w:p>
            <w:pPr>
              <w:pStyle w:val="Compact"/>
            </w:pPr>
            <w:r>
              <w:t xml:space="preserve">21</w:t>
            </w:r>
          </w:p>
        </w:tc>
        <w:tc>
          <w:tcPr/>
          <w:p>
            <w:pPr>
              <w:pStyle w:val="Compact"/>
            </w:pPr>
            <w:r>
              <w:rPr>
                <w:i/>
                <w:iCs/>
              </w:rPr>
              <w:t xml:space="preserve">E. coli</w:t>
            </w:r>
            <w:r>
              <w:t xml:space="preserve"> </w:t>
            </w:r>
            <w:r>
              <w:t xml:space="preserve">O157:H7 collection</w:t>
            </w:r>
          </w:p>
        </w:tc>
        <w:tc>
          <w:tcPr/>
          <w:p>
            <w:pPr>
              <w:pStyle w:val="Compact"/>
            </w:pPr>
            <w:r>
              <w:t xml:space="preserve">real</w:t>
            </w:r>
          </w:p>
        </w:tc>
        <w:tc>
          <w:tcPr/>
          <w:p>
            <w:pPr>
              <w:pStyle w:val="Compact"/>
            </w:pPr>
            <w:r>
              <w:t xml:space="preserve">74 complete genomes from Fitzgerald et al. (2021); 2,701 pairs</w:t>
            </w:r>
          </w:p>
        </w:tc>
        <w:tc>
          <w:tcPr/>
          <w:p>
            <w:pPr>
              <w:pStyle w:val="Compact"/>
            </w:pPr>
            <w:r>
              <w:t xml:space="preserve">lineage, host source</w:t>
            </w:r>
          </w:p>
        </w:tc>
        <w:tc>
          <w:tcPr/>
          <w:p>
            <w:pPr>
              <w:pStyle w:val="Compact"/>
            </w:pPr>
            <w:r>
              <w:t xml:space="preserve">Supplementary Fig. S9</w:t>
            </w:r>
          </w:p>
        </w:tc>
      </w:tr>
      <w:tr>
        <w:tc>
          <w:tcPr/>
          <w:p>
            <w:pPr>
              <w:pStyle w:val="Compact"/>
            </w:pPr>
            <w:r>
              <w:t xml:space="preserve">22</w:t>
            </w:r>
          </w:p>
        </w:tc>
        <w:tc>
          <w:tcPr/>
          <w:p>
            <w:pPr>
              <w:pStyle w:val="Compact"/>
            </w:pPr>
            <w:r>
              <w:t xml:space="preserve">FDA-ARGOS</w:t>
            </w:r>
            <w:r>
              <w:t xml:space="preserve"> </w:t>
            </w:r>
            <w:r>
              <w:rPr>
                <w:i/>
                <w:iCs/>
              </w:rPr>
              <w:t xml:space="preserve">S. aureus</w:t>
            </w:r>
          </w:p>
        </w:tc>
        <w:tc>
          <w:tcPr/>
          <w:p>
            <w:pPr>
              <w:pStyle w:val="Compact"/>
            </w:pPr>
            <w:r>
              <w:t xml:space="preserve">real</w:t>
            </w:r>
          </w:p>
        </w:tc>
        <w:tc>
          <w:tcPr/>
          <w:p>
            <w:pPr>
              <w:pStyle w:val="Compact"/>
            </w:pPr>
            <w:r>
              <w:t xml:space="preserve">67 distinct assemblies (122 accessions, GenBank/RefSeq and version twins deduplicated); 2,211 pairs</w:t>
            </w:r>
          </w:p>
        </w:tc>
        <w:tc>
          <w:tcPr/>
          <w:p>
            <w:pPr>
              <w:pStyle w:val="Compact"/>
            </w:pPr>
            <w:r>
              <w:t xml:space="preserve">country, isolation source</w:t>
            </w:r>
          </w:p>
        </w:tc>
        <w:tc>
          <w:tcPr/>
          <w:p>
            <w:pPr>
              <w:pStyle w:val="Compact"/>
            </w:pPr>
            <w:r>
              <w:t xml:space="preserve">Supplementary Fig. S10</w:t>
            </w:r>
          </w:p>
        </w:tc>
      </w:tr>
      <w:tr>
        <w:tc>
          <w:tcPr/>
          <w:p>
            <w:pPr>
              <w:pStyle w:val="Compact"/>
            </w:pPr>
            <w:r>
              <w:t xml:space="preserve">23</w:t>
            </w:r>
          </w:p>
        </w:tc>
        <w:tc>
          <w:tcPr/>
          <w:p>
            <w:pPr>
              <w:pStyle w:val="Compact"/>
            </w:pPr>
            <w:r>
              <w:rPr>
                <w:i/>
                <w:iCs/>
              </w:rPr>
              <w:t xml:space="preserve">B. longum</w:t>
            </w:r>
            <w:r>
              <w:t xml:space="preserve"> </w:t>
            </w:r>
            <w:r>
              <w:t xml:space="preserve">abfA collection</w:t>
            </w:r>
          </w:p>
        </w:tc>
        <w:tc>
          <w:tcPr/>
          <w:p>
            <w:pPr>
              <w:pStyle w:val="Compact"/>
            </w:pPr>
            <w:r>
              <w:t xml:space="preserve">real</w:t>
            </w:r>
          </w:p>
        </w:tc>
        <w:tc>
          <w:tcPr/>
          <w:p>
            <w:pPr>
              <w:pStyle w:val="Compact"/>
            </w:pPr>
            <w:r>
              <w:t xml:space="preserve">185 JNU isolates; 17,020 pairs</w:t>
            </w:r>
          </w:p>
        </w:tc>
        <w:tc>
          <w:tcPr/>
          <w:p>
            <w:pPr>
              <w:pStyle w:val="Compact"/>
            </w:pPr>
            <w:r>
              <w:t xml:space="preserve">curated abfA cluster status</w:t>
            </w:r>
          </w:p>
        </w:tc>
        <w:tc>
          <w:tcPr/>
          <w:p>
            <w:pPr>
              <w:pStyle w:val="Compact"/>
            </w:pPr>
            <w:r>
              <w:t xml:space="preserve">Fig. 7</w:t>
            </w:r>
          </w:p>
        </w:tc>
      </w:tr>
      <w:tr>
        <w:tc>
          <w:tcPr/>
          <w:p>
            <w:pPr>
              <w:pStyle w:val="Compact"/>
            </w:pPr>
            <w:r>
              <w:t xml:space="preserve">24</w:t>
            </w:r>
          </w:p>
        </w:tc>
        <w:tc>
          <w:tcPr/>
          <w:p>
            <w:pPr>
              <w:pStyle w:val="Compact"/>
            </w:pPr>
            <w:r>
              <w:t xml:space="preserve">FDA-ARGOS</w:t>
            </w:r>
            <w:r>
              <w:t xml:space="preserve"> </w:t>
            </w:r>
            <w:r>
              <w:rPr>
                <w:i/>
                <w:iCs/>
              </w:rPr>
              <w:t xml:space="preserve">E. coli</w:t>
            </w:r>
          </w:p>
        </w:tc>
        <w:tc>
          <w:tcPr/>
          <w:p>
            <w:pPr>
              <w:pStyle w:val="Compact"/>
            </w:pPr>
            <w:r>
              <w:t xml:space="preserve">real</w:t>
            </w:r>
          </w:p>
        </w:tc>
        <w:tc>
          <w:tcPr/>
          <w:p>
            <w:pPr>
              <w:pStyle w:val="Compact"/>
            </w:pPr>
            <w:r>
              <w:t xml:space="preserve">129 assemblies; 103 pairs ≥ 99.9 ANI</w:t>
            </w:r>
          </w:p>
        </w:tc>
        <w:tc>
          <w:tcPr/>
          <w:p>
            <w:pPr>
              <w:pStyle w:val="Compact"/>
            </w:pPr>
            <w:r>
              <w:t xml:space="preserve">NCBI Pathogen Detection AMRFinderPlus core genotypes; minimap2-validated SV calls</w:t>
            </w:r>
          </w:p>
        </w:tc>
        <w:tc>
          <w:tcPr/>
          <w:p>
            <w:pPr>
              <w:pStyle w:val="Compact"/>
            </w:pPr>
            <w:r>
              <w:t xml:space="preserve">Results, Supplementary Fig. S15, Table S7</w:t>
            </w:r>
          </w:p>
        </w:tc>
      </w:tr>
    </w:tbl>
    <w:p>
      <w:pPr>
        <w:pStyle w:val="BodyText"/>
      </w:pPr>
      <w:r>
        <w:rPr>
          <w:b/>
          <w:bCs/>
        </w:rPr>
        <w:t xml:space="preserve">Table 4 | Case-study summary.</w:t>
      </w:r>
      <w:r>
        <w:t xml:space="preserve"> </w:t>
      </w:r>
      <w:r>
        <w:t xml:space="preserve">Datasets where Syn2bANI’s structural output adds information beyond genome-wide ANI.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Case study</w:t>
            </w:r>
          </w:p>
        </w:tc>
        <w:tc>
          <w:tcPr/>
          <w:p>
            <w:pPr>
              <w:pStyle w:val="Compact"/>
            </w:pPr>
            <w:r>
              <w:t xml:space="preserve">n genomes / pairs</w:t>
            </w:r>
          </w:p>
        </w:tc>
        <w:tc>
          <w:tcPr/>
          <w:p>
            <w:pPr>
              <w:pStyle w:val="Compact"/>
            </w:pPr>
            <w:r>
              <w:t xml:space="preserve">ANI range</w:t>
            </w:r>
          </w:p>
        </w:tc>
        <w:tc>
          <w:tcPr/>
          <w:p>
            <w:pPr>
              <w:pStyle w:val="Compact"/>
            </w:pPr>
            <w:r>
              <w:t xml:space="preserve">Key structural finding</w:t>
            </w:r>
          </w:p>
        </w:tc>
        <w:tc>
          <w:tcPr/>
          <w:p>
            <w:pPr>
              <w:pStyle w:val="Compact"/>
            </w:pPr>
            <w:r>
              <w:t xml:space="preserve">Biological association</w:t>
            </w:r>
          </w:p>
        </w:tc>
        <w:tc>
          <w:tcPr/>
          <w:p>
            <w:pPr>
              <w:pStyle w:val="Compact"/>
            </w:pPr>
            <w:r>
              <w:t xml:space="preserve">Figure / Table</w:t>
            </w:r>
          </w:p>
        </w:tc>
      </w:tr>
      <w:tr>
        <w:tc>
          <w:tcPr/>
          <w:p>
            <w:pPr>
              <w:pStyle w:val="Compact"/>
            </w:pPr>
            <w:r>
              <w:rPr>
                <w:i/>
                <w:iCs/>
              </w:rPr>
              <w:t xml:space="preserve">B. longum</w:t>
            </w:r>
            <w:r>
              <w:t xml:space="preserve"> </w:t>
            </w:r>
            <w:r>
              <w:t xml:space="preserve">abfA</w:t>
            </w:r>
          </w:p>
        </w:tc>
        <w:tc>
          <w:tcPr/>
          <w:p>
            <w:pPr>
              <w:pStyle w:val="Compact"/>
            </w:pPr>
            <w:r>
              <w:t xml:space="preserve">185 / 17,020</w:t>
            </w:r>
          </w:p>
        </w:tc>
        <w:tc>
          <w:tcPr/>
          <w:p>
            <w:pPr>
              <w:pStyle w:val="Compact"/>
            </w:pPr>
            <w:r>
              <w:t xml:space="preserve">≥98.67%</w:t>
            </w:r>
          </w:p>
        </w:tc>
        <w:tc>
          <w:tcPr/>
          <w:p>
            <w:pPr>
              <w:pStyle w:val="Compact"/>
            </w:pPr>
            <w:r>
              <w:t xml:space="preserve">abfA cluster deletion/truncation invisible to ANI and AF</w:t>
            </w:r>
          </w:p>
        </w:tc>
        <w:tc>
          <w:tcPr/>
          <w:p>
            <w:pPr>
              <w:pStyle w:val="Compact"/>
            </w:pPr>
            <w:r>
              <w:t xml:space="preserve">Curated abfA-cluster status association; no patient-level outcome prediction is inferred</w:t>
            </w:r>
          </w:p>
        </w:tc>
        <w:tc>
          <w:tcPr/>
          <w:p>
            <w:pPr>
              <w:pStyle w:val="Compact"/>
            </w:pPr>
            <w:r>
              <w:t xml:space="preserve">Fig. 7</w:t>
            </w:r>
          </w:p>
        </w:tc>
      </w:tr>
      <w:tr>
        <w:tc>
          <w:tcPr/>
          <w:p>
            <w:pPr>
              <w:pStyle w:val="Compact"/>
            </w:pPr>
            <w:r>
              <w:rPr>
                <w:i/>
                <w:iCs/>
              </w:rPr>
              <w:t xml:space="preserve">H. pylori</w:t>
            </w:r>
            <w:r>
              <w:t xml:space="preserve"> </w:t>
            </w:r>
            <w:r>
              <w:t xml:space="preserve">cagPAI</w:t>
            </w:r>
          </w:p>
        </w:tc>
        <w:tc>
          <w:tcPr/>
          <w:p>
            <w:pPr>
              <w:pStyle w:val="Compact"/>
            </w:pPr>
            <w:r>
              <w:t xml:space="preserve">528 / 528 vs 26695</w:t>
            </w:r>
          </w:p>
        </w:tc>
        <w:tc>
          <w:tcPr/>
          <w:p>
            <w:pPr>
              <w:pStyle w:val="Compact"/>
            </w:pPr>
            <w:r>
              <w:t xml:space="preserve">&gt;95%</w:t>
            </w:r>
          </w:p>
        </w:tc>
        <w:tc>
          <w:tcPr/>
          <w:p>
            <w:pPr>
              <w:pStyle w:val="Compact"/>
            </w:pPr>
            <w:r>
              <w:t xml:space="preserve">cagPAI presence/absence and architecture vary widely</w:t>
            </w:r>
          </w:p>
        </w:tc>
        <w:tc>
          <w:tcPr/>
          <w:p>
            <w:pPr>
              <w:pStyle w:val="Compact"/>
            </w:pPr>
            <w:r>
              <w:t xml:space="preserve">FastBAPS lineage; gastric disease stage (lineage-confounded)</w:t>
            </w:r>
          </w:p>
        </w:tc>
        <w:tc>
          <w:tcPr/>
          <w:p>
            <w:pPr>
              <w:pStyle w:val="Compact"/>
            </w:pPr>
            <w:r>
              <w:t xml:space="preserve">Fig. 8, Supplementary Table S4</w:t>
            </w:r>
          </w:p>
        </w:tc>
      </w:tr>
      <w:tr>
        <w:tc>
          <w:tcPr/>
          <w:p>
            <w:pPr>
              <w:pStyle w:val="Compact"/>
            </w:pPr>
            <w:r>
              <w:t xml:space="preserve">FDA-ARGOS</w:t>
            </w:r>
            <w:r>
              <w:t xml:space="preserve"> </w:t>
            </w:r>
            <w:r>
              <w:rPr>
                <w:i/>
                <w:iCs/>
              </w:rPr>
              <w:t xml:space="preserve">E. coli</w:t>
            </w:r>
          </w:p>
        </w:tc>
        <w:tc>
          <w:tcPr/>
          <w:p>
            <w:pPr>
              <w:pStyle w:val="Compact"/>
            </w:pPr>
            <w:r>
              <w:t xml:space="preserve">129 / 103 ≥99.9%</w:t>
            </w:r>
          </w:p>
        </w:tc>
        <w:tc>
          <w:tcPr/>
          <w:p>
            <w:pPr>
              <w:pStyle w:val="Compact"/>
            </w:pPr>
            <w:r>
              <w:t xml:space="preserve">99.90–100.00%</w:t>
            </w:r>
          </w:p>
        </w:tc>
        <w:tc>
          <w:tcPr/>
          <w:p>
            <w:pPr>
              <w:pStyle w:val="Compact"/>
            </w:pPr>
            <w:r>
              <w:t xml:space="preserve">101/103 pairs carry ≥1 genuine SV; 16 large inversions</w:t>
            </w:r>
          </w:p>
        </w:tc>
        <w:tc>
          <w:tcPr/>
          <w:p>
            <w:pPr>
              <w:pStyle w:val="Compact"/>
            </w:pPr>
            <w:r>
              <w:t xml:space="preserve">60/103 pairs differ in core AMR genotype</w:t>
            </w:r>
          </w:p>
        </w:tc>
        <w:tc>
          <w:tcPr/>
          <w:p>
            <w:pPr>
              <w:pStyle w:val="Compact"/>
            </w:pPr>
            <w:r>
              <w:t xml:space="preserve">Results, Supplementary Fig. S15, Table S7</w:t>
            </w:r>
          </w:p>
        </w:tc>
      </w:tr>
      <w:tr>
        <w:tc>
          <w:tcPr/>
          <w:p>
            <w:pPr>
              <w:pStyle w:val="Compact"/>
            </w:pPr>
            <w:r>
              <w:rPr>
                <w:i/>
                <w:iCs/>
              </w:rPr>
              <w:t xml:space="preserve">E. coli</w:t>
            </w:r>
            <w:r>
              <w:t xml:space="preserve"> </w:t>
            </w:r>
            <w:r>
              <w:t xml:space="preserve">O157:H7</w:t>
            </w:r>
          </w:p>
        </w:tc>
        <w:tc>
          <w:tcPr/>
          <w:p>
            <w:pPr>
              <w:pStyle w:val="Compact"/>
            </w:pPr>
            <w:r>
              <w:t xml:space="preserve">74 / 2,701</w:t>
            </w:r>
          </w:p>
        </w:tc>
        <w:tc>
          <w:tcPr/>
          <w:p>
            <w:pPr>
              <w:pStyle w:val="Compact"/>
            </w:pPr>
            <w:r>
              <w:t xml:space="preserve">≥99.886%</w:t>
            </w:r>
          </w:p>
        </w:tc>
        <w:tc>
          <w:tcPr/>
          <w:p>
            <w:pPr>
              <w:pStyle w:val="Compact"/>
            </w:pPr>
            <w:r>
              <w:t xml:space="preserve">median 7 breakpoints per pair (IQR 4–9, max 19)</w:t>
            </w:r>
          </w:p>
        </w:tc>
        <w:tc>
          <w:tcPr/>
          <w:p>
            <w:pPr>
              <w:pStyle w:val="Compact"/>
            </w:pPr>
            <w:r>
              <w:t xml:space="preserve">lineage, host source</w:t>
            </w:r>
          </w:p>
        </w:tc>
        <w:tc>
          <w:tcPr/>
          <w:p>
            <w:pPr>
              <w:pStyle w:val="Compact"/>
            </w:pPr>
            <w:r>
              <w:t xml:space="preserve">Supplementary Fig. S9</w:t>
            </w:r>
          </w:p>
        </w:tc>
      </w:tr>
      <w:tr>
        <w:tc>
          <w:tcPr/>
          <w:p>
            <w:pPr>
              <w:pStyle w:val="Compact"/>
            </w:pPr>
            <w:r>
              <w:t xml:space="preserve">FDA-ARGOS</w:t>
            </w:r>
            <w:r>
              <w:t xml:space="preserve"> </w:t>
            </w:r>
            <w:r>
              <w:rPr>
                <w:i/>
                <w:iCs/>
              </w:rPr>
              <w:t xml:space="preserve">S. aureus</w:t>
            </w:r>
          </w:p>
        </w:tc>
        <w:tc>
          <w:tcPr/>
          <w:p>
            <w:pPr>
              <w:pStyle w:val="Compact"/>
            </w:pPr>
            <w:r>
              <w:t xml:space="preserve">67 / 2,211</w:t>
            </w:r>
          </w:p>
        </w:tc>
        <w:tc>
          <w:tcPr/>
          <w:p>
            <w:pPr>
              <w:pStyle w:val="Compact"/>
            </w:pPr>
            <w:r>
              <w:t xml:space="preserve">93.6–100%</w:t>
            </w:r>
          </w:p>
        </w:tc>
        <w:tc>
          <w:tcPr/>
          <w:p>
            <w:pPr>
              <w:pStyle w:val="Compact"/>
            </w:pPr>
            <w:r>
              <w:t xml:space="preserve">60.5% of pairs carry no breakpoints; max 7</w:t>
            </w:r>
          </w:p>
        </w:tc>
        <w:tc>
          <w:tcPr/>
          <w:p>
            <w:pPr>
              <w:pStyle w:val="Compact"/>
            </w:pPr>
            <w:r>
              <w:t xml:space="preserve">country, isolation source</w:t>
            </w:r>
          </w:p>
        </w:tc>
        <w:tc>
          <w:tcPr/>
          <w:p>
            <w:pPr>
              <w:pStyle w:val="Compact"/>
            </w:pPr>
            <w:r>
              <w:t xml:space="preserve">Supplementary Fig. S10</w:t>
            </w:r>
          </w:p>
        </w:tc>
      </w:tr>
    </w:tbl>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2026-10-18T03:14:22Z</dcterms:created>
  <dcterms:modified xsi:type="dcterms:W3CDTF">2026-10-18T03:14:22Z</dcterms:modified>
</cp:coreProperties>
</file>

<file path=docProps/custom.xml><?xml version="1.0" encoding="utf-8"?>
<Properties xmlns="http://schemas.openxmlformats.org/officeDocument/2006/custom-properties" xmlns:vt="http://schemas.openxmlformats.org/officeDocument/2006/docPropsVTypes"/>
</file>