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3fcc6656da83e08d67075bda016bbdc5c3d5f9"/>
    <w:p>
      <w:pPr>
        <w:pStyle w:val="Heading1"/>
      </w:pPr>
      <w:r>
        <w:t xml:space="preserve">Supplementary Information — Syn2b-ANI: Strain-level ANI estimation and structural comparison via fixed restriction-site anchors</w:t>
      </w:r>
    </w:p>
    <w:p>
      <w:pPr>
        <w:pStyle w:val="FirstParagraph"/>
      </w:pPr>
      <w:r>
        <w:t xml:space="preserve">This document collects the supplementary figures and tables referenced from</w:t>
      </w:r>
      <w:r>
        <w:t xml:space="preserve"> </w:t>
      </w:r>
      <w:r>
        <w:t xml:space="preserve">the main text. All underlying data and analysis scripts are released at</w:t>
      </w:r>
      <w:r>
        <w:t xml:space="preserve"> </w:t>
      </w:r>
      <w:r>
        <w:t xml:space="preserve">https://github.com/HuangShiLab/Syn2bANI-paper.</w:t>
      </w:r>
    </w:p>
    <w:bookmarkStart w:id="9" w:name="X142c0cbb90bcdb084ecc8d3411164e03ee9deb4"/>
    <w:p>
      <w:pPr>
        <w:pStyle w:val="Heading2"/>
      </w:pPr>
      <w:r>
        <w:t xml:space="preserve">Supplementary Figure S1 — Synteny benchmark: exact-truth inversion ladder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paper/figures/supplementary/fig_s1_synteny_ladder.png</w:t>
      </w:r>
      <w:r>
        <w:t xml:space="preserve">)</w:t>
      </w:r>
    </w:p>
    <w:p>
      <w:pPr>
        <w:pStyle w:val="BodyText"/>
      </w:pPr>
      <w:r>
        <w:t xml:space="preserve">E. coli MG1655 evolved to ANI 95.00/98.00 (counted substitutions) with 0–32</w:t>
      </w:r>
      <w:r>
        <w:t xml:space="preserve"> </w:t>
      </w:r>
      <w:r>
        <w:t xml:space="preserve">non-overlapping inversions (100–400 kb; 2 true breakpoints each).</w:t>
      </w:r>
      <w:r>
        <w:t xml:space="preserve"> </w:t>
      </w:r>
      <w:r>
        <w:t xml:space="preserve">(a) syn2bani breakpoint_count vs truth: exact on all 14 rungs (0–64).</w:t>
      </w:r>
      <w:r>
        <w:t xml:space="preserve"> </w:t>
      </w:r>
      <w:r>
        <w:t xml:space="preserve">(b) anchor_adjacency vs inversion count: monotone decline 1.0000 → 0.9835.</w:t>
      </w:r>
      <w:r>
        <w:t xml:space="preserve"> </w:t>
      </w:r>
      <w:r>
        <w:t xml:space="preserve">(c) ANI estimate vs inversion count: invariant (94.95–95.00 at true 95.00;</w:t>
      </w:r>
      <w:r>
        <w:t xml:space="preserve"> </w:t>
      </w:r>
      <w:r>
        <w:t xml:space="preserve">98.00–98.01 at true 98.00). Wall time 50–70 ms per pair. Specificity on 695</w:t>
      </w:r>
      <w:r>
        <w:t xml:space="preserve"> </w:t>
      </w:r>
      <w:r>
        <w:t xml:space="preserve">real MAG pairs (dnadiff-derived truth, median 0 breaks): median</w:t>
      </w:r>
      <w:r>
        <w:t xml:space="preserve"> </w:t>
      </w:r>
      <w:r>
        <w:t xml:space="preserve">anchor_adjacency 0.9997, no spurious structural flags. Data and report:</w:t>
      </w:r>
      <w:r>
        <w:t xml:space="preserve"> </w:t>
      </w:r>
      <w:r>
        <w:rPr>
          <w:rStyle w:val="VerbatimChar"/>
        </w:rPr>
        <w:t xml:space="preserve">results/synteny_bench/</w:t>
      </w:r>
      <w:r>
        <w:t xml:space="preserve">.</w:t>
      </w:r>
    </w:p>
    <w:bookmarkEnd w:id="9"/>
    <w:bookmarkStart w:id="10" w:name="Xc212d59051500608a6a292fa9e7516d81d06b47"/>
    <w:p>
      <w:pPr>
        <w:pStyle w:val="Heading2"/>
      </w:pPr>
      <w:r>
        <w:t xml:space="preserve">Supplementary Figure S2 — Held-out GTDB-R207 benchmark (v5 detail)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paper/figures/supplementary/fig_s2_gtdb50k_heldout.png</w:t>
      </w:r>
      <w:r>
        <w:t xml:space="preserve">)</w:t>
      </w:r>
    </w:p>
    <w:p>
      <w:pPr>
        <w:pStyle w:val="BodyText"/>
      </w:pPr>
      <w:r>
        <w:t xml:space="preserve">43,334 same-genus pairs sampled from GTDB R207 representatives (24,831</w:t>
      </w:r>
      <w:r>
        <w:t xml:space="preserve"> </w:t>
      </w:r>
      <w:r>
        <w:t xml:space="preserve">genomes, 74 phyla), with every genome of the 2,520-pair calibration training</w:t>
      </w:r>
      <w:r>
        <w:t xml:space="preserve"> </w:t>
      </w:r>
      <w:r>
        <w:t xml:space="preserve">matrix excluded in both directions; dnadiff/ANIm truth for all pairs. The</w:t>
      </w:r>
      <w:r>
        <w:t xml:space="preserve"> </w:t>
      </w:r>
      <w:r>
        <w:t xml:space="preserve">gate, consistency flag, and calibration v5 were frozen before evaluation.</w:t>
      </w:r>
      <w:r>
        <w:t xml:space="preserve"> </w:t>
      </w:r>
      <w:r>
        <w:t xml:space="preserve">Panels (a–c) Calibrated Syn2bANI v5, skani, and FastANI vs ANIm (MAE 0.619, 0.958, 0.977 respectively). (d) Per-band MAE. (e) Signed-error distributions: skani and FastANI carry a large negative bias at divergent bands; the calibrated estimator is centered (bias −0.12). Per-pair truth, tool output, per-band and per-phylum metrics:</w:t>
      </w:r>
      <w:r>
        <w:t xml:space="preserve"> </w:t>
      </w:r>
      <w:r>
        <w:rPr>
          <w:rStyle w:val="VerbatimChar"/>
        </w:rPr>
        <w:t xml:space="preserve">results/gtdb50k/</w:t>
      </w:r>
      <w:r>
        <w:t xml:space="preserve"> </w:t>
      </w:r>
      <w:r>
        <w:t xml:space="preserve">(report</w:t>
      </w:r>
      <w:r>
        <w:t xml:space="preserve"> </w:t>
      </w:r>
      <w:r>
        <w:rPr>
          <w:rStyle w:val="VerbatimChar"/>
        </w:rPr>
        <w:t xml:space="preserve">GTDB50K_HELDOUT_REPORT.md</w:t>
      </w:r>
      <w:r>
        <w:t xml:space="preserve">, metrics</w:t>
      </w:r>
      <w:r>
        <w:t xml:space="preserve"> </w:t>
      </w:r>
      <w:r>
        <w:rPr>
          <w:rStyle w:val="VerbatimChar"/>
        </w:rPr>
        <w:t xml:space="preserve">gtdb50k_metrics.tsv</w:t>
      </w:r>
      <w:r>
        <w:t xml:space="preserve">); pipeline</w:t>
      </w:r>
      <w:r>
        <w:t xml:space="preserve"> </w:t>
      </w:r>
      <w:r>
        <w:rPr>
          <w:rStyle w:val="VerbatimChar"/>
        </w:rPr>
        <w:t xml:space="preserve">scripts/gtdb50k/</w:t>
      </w:r>
      <w:r>
        <w:t xml:space="preserve">.</w:t>
      </w:r>
    </w:p>
    <w:bookmarkEnd w:id="10"/>
    <w:bookmarkStart w:id="11" w:name="Xfcc31fb3a442a56c962a2b940984516d699f2a4"/>
    <w:p>
      <w:pPr>
        <w:pStyle w:val="Heading2"/>
      </w:pPr>
      <w:r>
        <w:t xml:space="preserve">Supplementary Figure S3 — Per-band ANI comparison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paper/figures/supplementary/fig_s3_anim_by_band.png</w:t>
      </w:r>
      <w:r>
        <w:t xml:space="preserve">)</w:t>
      </w:r>
    </w:p>
    <w:p>
      <w:pPr>
        <w:pStyle w:val="BodyText"/>
      </w:pPr>
      <w:r>
        <w:t xml:space="preserve">Band-holdout cross-validation on the 2,074-pair GTDB-R207 ANIm benchmark:</w:t>
      </w:r>
      <w:r>
        <w:t xml:space="preserve"> </w:t>
      </w:r>
      <w:r>
        <w:t xml:space="preserve">MAE by ANI band for raw gamma, calibrated v5, skani, and FastANI. This is the</w:t>
      </w:r>
      <w:r>
        <w:t xml:space="preserve"> </w:t>
      </w:r>
      <w:r>
        <w:t xml:space="preserve">per-band detail behind the unified benchmark of Fig. 3.</w:t>
      </w:r>
    </w:p>
    <w:bookmarkEnd w:id="11"/>
    <w:bookmarkStart w:id="12" w:name="X9c05ab7676dba1214c8a6507a30270464495a16"/>
    <w:p>
      <w:pPr>
        <w:pStyle w:val="Heading2"/>
      </w:pPr>
      <w:r>
        <w:t xml:space="preserve">Supplementary Figure S4 — Genome quality does not drive ANI error on GTDB-R207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paper/figures/supplementary/fig_s4_gtdb_quality_vs_mae.png</w:t>
      </w:r>
      <w:r>
        <w:t xml:space="preserve">)</w:t>
      </w:r>
    </w:p>
    <w:p>
      <w:pPr>
        <w:pStyle w:val="BodyText"/>
      </w:pPr>
      <w:r>
        <w:t xml:space="preserve">39,903 held-out same-genus pairs with GTDB R207 metadata (completeness,</w:t>
      </w:r>
      <w:r>
        <w:t xml:space="preserve"> </w:t>
      </w:r>
      <w:r>
        <w:t xml:space="preserve">contamination, contig count, mean contig length) and dnadiff/ANIm truth.</w:t>
      </w:r>
      <w:r>
        <w:t xml:space="preserve"> </w:t>
      </w:r>
      <w:r>
        <w:t xml:space="preserve">Calibrated Syn2bANI v5 overall MAE = 0.619, Pearson r = 0.962. (a) MAE by</w:t>
      </w:r>
      <w:r>
        <w:t xml:space="preserve"> </w:t>
      </w:r>
      <w:r>
        <w:t xml:space="preserve">minimum pair completeness (n = 3,972 below 70%, MAE 0.82; n = 22,259 at</w:t>
      </w:r>
      <w:r>
        <w:t xml:space="preserve"> </w:t>
      </w:r>
      <w:r>
        <w:t xml:space="preserve">95–100%, MAE 0.59). (b) MAE by maximum pair contamination. (c) MAE by maximum</w:t>
      </w:r>
      <w:r>
        <w:t xml:space="preserve"> </w:t>
      </w:r>
      <w:r>
        <w:t xml:space="preserve">contig count. (d) MAE by minimum mean contig length (&lt;5 kb: MAE 0.81; ≥10 kb:</w:t>
      </w:r>
      <w:r>
        <w:t xml:space="preserve"> </w:t>
      </w:r>
      <w:r>
        <w:t xml:space="preserve">MAE 0.59–0.66). Error bars are 95% confidence intervals by bootstrap. Only the</w:t>
      </w:r>
      <w:r>
        <w:t xml:space="preserve"> </w:t>
      </w:r>
      <w:r>
        <w:t xml:space="preserve">most fragmented genomes (&lt;5 kb mean contig length) show a modest accuracy</w:t>
      </w:r>
      <w:r>
        <w:t xml:space="preserve"> </w:t>
      </w:r>
      <w:r>
        <w:t xml:space="preserve">degradation; typical MAG-level completeness/contamination variation has little</w:t>
      </w:r>
      <w:r>
        <w:t xml:space="preserve"> </w:t>
      </w:r>
      <w:r>
        <w:t xml:space="preserve">effect on ANI accuracy.</w:t>
      </w:r>
    </w:p>
    <w:bookmarkEnd w:id="12"/>
    <w:bookmarkStart w:id="13" w:name="X103d984b7b1b66b1ed5dd442b5fc71304f3b16a"/>
    <w:p>
      <w:pPr>
        <w:pStyle w:val="Heading2"/>
      </w:pPr>
      <w:r>
        <w:t xml:space="preserve">Supplementary Figure S5 — GC coverage ladder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paper/figures/supplementary/fig_s5_simulation_gc.png</w:t>
      </w:r>
      <w:r>
        <w:t xml:space="preserve">)</w:t>
      </w:r>
    </w:p>
    <w:p>
      <w:pPr>
        <w:pStyle w:val="BodyText"/>
      </w:pPr>
      <w:r>
        <w:t xml:space="preserve">Substitution ladders evolved on five real template genomes spanning GC</w:t>
      </w:r>
      <w:r>
        <w:t xml:space="preserve"> </w:t>
      </w:r>
      <w:r>
        <w:t xml:space="preserve">27.2–72.1%. Syn2bANI error is 0.074–0.356 ANI points and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monotone in</w:t>
      </w:r>
      <w:r>
        <w:t xml:space="preserve"> </w:t>
      </w:r>
      <w:r>
        <w:t xml:space="preserve">GC; the worst genome (</w:t>
      </w:r>
      <w:r>
        <w:rPr>
          <w:i/>
          <w:iCs/>
        </w:rPr>
        <w:t xml:space="preserve">B. longum</w:t>
      </w:r>
      <w:r>
        <w:t xml:space="preserve">, GC 60.1%) sits mid-range.</w:t>
      </w:r>
    </w:p>
    <w:bookmarkEnd w:id="13"/>
    <w:bookmarkStart w:id="14" w:name="X666e434bde45df385021466176a192bfa919e50"/>
    <w:p>
      <w:pPr>
        <w:pStyle w:val="Heading2"/>
      </w:pPr>
      <w:r>
        <w:t xml:space="preserve">Supplementary Figure S6 — Mosaic/rate-heterogeneity family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paper/figures/supplementary/fig_s6_simulation_mosaic.png</w:t>
      </w:r>
      <w:r>
        <w:t xml:space="preserve">)</w:t>
      </w:r>
    </w:p>
    <w:p>
      <w:pPr>
        <w:pStyle w:val="BodyText"/>
      </w:pPr>
      <w:r>
        <w:t xml:space="preserve">Per-block divergence rates sampled from Gamma(α, α) with α = 0.5/1/2 (mean</w:t>
      </w:r>
      <w:r>
        <w:t xml:space="preserve"> </w:t>
      </w:r>
      <w:r>
        <w:t xml:space="preserve">ANI 90–98) and deliberately misspecified bimodal 50/70%-core cases. The gamma</w:t>
      </w:r>
      <w:r>
        <w:t xml:space="preserve"> </w:t>
      </w:r>
      <w:r>
        <w:t xml:space="preserve">estimator reduces error relative to the uniform estimator (e.g., gamma MAE</w:t>
      </w:r>
      <w:r>
        <w:t xml:space="preserve"> </w:t>
      </w:r>
      <w:r>
        <w:t xml:space="preserve">1.35 vs uniform 2.75 on gamma regimes), but residual bias remains on bimodal</w:t>
      </w:r>
      <w:r>
        <w:t xml:space="preserve"> </w:t>
      </w:r>
      <w:r>
        <w:t xml:space="preserve">misspecification (gamma MAE 2.43 vs uniform 3.42), motivating the real-genome</w:t>
      </w:r>
      <w:r>
        <w:t xml:space="preserve"> </w:t>
      </w:r>
      <w:r>
        <w:t xml:space="preserve">ridge calibration of Results 2.5.</w:t>
      </w:r>
    </w:p>
    <w:bookmarkEnd w:id="14"/>
    <w:bookmarkStart w:id="15" w:name="Xc411bf5e54ec307f23dd8b9e5c1815c33f67f91"/>
    <w:p>
      <w:pPr>
        <w:pStyle w:val="Heading2"/>
      </w:pPr>
      <w:r>
        <w:t xml:space="preserve">Supplementary Figure S7 — Accuracy on 695 CAMI2 MAGs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paper/figures/supplementary/fig_s7_mag_validation.png</w:t>
      </w:r>
      <w:r>
        <w:t xml:space="preserve">)</w:t>
      </w:r>
    </w:p>
    <w:p>
      <w:pPr>
        <w:pStyle w:val="BodyText"/>
      </w:pPr>
      <w:r>
        <w:t xml:space="preserve">695 CAMI2 bins vs dnadiff ANIm truth (raw gated syn2bani; skani; FastANI).</w:t>
      </w:r>
      <w:r>
        <w:t xml:space="preserve"> </w:t>
      </w:r>
      <w:r>
        <w:t xml:space="preserve">(a) Syn2bANI raw gated estimate vs dnadiff ANIm truth, colored by contamination</w:t>
      </w:r>
      <w:r>
        <w:t xml:space="preserve"> </w:t>
      </w:r>
      <w:r>
        <w:t xml:space="preserve">class. (b) Absolute-error distributions by tool. (c) Syn2bANI error by CheckM2</w:t>
      </w:r>
      <w:r>
        <w:t xml:space="preserve"> </w:t>
      </w:r>
      <w:r>
        <w:t xml:space="preserve">quality tier.</w:t>
      </w:r>
    </w:p>
    <w:bookmarkEnd w:id="15"/>
    <w:bookmarkStart w:id="16" w:name="X395fcc4879aa2caa98aa8b4904a4197641f6244"/>
    <w:p>
      <w:pPr>
        <w:pStyle w:val="Heading2"/>
      </w:pPr>
      <w:r>
        <w:t xml:space="preserve">Supplementary Figure S8 — High-ANI isolate collections show extensive rearrangements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paper/figures/supplementary/fig_s8_syntracker_breakpoints.png</w:t>
      </w:r>
      <w:r>
        <w:t xml:space="preserve">)</w:t>
      </w:r>
    </w:p>
    <w:p>
      <w:pPr>
        <w:pStyle w:val="BodyText"/>
      </w:pPr>
      <w:r>
        <w:t xml:space="preserve">skani ANI versus Syn2bANI</w:t>
      </w:r>
      <w:r>
        <w:t xml:space="preserve"> </w:t>
      </w:r>
      <w:r>
        <w:rPr>
          <w:rStyle w:val="VerbatimChar"/>
        </w:rPr>
        <w:t xml:space="preserve">breakpoint_count</w:t>
      </w:r>
      <w:r>
        <w:t xml:space="preserve"> </w:t>
      </w:r>
      <w:r>
        <w:t xml:space="preserve">for four published near-clonal</w:t>
      </w:r>
      <w:r>
        <w:t xml:space="preserve"> </w:t>
      </w:r>
      <w:r>
        <w:t xml:space="preserve">isolate collections: (a)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hypermutator (253 pairs), (b)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(2,926 pairs), (c)</w:t>
      </w:r>
      <w:r>
        <w:t xml:space="preserve"> </w:t>
      </w:r>
      <w:r>
        <w:rPr>
          <w:i/>
          <w:iCs/>
        </w:rPr>
        <w:t xml:space="preserve">N. gonorrhoeae</w:t>
      </w:r>
      <w:r>
        <w:t xml:space="preserve"> </w:t>
      </w:r>
      <w:r>
        <w:t xml:space="preserve">(66 pairs), and (d)</w:t>
      </w:r>
      <w:r>
        <w:t xml:space="preserve"> </w:t>
      </w:r>
      <w:r>
        <w:rPr>
          <w:i/>
          <w:iCs/>
        </w:rPr>
        <w:t xml:space="preserve">S. rimosus</w:t>
      </w:r>
      <w:r>
        <w:t xml:space="preserve"> </w:t>
      </w:r>
      <w:r>
        <w:t xml:space="preserve">(190</w:t>
      </w:r>
      <w:r>
        <w:t xml:space="preserve"> </w:t>
      </w:r>
      <w:r>
        <w:t xml:space="preserve">pairs). In all four collections ANI is pinned near 100% while breakpoint counts</w:t>
      </w:r>
      <w:r>
        <w:t xml:space="preserve"> </w:t>
      </w:r>
      <w:r>
        <w:t xml:space="preserve">vary over orders of magnitude.</w:t>
      </w:r>
    </w:p>
    <w:bookmarkEnd w:id="16"/>
    <w:bookmarkStart w:id="17" w:name="X0901c4e02efe3f664fe55d0ba0a51784ec0ccd3"/>
    <w:p>
      <w:pPr>
        <w:pStyle w:val="Heading2"/>
      </w:pPr>
      <w:r>
        <w:t xml:space="preserve">Supplementary Figure S9 — High-ANI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O157:H7 pairs carry hundreds of breakpoints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paper/figures/supplementary/fig_s9_ecoli_o157_breakpoints.png</w:t>
      </w:r>
      <w:r>
        <w:t xml:space="preserve">)</w:t>
      </w:r>
    </w:p>
    <w:p>
      <w:pPr>
        <w:pStyle w:val="BodyText"/>
      </w:pPr>
      <w:r>
        <w:t xml:space="preserve">Seventy-four genomes from Fitzgerald et al. (2021), 2,701 non-self pairs.</w:t>
      </w:r>
      <w:r>
        <w:t xml:space="preserve"> </w:t>
      </w:r>
      <w:r>
        <w:t xml:space="preserve">(a) ANI vs breakpoint count colored by lineage (I/II, II, Ia, Ic). (b) Same</w:t>
      </w:r>
      <w:r>
        <w:t xml:space="preserve"> </w:t>
      </w:r>
      <w:r>
        <w:t xml:space="preserve">data colored by host category (bovine, human, other/unknown). All pairwise ANIs</w:t>
      </w:r>
      <w:r>
        <w:t xml:space="preserve"> </w:t>
      </w:r>
      <w:r>
        <w:t xml:space="preserve">exceed 99.886% yet breakpoints range from 171 to &gt;1,100.</w:t>
      </w:r>
    </w:p>
    <w:bookmarkEnd w:id="17"/>
    <w:bookmarkStart w:id="18" w:name="X3f3356e481db4642ed3127a5f0205142ae48f68"/>
    <w:p>
      <w:pPr>
        <w:pStyle w:val="Heading2"/>
      </w:pPr>
      <w:r>
        <w:t xml:space="preserve">Supplementary Figure S10 — High-ANI FDA-ARGOS</w:t>
      </w:r>
      <w:r>
        <w:t xml:space="preserve"> </w:t>
      </w:r>
      <w:r>
        <w:rPr>
          <w:i/>
          <w:iCs/>
        </w:rPr>
        <w:t xml:space="preserve">Staphylococcus aureus</w:t>
      </w:r>
      <w:r>
        <w:t xml:space="preserve"> </w:t>
      </w:r>
      <w:r>
        <w:t xml:space="preserve">pairs show wide breakpoint variation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paper/figures/supplementary/fig_s10_saureus_breakpoints.png</w:t>
      </w:r>
      <w:r>
        <w:t xml:space="preserve">)</w:t>
      </w:r>
    </w:p>
    <w:p>
      <w:pPr>
        <w:pStyle w:val="BodyText"/>
      </w:pPr>
      <w:r>
        <w:t xml:space="preserve">One hundred and twenty-two genomes, 7,381 refined pairs. (a) ANI vs breakpoint</w:t>
      </w:r>
      <w:r>
        <w:t xml:space="preserve"> </w:t>
      </w:r>
      <w:r>
        <w:t xml:space="preserve">count colored by country. (b) ANI vs breakpoint count colored by isolation</w:t>
      </w:r>
      <w:r>
        <w:t xml:space="preserve"> </w:t>
      </w:r>
      <w:r>
        <w:t xml:space="preserve">source. Pairs at 100% ANI still carry &gt;150 breakpoints.</w:t>
      </w:r>
    </w:p>
    <w:bookmarkEnd w:id="18"/>
    <w:bookmarkStart w:id="19" w:name="X96c66ff84af8c6054de30314d30f5f9915940f7"/>
    <w:p>
      <w:pPr>
        <w:pStyle w:val="Heading2"/>
      </w:pPr>
      <w:r>
        <w:t xml:space="preserve">Supplementary Figure S11 — cagPAI extended state by country and phylogenetic population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paper/figures/supplementary/fig_s11_cagpai_country_population.png</w:t>
      </w:r>
      <w:r>
        <w:t xml:space="preserve">)</w:t>
      </w:r>
    </w:p>
    <w:p>
      <w:pPr>
        <w:pStyle w:val="BodyText"/>
      </w:pPr>
      <w:r>
        <w:t xml:space="preserve">Stacked-bar distribution of extended cagPAI states (after circular-origin</w:t>
      </w:r>
      <w:r>
        <w:t xml:space="preserve"> </w:t>
      </w:r>
      <w:r>
        <w:t xml:space="preserve">filtering) across countries of isolation and phylogenetic population for the</w:t>
      </w:r>
      <w:r>
        <w:t xml:space="preserve"> </w:t>
      </w:r>
      <w:r>
        <w:t xml:space="preserve">528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cohort genomes.</w:t>
      </w:r>
    </w:p>
    <w:bookmarkEnd w:id="19"/>
    <w:bookmarkStart w:id="20" w:name="X036b523739c3c15f73a1dc39e49b0c2d1a11095"/>
    <w:p>
      <w:pPr>
        <w:pStyle w:val="Heading2"/>
      </w:pPr>
      <w:r>
        <w:t xml:space="preserve">Supplementary Figure S12 — Circular-origin artifact filtering and sensitivity in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cagPAI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paper/figures/supplementary/fig_s12_circular_origin_filtering.png</w:t>
      </w:r>
      <w:r>
        <w:t xml:space="preserve">)</w:t>
      </w:r>
    </w:p>
    <w:p>
      <w:pPr>
        <w:pStyle w:val="BodyText"/>
      </w:pPr>
      <w:r>
        <w:t xml:space="preserve">(a, b) Before and after counts of the four extended cagPAI states. Filtering</w:t>
      </w:r>
      <w:r>
        <w:t xml:space="preserve"> </w:t>
      </w:r>
      <w:r>
        <w:t xml:space="preserve">reclassifies 133 complete-marker genomes from</w:t>
      </w:r>
      <w:r>
        <w:t xml:space="preserve"> </w:t>
      </w:r>
      <w:r>
        <w:rPr>
          <w:rStyle w:val="VerbatimChar"/>
        </w:rPr>
        <w:t xml:space="preserve">complete_rearranged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complete_collinear</w:t>
      </w:r>
      <w:r>
        <w:t xml:space="preserve"> </w:t>
      </w:r>
      <w:r>
        <w:t xml:space="preserve">because their only cagPAI-overlapping SV is a</w:t>
      </w:r>
      <w:r>
        <w:t xml:space="preserve"> </w:t>
      </w:r>
      <w:r>
        <w:t xml:space="preserve">genome-spanning call consistent with a different arbitrary start coordinate on</w:t>
      </w:r>
      <w:r>
        <w:t xml:space="preserve"> </w:t>
      </w:r>
      <w:r>
        <w:t xml:space="preserve">the circular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chromosome. (c) Number of</w:t>
      </w:r>
      <w:r>
        <w:t xml:space="preserve"> </w:t>
      </w:r>
      <w:r>
        <w:rPr>
          <w:rStyle w:val="VerbatimChar"/>
        </w:rPr>
        <w:t xml:space="preserve">complete_rearranged</w:t>
      </w:r>
      <w:r>
        <w:t xml:space="preserve"> </w:t>
      </w:r>
      <w:r>
        <w:t xml:space="preserve">genomes</w:t>
      </w:r>
      <w:r>
        <w:t xml:space="preserve"> </w:t>
      </w:r>
      <w:r>
        <w:t xml:space="preserve">and number of excluded calls as a function of the artifact-span threshold.</w:t>
      </w:r>
      <w:r>
        <w:t xml:space="preserve"> </w:t>
      </w:r>
      <w:r>
        <w:t xml:space="preserve">(d) Crude association p-value for cagPAI rearrangement (GC vs NAG) across the</w:t>
      </w:r>
      <w:r>
        <w:t xml:space="preserve"> </w:t>
      </w:r>
      <w:r>
        <w:t xml:space="preserve">same threshold range; the association remains non-significant throughout.</w:t>
      </w:r>
      <w:r>
        <w:t xml:space="preserve"> </w:t>
      </w:r>
      <w:r>
        <w:t xml:space="preserve">Source data:</w:t>
      </w:r>
      <w:r>
        <w:t xml:space="preserve"> </w:t>
      </w:r>
      <w:r>
        <w:rPr>
          <w:rStyle w:val="VerbatimChar"/>
        </w:rPr>
        <w:t xml:space="preserve">case_studies/h_pylori_cagpai/results/cagpai_artifact_threshold_sensitivity.tsv</w:t>
      </w:r>
      <w:r>
        <w:t xml:space="preserve">.</w:t>
      </w:r>
    </w:p>
    <w:bookmarkEnd w:id="20"/>
    <w:bookmarkStart w:id="21" w:name="X9bcd9681cf91de330db65b00bbd2ec37b4121ea"/>
    <w:p>
      <w:pPr>
        <w:pStyle w:val="Heading2"/>
      </w:pPr>
      <w:r>
        <w:t xml:space="preserve">Supplementary Figure S13 — Lineage-stratified association forest plot for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metadata tests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case_studies/h_pylori_cagpai/results/metadata_assoc/fig_forest_stratified.png</w:t>
      </w:r>
      <w:r>
        <w:t xml:space="preserve">)</w:t>
      </w:r>
    </w:p>
    <w:p>
      <w:pPr>
        <w:pStyle w:val="BodyText"/>
      </w:pPr>
      <w:r>
        <w:t xml:space="preserve">Crude (circle) and FastBAPS-lineage-stratified Mantel–Haenszel (triangle) odds</w:t>
      </w:r>
      <w:r>
        <w:t xml:space="preserve"> </w:t>
      </w:r>
      <w:r>
        <w:t xml:space="preserve">ratios with 95% CIs for the headline association tests: cagPAI presence vs cagA</w:t>
      </w:r>
      <w:r>
        <w:t xml:space="preserve"> </w:t>
      </w:r>
      <w:r>
        <w:t xml:space="preserve">detection and vacA s1/i1/m1 (top, strong and lineage-robust), and SV burden vs</w:t>
      </w:r>
      <w:r>
        <w:t xml:space="preserve"> </w:t>
      </w:r>
      <w:r>
        <w:t xml:space="preserve">macrolide resistance (bottom, crude OR ≈ 2.8 collapsing to ≈ 1.3 after</w:t>
      </w:r>
      <w:r>
        <w:t xml:space="preserve"> </w:t>
      </w:r>
      <w:r>
        <w:t xml:space="preserve">stratification). The macrolide rows straddle OR = 1, visually demonstrating the</w:t>
      </w:r>
      <w:r>
        <w:t xml:space="preserve"> </w:t>
      </w:r>
      <w:r>
        <w:t xml:space="preserve">lineage confounding described in the main text.</w:t>
      </w:r>
      <w:r>
        <w:t xml:space="preserve"> </w:t>
      </w:r>
      <w:r>
        <w:t xml:space="preserve">Source data:</w:t>
      </w:r>
      <w:r>
        <w:t xml:space="preserve"> </w:t>
      </w:r>
      <w:r>
        <w:rPr>
          <w:rStyle w:val="VerbatimChar"/>
        </w:rPr>
        <w:t xml:space="preserve">case_studies/h_pylori_cagpai/results/metadata_assoc/association_tests.tsv</w:t>
      </w:r>
      <w:r>
        <w:t xml:space="preserve">.</w:t>
      </w:r>
    </w:p>
    <w:bookmarkEnd w:id="21"/>
    <w:bookmarkStart w:id="22" w:name="Xf729203a1f7ffd593b851fb59401cac653d2b5a"/>
    <w:p>
      <w:pPr>
        <w:pStyle w:val="Heading2"/>
      </w:pPr>
      <w:r>
        <w:t xml:space="preserve">Supplementary Figure S14 — Orientation artifact in undirected all-vs-all inversion calling and its correction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paper/figures/supplementary/fig_s14_closed_genome_inversion.png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Distribution of the reference-oriented raw inverted fraction (computed with</w:t>
      </w:r>
      <w:r>
        <w:t xml:space="preserve"> </w:t>
      </w:r>
      <w:r>
        <w:t xml:space="preserve">the companion Syn2b implementation of the same length-weighted orientation</w:t>
      </w:r>
      <w:r>
        <w:t xml:space="preserve"> </w:t>
      </w:r>
      <w:r>
        <w:t xml:space="preserve">ratio) across 61,537</w:t>
      </w:r>
      <w:r>
        <w:t xml:space="preserve"> </w:t>
      </w:r>
      <w:r>
        <w:t xml:space="preserve">same-species genome pairs from 701 near-complete GTDB-R207 genomes; the median</w:t>
      </w:r>
      <w:r>
        <w:t xml:space="preserve"> </w:t>
      </w:r>
      <w:r>
        <w:t xml:space="preserve">of 0.3595 and q90 of 0.9291 are biologically implausible, and 38.9% of pairs</w:t>
      </w:r>
      <w:r>
        <w:t xml:space="preserve"> </w:t>
      </w:r>
      <w:r>
        <w:t xml:space="preserve">have raw &gt; 0.5 (shaded region) because the two assemblies are arbitrarily</w:t>
      </w:r>
      <w:r>
        <w:t xml:space="preserve"> </w:t>
      </w:r>
      <w:r>
        <w:t xml:space="preserve">oriented with respect to each other, scoring entire chromosomes as inverted.</w:t>
      </w:r>
    </w:p>
    <w:p>
      <w:pPr>
        <w:pStyle w:val="Compact"/>
        <w:numPr>
          <w:ilvl w:val="0"/>
          <w:numId w:val="1001"/>
        </w:numPr>
      </w:pPr>
      <w:r>
        <w:t xml:space="preserve">The corrected metric, defined as min(raw, 1 − raw), is bounded at 0.5 with a</w:t>
      </w:r>
      <w:r>
        <w:t xml:space="preserve"> </w:t>
      </w:r>
      <w:r>
        <w:t xml:space="preserve">median of 0.1837. (c) Corrected versus raw values for all pairs: 61.1% of pairs</w:t>
      </w:r>
      <w:r>
        <w:t xml:space="preserve"> </w:t>
      </w:r>
      <w:r>
        <w:t xml:space="preserve">lie on the identity arm (corrected = raw) and 38.9% on the mirror arm</w:t>
      </w:r>
      <w:r>
        <w:t xml:space="preserve"> </w:t>
      </w:r>
      <w:r>
        <w:t xml:space="preserve">(corrected = 1 − raw). The raw column is meaningful in fixed-reference mode,</w:t>
      </w:r>
      <w:r>
        <w:t xml:space="preserve"> </w:t>
      </w:r>
      <w:r>
        <w:t xml:space="preserve">where it corresponds directly to the dnadiff inverted-alignment fraction;</w:t>
      </w:r>
      <w:r>
        <w:t xml:space="preserve"> </w:t>
      </w:r>
      <w:r>
        <w:t xml:space="preserve">undirected all-vs-all analyses should use the corrected column, and circular</w:t>
      </w:r>
      <w:r>
        <w:t xml:space="preserve"> </w:t>
      </w:r>
      <w:r>
        <w:t xml:space="preserve">chromosomes should additionally be normalized to a common origin before</w:t>
      </w:r>
      <w:r>
        <w:t xml:space="preserve"> </w:t>
      </w:r>
      <w:r>
        <w:t xml:space="preserve">comparison.</w:t>
      </w:r>
      <w:r>
        <w:t xml:space="preserve"> </w:t>
      </w:r>
      <w:r>
        <w:t xml:space="preserve">Source data:</w:t>
      </w:r>
      <w:r>
        <w:t xml:space="preserve"> </w:t>
      </w:r>
      <w:r>
        <w:rPr>
          <w:rStyle w:val="VerbatimChar"/>
        </w:rPr>
        <w:t xml:space="preserve">results/gtdb50k/syn2b_inverted_fraction_closed.tsv</w:t>
      </w:r>
      <w:r>
        <w:t xml:space="preserve">; diagnostic</w:t>
      </w:r>
      <w:r>
        <w:t xml:space="preserve"> </w:t>
      </w:r>
      <w:r>
        <w:t xml:space="preserve">report:</w:t>
      </w:r>
      <w:r>
        <w:t xml:space="preserve"> </w:t>
      </w:r>
      <w:r>
        <w:rPr>
          <w:rStyle w:val="VerbatimChar"/>
        </w:rPr>
        <w:t xml:space="preserve">results/gtdb50k/CLOSED_INVERSION_DIAGNOSTIC_REPORT.md</w:t>
      </w:r>
      <w:r>
        <w:t xml:space="preserve">.</w:t>
      </w:r>
    </w:p>
    <w:bookmarkEnd w:id="22"/>
    <w:bookmarkStart w:id="23" w:name="Xb79c9bf020a903d02af45c43b651fa33d5c8e03"/>
    <w:p>
      <w:pPr>
        <w:pStyle w:val="Heading2"/>
      </w:pPr>
      <w:r>
        <w:t xml:space="preserve">Supplementary Table S1 — MAG accuracy by CheckM2 quality tier</w:t>
      </w:r>
    </w:p>
    <w:p>
      <w:pPr>
        <w:pStyle w:val="FirstParagraph"/>
      </w:pPr>
      <w:r>
        <w:t xml:space="preserve">695 CAMI2 bins vs dnadiff ANIm truth (raw gated syn2bani; skani; FastANI).</w:t>
      </w:r>
      <w:r>
        <w:t xml:space="preserve"> </w:t>
      </w:r>
      <w:r>
        <w:t xml:space="preserve">Full per-group metrics:</w:t>
      </w:r>
      <w:r>
        <w:t xml:space="preserve"> </w:t>
      </w:r>
      <w:r>
        <w:rPr>
          <w:rStyle w:val="VerbatimChar"/>
        </w:rPr>
        <w:t xml:space="preserve">results/mag_validation/MAG_METRICS.tsv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syn2bani MAE</w:t>
            </w:r>
          </w:p>
        </w:tc>
        <w:tc>
          <w:tcPr/>
          <w:p>
            <w:pPr>
              <w:pStyle w:val="Compact"/>
            </w:pPr>
            <w:r>
              <w:t xml:space="preserve">skani MAE</w:t>
            </w:r>
          </w:p>
        </w:tc>
        <w:tc>
          <w:tcPr/>
          <w:p>
            <w:pPr>
              <w:pStyle w:val="Compact"/>
            </w:pPr>
            <w:r>
              <w:t xml:space="preserve">FastANI MAE</w:t>
            </w:r>
          </w:p>
        </w:tc>
        <w:tc>
          <w:tcPr/>
          <w:p>
            <w:pPr>
              <w:pStyle w:val="Compact"/>
            </w:pPr>
            <w:r>
              <w:t xml:space="preserve">syn2bani within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LQ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</w:tr>
    </w:tbl>
    <w:bookmarkEnd w:id="23"/>
    <w:bookmarkStart w:id="24" w:name="X1d1a5b89358b225a547ea735bc71b43678427f8"/>
    <w:p>
      <w:pPr>
        <w:pStyle w:val="Heading2"/>
      </w:pPr>
      <w:r>
        <w:t xml:space="preserve">Supplementary Table S2 — MAG accuracy by contamination class</w:t>
      </w:r>
    </w:p>
    <w:p>
      <w:pPr>
        <w:pStyle w:val="FirstParagraph"/>
      </w:pPr>
      <w:r>
        <w:t xml:space="preserve">Class from CAMI2 ground-truth contig assignment (clean 305 / strain-mixed</w:t>
      </w:r>
      <w:r>
        <w:t xml:space="preserve"> </w:t>
      </w:r>
      <w:r>
        <w:t xml:space="preserve">253 / cross-species 137).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syn2bani MAE</w:t>
            </w:r>
          </w:p>
        </w:tc>
        <w:tc>
          <w:tcPr/>
          <w:p>
            <w:pPr>
              <w:pStyle w:val="Compact"/>
            </w:pPr>
            <w:r>
              <w:t xml:space="preserve">syn2bani bias</w:t>
            </w:r>
          </w:p>
        </w:tc>
        <w:tc>
          <w:tcPr/>
          <w:p>
            <w:pPr>
              <w:pStyle w:val="Compact"/>
            </w:pPr>
            <w:r>
              <w:t xml:space="preserve">skani MAE</w:t>
            </w:r>
          </w:p>
        </w:tc>
        <w:tc>
          <w:tcPr/>
          <w:p>
            <w:pPr>
              <w:pStyle w:val="Compact"/>
            </w:pPr>
            <w:r>
              <w:t xml:space="preserve">FastANI MAE</w:t>
            </w:r>
          </w:p>
        </w:tc>
        <w:tc>
          <w:tcPr/>
          <w:p>
            <w:pPr>
              <w:pStyle w:val="Compact"/>
            </w:pPr>
            <w:r>
              <w:t xml:space="preserve">FastANI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+0.083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+0.044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strain-mixed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+0.159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−0.081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cross-species</w:t>
            </w:r>
          </w:p>
        </w:tc>
        <w:tc>
          <w:tcPr/>
          <w:p>
            <w:pPr>
              <w:pStyle w:val="Compact"/>
            </w:pPr>
            <w:r>
              <w:t xml:space="preserve">0.326</w:t>
            </w:r>
          </w:p>
        </w:tc>
        <w:tc>
          <w:tcPr/>
          <w:p>
            <w:pPr>
              <w:pStyle w:val="Compact"/>
            </w:pPr>
            <w:r>
              <w:t xml:space="preserve">+0.314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  <w:r>
              <w:t xml:space="preserve">0.656</w:t>
            </w:r>
          </w:p>
        </w:tc>
        <w:tc>
          <w:tcPr/>
          <w:p>
            <w:pPr>
              <w:pStyle w:val="Compact"/>
            </w:pPr>
            <w:r>
              <w:t xml:space="preserve">−0.605</w:t>
            </w:r>
          </w:p>
        </w:tc>
      </w:tr>
    </w:tbl>
    <w:bookmarkEnd w:id="24"/>
    <w:bookmarkStart w:id="25" w:name="X791b5905c3cbd3b80da6a27b4633a9dc2eda705"/>
    <w:p>
      <w:pPr>
        <w:pStyle w:val="Heading2"/>
      </w:pPr>
      <w:r>
        <w:t xml:space="preserve">Supplementary Table S3 — MAG accuracy by dnadiff alignment-fraction tier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 tier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syn2bani MAE</w:t>
            </w:r>
          </w:p>
        </w:tc>
        <w:tc>
          <w:tcPr/>
          <w:p>
            <w:pPr>
              <w:pStyle w:val="Compact"/>
            </w:pPr>
            <w:r>
              <w:t xml:space="preserve">syn2bani within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(≥ 60%)</w:t>
            </w:r>
          </w:p>
        </w:tc>
        <w:tc>
          <w:tcPr/>
          <w:p>
            <w:pPr>
              <w:pStyle w:val="Compact"/>
            </w:pPr>
            <w:r>
              <w:t xml:space="preserve">638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low-AF (30–60%)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72.5%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verylow-AF (&lt; 30%)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52.9%</w:t>
            </w:r>
          </w:p>
        </w:tc>
      </w:tr>
    </w:tbl>
    <w:bookmarkEnd w:id="25"/>
    <w:bookmarkStart w:id="26" w:name="X71ce6833d789d49d6251da69c06300f4d632d80"/>
    <w:p>
      <w:pPr>
        <w:pStyle w:val="Heading2"/>
      </w:pPr>
      <w:r>
        <w:t xml:space="preserve">Supplementary Table S4 — Crude and lineage-stratified cagPAI–disease associations</w:t>
      </w:r>
    </w:p>
    <w:p>
      <w:pPr>
        <w:pStyle w:val="FirstParagraph"/>
      </w:pPr>
      <w:r>
        <w:t xml:space="preserve">Five hundred and twenty-eight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isolates from Song et al. (2026) were</w:t>
      </w:r>
      <w:r>
        <w:t xml:space="preserve"> </w:t>
      </w:r>
      <w:r>
        <w:t xml:space="preserve">classified into extended cagPAI states after circular-origin filtering (empty</w:t>
      </w:r>
      <w:r>
        <w:t xml:space="preserve"> </w:t>
      </w:r>
      <w:r>
        <w:t xml:space="preserve">85, partial 11, complete_collinear 145, complete_rearranged 287). The raw</w:t>
      </w:r>
      <w:r>
        <w:t xml:space="preserve"> </w:t>
      </w:r>
      <w:r>
        <w:t xml:space="preserve">Pearson χ² test for disease stage is significant (χ² = 24.60, df = 9, p = 0.0034),</w:t>
      </w:r>
      <w:r>
        <w:t xml:space="preserve"> </w:t>
      </w:r>
      <w:r>
        <w:t xml:space="preserve">but the association is confounded by FastBAPS lineage. The table below reports</w:t>
      </w:r>
      <w:r>
        <w:t xml:space="preserve"> </w:t>
      </w:r>
      <w:r>
        <w:t xml:space="preserve">crude odds ratios (Woolf 95% CI), χ² p-values, Cochran–Mantel–Haenszel (CMH)</w:t>
      </w:r>
      <w:r>
        <w:t xml:space="preserve"> </w:t>
      </w:r>
      <w:r>
        <w:t xml:space="preserve">p-values and Mantel–Haenszel odds ratios, and Breslow–Day tests of homogeneity</w:t>
      </w:r>
      <w:r>
        <w:t xml:space="preserve"> </w:t>
      </w:r>
      <w:r>
        <w:t xml:space="preserve">across FastBAPS strata.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736"/>
        <w:gridCol w:w="552"/>
        <w:gridCol w:w="552"/>
        <w:gridCol w:w="552"/>
        <w:gridCol w:w="552"/>
        <w:gridCol w:w="736"/>
        <w:gridCol w:w="736"/>
        <w:gridCol w:w="736"/>
        <w:gridCol w:w="736"/>
        <w:gridCol w:w="736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crude OR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crude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CMH χ²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CMH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OR_MH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Breslow–Day 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presence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GC</w:t>
            </w:r>
          </w:p>
        </w:tc>
        <w:tc>
          <w:tcPr/>
          <w:p>
            <w:pPr>
              <w:pStyle w:val="Compact"/>
            </w:pPr>
            <w:r>
              <w:t xml:space="preserve">NAG</w:t>
            </w:r>
          </w:p>
        </w:tc>
        <w:tc>
          <w:tcPr/>
          <w:p>
            <w:pPr>
              <w:pStyle w:val="Compact"/>
            </w:pPr>
            <w:r>
              <w:t xml:space="preserve">complete vs empty/partial</w:t>
            </w:r>
          </w:p>
        </w:tc>
        <w:tc>
          <w:tcPr/>
          <w:p>
            <w:pPr>
              <w:pStyle w:val="Compact"/>
            </w:pPr>
            <w:r>
              <w:t xml:space="preserve">2.16 (1.13–4.13)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rearrangement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GC</w:t>
            </w:r>
          </w:p>
        </w:tc>
        <w:tc>
          <w:tcPr/>
          <w:p>
            <w:pPr>
              <w:pStyle w:val="Compact"/>
            </w:pPr>
            <w:r>
              <w:t xml:space="preserve">NAG</w:t>
            </w:r>
          </w:p>
        </w:tc>
        <w:tc>
          <w:tcPr/>
          <w:p>
            <w:pPr>
              <w:pStyle w:val="Compact"/>
            </w:pPr>
            <w:r>
              <w:t xml:space="preserve">complete_rearranged vs complete_collinear</w:t>
            </w:r>
          </w:p>
        </w:tc>
        <w:tc>
          <w:tcPr/>
          <w:p>
            <w:pPr>
              <w:pStyle w:val="Compact"/>
            </w:pPr>
            <w:r>
              <w:t xml:space="preserve">1.11 (0.64–1.93)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presence (advanced vs early)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GC/IM</w:t>
            </w:r>
          </w:p>
        </w:tc>
        <w:tc>
          <w:tcPr/>
          <w:p>
            <w:pPr>
              <w:pStyle w:val="Compact"/>
            </w:pPr>
            <w:r>
              <w:t xml:space="preserve">AG/NAG</w:t>
            </w:r>
          </w:p>
        </w:tc>
        <w:tc>
          <w:tcPr/>
          <w:p>
            <w:pPr>
              <w:pStyle w:val="Compact"/>
            </w:pPr>
            <w:r>
              <w:t xml:space="preserve">complete vs empty/partial</w:t>
            </w:r>
          </w:p>
        </w:tc>
        <w:tc>
          <w:tcPr/>
          <w:p>
            <w:pPr>
              <w:pStyle w:val="Compact"/>
            </w:pPr>
            <w:r>
              <w:t xml:space="preserve">1.14 (0.73–1.78)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rearrangement (advanced vs early)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GC/IM</w:t>
            </w:r>
          </w:p>
        </w:tc>
        <w:tc>
          <w:tcPr/>
          <w:p>
            <w:pPr>
              <w:pStyle w:val="Compact"/>
            </w:pPr>
            <w:r>
              <w:t xml:space="preserve">AG/NAG</w:t>
            </w:r>
          </w:p>
        </w:tc>
        <w:tc>
          <w:tcPr/>
          <w:p>
            <w:pPr>
              <w:pStyle w:val="Compact"/>
            </w:pPr>
            <w:r>
              <w:t xml:space="preserve">complete_rearranged vs complete_collinear</w:t>
            </w:r>
          </w:p>
        </w:tc>
        <w:tc>
          <w:tcPr/>
          <w:p>
            <w:pPr>
              <w:pStyle w:val="Compact"/>
            </w:pPr>
            <w:r>
              <w:t xml:space="preserve">1.02 (0.68–1.52)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the first contrast (presence, GC vs NAG) showed a nominally significant</w:t>
      </w:r>
      <w:r>
        <w:t xml:space="preserve"> </w:t>
      </w:r>
      <w:r>
        <w:t xml:space="preserve">crude association. After FastBAPS stratification the CMH p-value is 0.12 and the</w:t>
      </w:r>
      <w:r>
        <w:t xml:space="preserve"> </w:t>
      </w:r>
      <w:r>
        <w:t xml:space="preserve">Mantel–Haenszel OR is 1.70. The Breslow–Day test is significant (p = 0.005),</w:t>
      </w:r>
      <w:r>
        <w:t xml:space="preserve"> </w:t>
      </w:r>
      <w:r>
        <w:t xml:space="preserve">indicating that the OR is heterogeneous across lineages. The other three</w:t>
      </w:r>
      <w:r>
        <w:t xml:space="preserve"> </w:t>
      </w:r>
      <w:r>
        <w:t xml:space="preserve">contrasts were not significant even in the crude analysis. Discordant-cell</w:t>
      </w:r>
      <w:r>
        <w:t xml:space="preserve"> </w:t>
      </w:r>
      <w:r>
        <w:t xml:space="preserve">counts are small: only 15 cagPAI-negative gastric-cancer genomes exist across</w:t>
      </w:r>
      <w:r>
        <w:t xml:space="preserve"> </w:t>
      </w:r>
      <w:r>
        <w:t xml:space="preserve">the whole cohort, distributed as 4 / 9 / 1 / 1 / 0 across FastBAPS L2–L6. Thus</w:t>
      </w:r>
      <w:r>
        <w:t xml:space="preserve"> </w:t>
      </w:r>
      <w:r>
        <w:t xml:space="preserve">the presence association is attenuated but not abolished by lineage</w:t>
      </w:r>
      <w:r>
        <w:t xml:space="preserve"> </w:t>
      </w:r>
      <w:r>
        <w:t xml:space="preserve">stratification, and the current design is under-powered to resolve it.</w:t>
      </w:r>
    </w:p>
    <w:p>
      <w:pPr>
        <w:pStyle w:val="BodyText"/>
      </w:pPr>
      <w:r>
        <w:t xml:space="preserve">Rearrangement-state associations were also evaluated across artifact-span</w:t>
      </w:r>
      <w:r>
        <w:t xml:space="preserve"> </w:t>
      </w:r>
      <w:r>
        <w:t xml:space="preserve">thresholds from 0.20 to 0.50; p-values remained non-significant throughout</w:t>
      </w:r>
      <w:r>
        <w:t xml:space="preserve"> </w:t>
      </w:r>
      <w:r>
        <w:t xml:space="preserve">(</w:t>
      </w:r>
      <w:r>
        <w:rPr>
          <w:rStyle w:val="VerbatimChar"/>
        </w:rPr>
        <w:t xml:space="preserve">case_studies/h_pylori_cagpai/results/cagpai_artifact_threshold_sensitivity.tsv</w:t>
      </w:r>
      <w:r>
        <w:t xml:space="preserve">).</w:t>
      </w:r>
      <w:r>
        <w:t xml:space="preserve"> </w:t>
      </w:r>
      <w:r>
        <w:t xml:space="preserve">Full per-stratum counts and CMH diagnostics:</w:t>
      </w:r>
      <w:r>
        <w:t xml:space="preserve"> </w:t>
      </w:r>
      <w:r>
        <w:rPr>
          <w:rStyle w:val="VerbatimChar"/>
        </w:rPr>
        <w:t xml:space="preserve">case_studies/h_pylori_cagpai/results/cagpai_association_crude_and_stratified.tsv</w:t>
      </w:r>
      <w:r>
        <w:t xml:space="preserve">.</w:t>
      </w:r>
    </w:p>
    <w:bookmarkEnd w:id="26"/>
    <w:bookmarkStart w:id="27" w:name="X0ddedd77d100d0b74814f89ea378e8d5927a82e"/>
    <w:p>
      <w:pPr>
        <w:pStyle w:val="Heading2"/>
      </w:pPr>
      <w:r>
        <w:t xml:space="preserve">Supplementary Table S5 — cagPAI cross-validation against independent cagA/vacA typing and SV–resistance associations</w:t>
      </w:r>
    </w:p>
    <w:p>
      <w:pPr>
        <w:pStyle w:val="FirstParagraph"/>
      </w:pPr>
      <w:r>
        <w:t xml:space="preserve">Five hundred and twenty-eight isolates were merged with collaborator-generated</w:t>
      </w:r>
      <w:r>
        <w:t xml:space="preserve"> </w:t>
      </w:r>
      <w:r>
        <w:t xml:space="preserve">metadata (cagA detection with EPIYA genotyping and genome-level rescue, vacA</w:t>
      </w:r>
      <w:r>
        <w:t xml:space="preserve"> </w:t>
      </w:r>
      <w:r>
        <w:t xml:space="preserve">s/i/m typing, CARD resistance hits; merge losses: none). Crude odds ratios</w:t>
      </w:r>
      <w:r>
        <w:t xml:space="preserve"> </w:t>
      </w:r>
      <w:r>
        <w:t xml:space="preserve">(Woolf 95% CI), Fisher p, Cochran–Mantel–Haenszel (CMH) stratified OR and</w:t>
      </w:r>
      <w:r>
        <w:t xml:space="preserve"> </w:t>
      </w:r>
      <w:r>
        <w:t xml:space="preserve">p, Breslow–Day homogeneity (B–D p), and Benjamini–Hochberg q across the</w:t>
      </w:r>
      <w:r>
        <w:t xml:space="preserve"> </w:t>
      </w:r>
      <w:r>
        <w:t xml:space="preserve">executed test family are shown; q ≈ 0 denotes underflow.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792"/>
        <w:gridCol w:w="792"/>
        <w:gridCol w:w="792"/>
        <w:gridCol w:w="792"/>
        <w:gridCol w:w="792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crude OR (95% CI)</w:t>
            </w:r>
          </w:p>
        </w:tc>
        <w:tc>
          <w:tcPr/>
          <w:p>
            <w:pPr>
              <w:pStyle w:val="Compact"/>
            </w:pPr>
            <w:r>
              <w:t xml:space="preserve">crude p</w:t>
            </w:r>
          </w:p>
        </w:tc>
        <w:tc>
          <w:tcPr/>
          <w:p>
            <w:pPr>
              <w:pStyle w:val="Compact"/>
            </w:pPr>
            <w:r>
              <w:t xml:space="preserve">stratified OR (95% CI)</w:t>
            </w:r>
          </w:p>
        </w:tc>
        <w:tc>
          <w:tcPr/>
          <w:p>
            <w:pPr>
              <w:pStyle w:val="Compact"/>
            </w:pPr>
            <w:r>
              <w:t xml:space="preserve">CMH p</w:t>
            </w:r>
          </w:p>
        </w:tc>
        <w:tc>
          <w:tcPr/>
          <w:p>
            <w:pPr>
              <w:pStyle w:val="Compact"/>
            </w:pPr>
            <w:r>
              <w:t xml:space="preserve">B–D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cagA detected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</w:t>
            </w:r>
          </w:p>
        </w:tc>
        <w:tc>
          <w:tcPr/>
          <w:p>
            <w:pPr>
              <w:pStyle w:val="Compact"/>
            </w:pPr>
            <w:r>
              <w:t xml:space="preserve">782.9 (179.2–3420.8)</w:t>
            </w:r>
          </w:p>
        </w:tc>
        <w:tc>
          <w:tcPr/>
          <w:p>
            <w:pPr>
              <w:pStyle w:val="Compact"/>
            </w:pPr>
            <w:r>
              <w:t xml:space="preserve">7.2 × 10⁻⁶⁸</w:t>
            </w:r>
          </w:p>
        </w:tc>
        <w:tc>
          <w:tcPr/>
          <w:p>
            <w:pPr>
              <w:pStyle w:val="Compact"/>
            </w:pPr>
            <w:r>
              <w:t xml:space="preserve">3986 (263.3–60342.6)</w:t>
            </w:r>
          </w:p>
        </w:tc>
        <w:tc>
          <w:tcPr/>
          <w:p>
            <w:pPr>
              <w:pStyle w:val="Compact"/>
            </w:pPr>
            <w:r>
              <w:t xml:space="preserve">&lt; 10⁻¹⁶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cagA EPIYA genotype (4-level)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0.515 (χ²)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vacA 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tcPr/>
          <w:p>
            <w:pPr>
              <w:pStyle w:val="Compact"/>
            </w:pPr>
            <w:r>
              <w:t xml:space="preserve">556.1 (74.0–4180.4)</w:t>
            </w:r>
          </w:p>
        </w:tc>
        <w:tc>
          <w:tcPr/>
          <w:p>
            <w:pPr>
              <w:pStyle w:val="Compact"/>
            </w:pPr>
            <w:r>
              <w:t xml:space="preserve">1.4 × 10⁻³⁹</w:t>
            </w:r>
          </w:p>
        </w:tc>
        <w:tc>
          <w:tcPr/>
          <w:p>
            <w:pPr>
              <w:pStyle w:val="Compact"/>
            </w:pPr>
            <w:r>
              <w:t xml:space="preserve">510.9 (74.1–3520.8)</w:t>
            </w:r>
          </w:p>
        </w:tc>
        <w:tc>
          <w:tcPr/>
          <w:p>
            <w:pPr>
              <w:pStyle w:val="Compact"/>
            </w:pPr>
            <w:r>
              <w:t xml:space="preserve">&lt; 10⁻¹⁶</w:t>
            </w:r>
          </w:p>
        </w:tc>
        <w:tc>
          <w:tcPr/>
          <w:p>
            <w:pPr>
              <w:pStyle w:val="Compact"/>
            </w:pPr>
            <w:r>
              <w:t xml:space="preserve">1 × 10⁻⁶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vacA i1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</w:t>
            </w:r>
          </w:p>
        </w:tc>
        <w:tc>
          <w:tcPr/>
          <w:p>
            <w:pPr>
              <w:pStyle w:val="Compact"/>
            </w:pPr>
            <w:r>
              <w:t xml:space="preserve">38.0 (19.6–73.7)</w:t>
            </w:r>
          </w:p>
        </w:tc>
        <w:tc>
          <w:tcPr/>
          <w:p>
            <w:pPr>
              <w:pStyle w:val="Compact"/>
            </w:pPr>
            <w:r>
              <w:t xml:space="preserve">4.6 × 10⁻³²</w:t>
            </w:r>
          </w:p>
        </w:tc>
        <w:tc>
          <w:tcPr/>
          <w:p>
            <w:pPr>
              <w:pStyle w:val="Compact"/>
            </w:pPr>
            <w:r>
              <w:t xml:space="preserve">27.0 (13.6–53.8)</w:t>
            </w:r>
          </w:p>
        </w:tc>
        <w:tc>
          <w:tcPr/>
          <w:p>
            <w:pPr>
              <w:pStyle w:val="Compact"/>
            </w:pPr>
            <w:r>
              <w:t xml:space="preserve">&lt; 10⁻¹⁶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vacA 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11.8 (6.6–21.4)</w:t>
            </w:r>
          </w:p>
        </w:tc>
        <w:tc>
          <w:tcPr/>
          <w:p>
            <w:pPr>
              <w:pStyle w:val="Compact"/>
            </w:pPr>
            <w:r>
              <w:t xml:space="preserve">1.4 × 10⁻²¹</w:t>
            </w:r>
          </w:p>
        </w:tc>
        <w:tc>
          <w:tcPr/>
          <w:p>
            <w:pPr>
              <w:pStyle w:val="Compact"/>
            </w:pPr>
            <w:r>
              <w:t xml:space="preserve">11.4 (6.4–20.4)</w:t>
            </w:r>
          </w:p>
        </w:tc>
        <w:tc>
          <w:tcPr/>
          <w:p>
            <w:pPr>
              <w:pStyle w:val="Compact"/>
            </w:pPr>
            <w:r>
              <w:t xml:space="preserve">&lt; 10⁻¹⁶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SV burden (median split) vs macrolide resistance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2.81 (1.71–4.62)</w:t>
            </w:r>
          </w:p>
        </w:tc>
        <w:tc>
          <w:tcPr/>
          <w:p>
            <w:pPr>
              <w:pStyle w:val="Compact"/>
            </w:pPr>
            <w:r>
              <w:t xml:space="preserve">3.0 × 10⁻⁵</w:t>
            </w:r>
          </w:p>
        </w:tc>
        <w:tc>
          <w:tcPr/>
          <w:p>
            <w:pPr>
              <w:pStyle w:val="Compact"/>
            </w:pPr>
            <w:r>
              <w:t xml:space="preserve">1.33 (0.73–2.40)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 × 10⁻⁵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GC (vs NAG)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2.16 (1.13–4.13)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1.70 (0.87–3.32)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Contingency for the headline test: cagPAI-complete → 429/431 cagA-positive;</w:t>
      </w:r>
      <w:r>
        <w:t xml:space="preserve"> </w:t>
      </w:r>
      <w:r>
        <w:t xml:space="preserve">partial → 10/11; empty → 10/82. Fluoroquinolone, tetracycline, and</w:t>
      </w:r>
      <w:r>
        <w:t xml:space="preserve"> </w:t>
      </w:r>
      <w:r>
        <w:t xml:space="preserve">nitroimidazole classes were excluded pre-test (intrinsic hp1181 efflux pump at</w:t>
      </w:r>
      <w:r>
        <w:t xml:space="preserve"> </w:t>
      </w:r>
      <w:r>
        <w:t xml:space="preserve">99.8% prevalence); beta-lactam was excluded (0.6% prevalence). The 26 genomes</w:t>
      </w:r>
      <w:r>
        <w:t xml:space="preserve"> </w:t>
      </w:r>
      <w:r>
        <w:t xml:space="preserve">discordant between marker state and cagA typing were reviewed at assembly level:</w:t>
      </w:r>
      <w:r>
        <w:t xml:space="preserve"> </w:t>
      </w:r>
      <w:r>
        <w:t xml:space="preserve">17 showed loss of the island backbone with cagA sequence retained at the</w:t>
      </w:r>
      <w:r>
        <w:t xml:space="preserve"> </w:t>
      </w:r>
      <w:r>
        <w:t xml:space="preserve">evacuated site (8 near full-length, 9 fragmentary), 2 carried a precise cagA</w:t>
      </w:r>
      <w:r>
        <w:t xml:space="preserve"> </w:t>
      </w:r>
      <w:r>
        <w:t xml:space="preserve">excision on an otherwise intact island (both FastBAPS L3, Latin America), 5</w:t>
      </w:r>
      <w:r>
        <w:t xml:space="preserve"> </w:t>
      </w:r>
      <w:r>
        <w:t xml:space="preserve">were threshold-level partial calls in high-divergence backgrounds, and 2 were</w:t>
      </w:r>
      <w:r>
        <w:t xml:space="preserve"> </w:t>
      </w:r>
      <w:r>
        <w:t xml:space="preserve">clean fully assembled island deletions; none was attributable to assembly</w:t>
      </w:r>
      <w:r>
        <w:t xml:space="preserve"> </w:t>
      </w:r>
      <w:r>
        <w:t xml:space="preserve">incompleteness.</w:t>
      </w:r>
      <w:r>
        <w:t xml:space="preserve"> </w:t>
      </w:r>
      <w:r>
        <w:t xml:space="preserve">Source data:</w:t>
      </w:r>
      <w:r>
        <w:t xml:space="preserve"> </w:t>
      </w:r>
      <w:r>
        <w:rPr>
          <w:rStyle w:val="VerbatimChar"/>
        </w:rPr>
        <w:t xml:space="preserve">case_studies/h_pylori_cagpai/results/metadata_assoc/association_tests.tsv</w:t>
      </w:r>
      <w:r>
        <w:t xml:space="preserve">;</w:t>
      </w:r>
      <w:r>
        <w:t xml:space="preserve"> </w:t>
      </w:r>
      <w:r>
        <w:t xml:space="preserve">assembly-level review:</w:t>
      </w:r>
      <w:r>
        <w:t xml:space="preserve"> </w:t>
      </w:r>
      <w:r>
        <w:rPr>
          <w:rStyle w:val="VerbatimChar"/>
        </w:rPr>
        <w:t xml:space="preserve">case_studies/h_pylori_cagpai/results/metadata_assoc/discordant_review/</w:t>
      </w:r>
      <w:r>
        <w:t xml:space="preserve">.</w:t>
      </w:r>
    </w:p>
    <w:bookmarkEnd w:id="27"/>
    <w:bookmarkStart w:id="28" w:name="X2ff3ab002bfcdc4c8ad1f9a43f54a269f3dbba3"/>
    <w:p>
      <w:pPr>
        <w:pStyle w:val="Heading2"/>
      </w:pPr>
      <w:r>
        <w:t xml:space="preserve">Supplementary Table S6 — Stage-level runtime decomposition and Stage-1 screen recall</w:t>
      </w:r>
    </w:p>
    <w:p>
      <w:pPr>
        <w:pStyle w:val="FirstParagraph"/>
      </w:pPr>
      <w:r>
        <w:rPr>
          <w:b/>
          <w:bCs/>
        </w:rPr>
        <w:t xml:space="preserve">Stage decomposition (n = 22-genome panel, 484 ordered pairs, median of 3</w:t>
      </w:r>
      <w:r>
        <w:rPr>
          <w:b/>
          <w:bCs/>
        </w:rPr>
        <w:t xml:space="preserve"> </w:t>
      </w:r>
      <w:r>
        <w:rPr>
          <w:b/>
          <w:bCs/>
        </w:rPr>
        <w:t xml:space="preserve">replicates).</w:t>
      </w:r>
      <w:r>
        <w:t xml:space="preserve"> </w:t>
      </w:r>
      <w:r>
        <w:t xml:space="preserve">Syn2bANI does not emit per-stage timers; stages that are measured</w:t>
      </w:r>
      <w:r>
        <w:t xml:space="preserve"> </w:t>
      </w:r>
      <w:r>
        <w:t xml:space="preserve">only jointly are marked as such rather than apportioned arbitrarily. Full</w:t>
      </w:r>
      <w:r>
        <w:t xml:space="preserve"> </w:t>
      </w:r>
      <w:r>
        <w:t xml:space="preserve">machine-readable table:</w:t>
      </w:r>
      <w:r>
        <w:t xml:space="preserve"> </w:t>
      </w:r>
      <w:r>
        <w:rPr>
          <w:rStyle w:val="VerbatimChar"/>
        </w:rPr>
        <w:t xml:space="preserve">results/efficiency_v8/stage_breakdown.tsv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wall time</w:t>
            </w:r>
          </w:p>
        </w:tc>
        <w:tc>
          <w:tcPr/>
          <w:p>
            <w:pPr>
              <w:pStyle w:val="Compact"/>
            </w:pPr>
            <w:r>
              <w:t xml:space="preserve">timing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End-to-end, FASTA mode (digest + screen + chain + MLE)</w:t>
            </w:r>
          </w:p>
        </w:tc>
        <w:tc>
          <w:tcPr/>
          <w:p>
            <w:pPr>
              <w:pStyle w:val="Compact"/>
            </w:pPr>
            <w:r>
              <w:t xml:space="preserve">3.73 s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End-to-end, sketch mode (sketch load + screen + chain + MLE)</w:t>
            </w:r>
          </w:p>
        </w:tc>
        <w:tc>
          <w:tcPr/>
          <w:p>
            <w:pPr>
              <w:pStyle w:val="Compact"/>
            </w:pPr>
            <w:r>
              <w:t xml:space="preserve">2.79 s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sketch</w:t>
            </w:r>
            <w:r>
              <w:t xml:space="preserve"> </w:t>
            </w:r>
            <w:r>
              <w:t xml:space="preserve">command (digest + build + write)</w:t>
            </w:r>
          </w:p>
        </w:tc>
        <w:tc>
          <w:tcPr/>
          <w:p>
            <w:pPr>
              <w:pStyle w:val="Compact"/>
            </w:pPr>
            <w:r>
              <w:t xml:space="preserve">0.50 s</w:t>
            </w:r>
          </w:p>
        </w:tc>
        <w:tc>
          <w:tcPr/>
          <w:p>
            <w:pPr>
              <w:pStyle w:val="Compact"/>
            </w:pPr>
            <w:r>
              <w:t xml:space="preserve">measured; digestion vs build/write not separable from these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In-silico digestion (in-memory)</w:t>
            </w:r>
          </w:p>
        </w:tc>
        <w:tc>
          <w:tcPr/>
          <w:p>
            <w:pPr>
              <w:pStyle w:val="Compact"/>
            </w:pPr>
            <w:r>
              <w:t xml:space="preserve">≈0.9 s</w:t>
            </w:r>
          </w:p>
        </w:tc>
        <w:tc>
          <w:tcPr/>
          <w:p>
            <w:pPr>
              <w:pStyle w:val="Compact"/>
            </w:pPr>
            <w:r>
              <w:t xml:space="preserve">derived upper bound (FASTA − sketch mode; sub-second I/O noise)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(pass-1 index lookup)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separately timed; 0 &lt; t &lt; 2.79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Chaining (anchor DP)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separately timed (merged with screen + MLE)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MLE fit + calibration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separately timed (calibration is a linear-model evaluation, sub-ms per pair)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 of screen+chain+MLE</w:t>
            </w:r>
          </w:p>
        </w:tc>
        <w:tc>
          <w:tcPr/>
          <w:p>
            <w:pPr>
              <w:pStyle w:val="Compact"/>
            </w:pPr>
            <w:r>
              <w:t xml:space="preserve">5.7 ms/pair</w:t>
            </w:r>
          </w:p>
        </w:tc>
        <w:tc>
          <w:tcPr/>
          <w:p>
            <w:pPr>
              <w:pStyle w:val="Compact"/>
            </w:pPr>
            <w:r>
              <w:t xml:space="preserve">derived from sketch-mode scaling (n = 2 → 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syn2bani struct</w:t>
            </w:r>
            <w:r>
              <w:t xml:space="preserve"> </w:t>
            </w:r>
            <w:r>
              <w:t xml:space="preserve">(SV stage, 16-way process pool)</w:t>
            </w:r>
          </w:p>
        </w:tc>
        <w:tc>
          <w:tcPr/>
          <w:p>
            <w:pPr>
              <w:pStyle w:val="Compact"/>
            </w:pPr>
            <w:r>
              <w:t xml:space="preserve">4.36 s</w:t>
            </w:r>
          </w:p>
        </w:tc>
        <w:tc>
          <w:tcPr/>
          <w:p>
            <w:pPr>
              <w:pStyle w:val="Compact"/>
            </w:pPr>
            <w:r>
              <w:t xml:space="preserve">measured (includes process-spawn overhead)</w:t>
            </w:r>
          </w:p>
        </w:tc>
      </w:tr>
    </w:tbl>
    <w:p>
      <w:pPr>
        <w:pStyle w:val="BodyText"/>
      </w:pPr>
      <w:r>
        <w:t xml:space="preserve">Cross-scale anchors (HPC, 32 threads, screen+refine combined, no finer split):</w:t>
      </w:r>
      <w:r>
        <w:t xml:space="preserve"> </w:t>
      </w:r>
      <w:r>
        <w:t xml:space="preserve">triangle n = 500 genomes (124,750 pairs) 8.5 s; n = 2,000 (1,999,000 pairs)</w:t>
      </w:r>
      <w:r>
        <w:t xml:space="preserve"> </w:t>
      </w:r>
      <w:r>
        <w:t xml:space="preserve">86.6 s; n = 5,000 (12,497,500 pairs) 406.7 s; search 100 × 5,000-genome DB 22.0 s.</w:t>
      </w:r>
    </w:p>
    <w:p>
      <w:pPr>
        <w:pStyle w:val="BodyText"/>
      </w:pPr>
      <w:r>
        <w:rPr>
          <w:b/>
          <w:bCs/>
        </w:rPr>
        <w:t xml:space="preserve">Stage-1 screen recall and pass rate.</w:t>
      </w:r>
      <w:r>
        <w:t xml:space="preserve"> </w:t>
      </w:r>
      <w:r>
        <w:t xml:space="preserve">Gate: window 18 bp, ≥3 shared keys AND</w:t>
      </w:r>
      <w:r>
        <w:t xml:space="preserve"> </w:t>
      </w:r>
      <w:r>
        <w:t xml:space="preserve">containment ≥ 0.001. Full machine-readable table:</w:t>
      </w:r>
      <w:r>
        <w:t xml:space="preserve"> </w:t>
      </w:r>
      <w:r>
        <w:rPr>
          <w:rStyle w:val="VerbatimChar"/>
        </w:rPr>
        <w:t xml:space="preserve">results/efficiency_v8/screen_recall.tsv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pass rate</w:t>
            </w:r>
          </w:p>
        </w:tc>
        <w:tc>
          <w:tcPr/>
          <w:p>
            <w:pPr>
              <w:pStyle w:val="Compact"/>
            </w:pPr>
            <w:r>
              <w:t xml:space="preserve">all-vs-all triangle, n = 500 / 2,000 / 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17.3% / 15.3% / 12.6%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False-reject rate on validated true pairs (ANIm 80–100)</w:t>
            </w:r>
          </w:p>
        </w:tc>
        <w:tc>
          <w:tcPr/>
          <w:p>
            <w:pPr>
              <w:pStyle w:val="Compact"/>
            </w:pPr>
            <w:r>
              <w:t xml:space="preserve">500 true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500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False-reject rate, forced pass-all reconciliation</w:t>
            </w:r>
          </w:p>
        </w:tc>
        <w:tc>
          <w:tcPr/>
          <w:p>
            <w:pPr>
              <w:pStyle w:val="Compact"/>
            </w:pPr>
            <w:r>
              <w:t xml:space="preserve">triangle n = 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844 (0.12%; lost pair had af =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recall vs skani hits</w:t>
            </w:r>
          </w:p>
        </w:tc>
        <w:tc>
          <w:tcPr/>
          <w:p>
            <w:pPr>
              <w:pStyle w:val="Compact"/>
            </w:pPr>
            <w:r>
              <w:t xml:space="preserve">100 queries × 5,000-genome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/ 12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exact-tag screen (retired), same true pairs</w:t>
            </w:r>
          </w:p>
        </w:tc>
        <w:tc>
          <w:tcPr/>
          <w:p>
            <w:pPr>
              <w:pStyle w:val="Compact"/>
            </w:pPr>
            <w:r>
              <w:t xml:space="preserve">500 true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 / 500 rejected (94.4%)</w:t>
            </w:r>
          </w:p>
        </w:tc>
      </w:tr>
    </w:tbl>
    <w:p>
      <w:pPr>
        <w:pStyle w:val="BodyText"/>
      </w:pPr>
      <w:r>
        <w:t xml:space="preserve">Screen numbers at the full GTDB-R207 scale (65,703 genomes) do not exist: the</w:t>
      </w:r>
      <w:r>
        <w:t xml:space="preserve"> </w:t>
      </w:r>
      <w:r>
        <w:t xml:space="preserve">50k held-out benchmark ran</w:t>
      </w:r>
      <w:r>
        <w:t xml:space="preserve"> </w:t>
      </w:r>
      <w:r>
        <w:rPr>
          <w:rStyle w:val="VerbatimChar"/>
        </w:rPr>
        <w:t xml:space="preserve">ani</w:t>
      </w:r>
      <w:r>
        <w:t xml:space="preserve"> </w:t>
      </w:r>
      <w:r>
        <w:t xml:space="preserve">on pre-selected pairs, so the largest scale at</w:t>
      </w:r>
      <w:r>
        <w:t xml:space="preserve"> </w:t>
      </w:r>
      <w:r>
        <w:t xml:space="preserve">which the screen was exercised is the n = 5,000 all-vs-all above.</w:t>
      </w:r>
    </w:p>
    <w:bookmarkEnd w:id="28"/>
    <w:bookmarkStart w:id="29" w:name="Xe280e63292e65e7cc12ffc5dad24d6a06d19d0f"/>
    <w:p>
      <w:pPr>
        <w:pStyle w:val="Heading2"/>
      </w:pPr>
      <w:r>
        <w:t xml:space="preserve">Supplementary Note 1 — Calibration is input-regime-specific (MAG test)</w:t>
      </w:r>
    </w:p>
    <w:p>
      <w:pPr>
        <w:pStyle w:val="FirstParagraph"/>
      </w:pPr>
      <w:r>
        <w:t xml:space="preserve">The 695 MAG anchor pairs were re-run with</w:t>
      </w:r>
      <w:r>
        <w:t xml:space="preserve"> </w:t>
      </w:r>
      <w:r>
        <w:rPr>
          <w:rStyle w:val="VerbatimChar"/>
        </w:rPr>
        <w:t xml:space="preserve">ani --calibrate</w:t>
      </w:r>
      <w:r>
        <w:t xml:space="preserve"> </w:t>
      </w:r>
      <w:r>
        <w:t xml:space="preserve">(deployed v5</w:t>
      </w:r>
      <w:r>
        <w:t xml:space="preserve"> </w:t>
      </w:r>
      <w:r>
        <w:t xml:space="preserve">ridge model trained on complete GTDB genomes). Calibrated MAE is 1.261</w:t>
      </w:r>
      <w:r>
        <w:t xml:space="preserve"> </w:t>
      </w:r>
      <w:r>
        <w:t xml:space="preserve">(bias −1.243) versus 0.163 for the raw gated estimate; the degradation is</w:t>
      </w:r>
      <w:r>
        <w:t xml:space="preserve"> </w:t>
      </w:r>
      <w:r>
        <w:t xml:space="preserve">worst on low-quality (2.307) and cross-species (2.091) bins, and 43</w:t>
      </w:r>
      <w:r>
        <w:t xml:space="preserve"> </w:t>
      </w:r>
      <w:r>
        <w:t xml:space="preserve">near-clonal pairs are pushed above 100. The model learned the +2.02 raw bias</w:t>
      </w:r>
      <w:r>
        <w:t xml:space="preserve"> </w:t>
      </w:r>
      <w:r>
        <w:t xml:space="preserve">of complete-genome pairs, while raw bias on MAGs is only +0.16, so the</w:t>
      </w:r>
      <w:r>
        <w:t xml:space="preserve"> </w:t>
      </w:r>
      <w:r>
        <w:t xml:space="preserve">correction overshoots. This is the direct evidence for the design rule that</w:t>
      </w:r>
      <w:r>
        <w:t xml:space="preserve"> </w:t>
      </w:r>
      <w:r>
        <w:t xml:space="preserve">calibrated output is a separate, labelled column and never a silent</w:t>
      </w:r>
      <w:r>
        <w:t xml:space="preserve"> </w:t>
      </w:r>
      <w:r>
        <w:t xml:space="preserve">replacement; on draft/MAG inputs the raw gated estimate is recommended.</w:t>
      </w:r>
      <w:r>
        <w:t xml:space="preserve"> </w:t>
      </w:r>
      <w:r>
        <w:t xml:space="preserve">Data:</w:t>
      </w:r>
      <w:r>
        <w:t xml:space="preserve"> </w:t>
      </w:r>
      <w:r>
        <w:rPr>
          <w:rStyle w:val="VerbatimChar"/>
        </w:rPr>
        <w:t xml:space="preserve">results/mag_validation/collect/ani_calibrated.tsv</w:t>
      </w:r>
      <w:r>
        <w:t xml:space="preserve">.</w:t>
      </w:r>
    </w:p>
    <w:bookmarkEnd w:id="29"/>
    <w:bookmarkStart w:id="30" w:name="Xd013ccaae7d4dde06816ab37078854f863f6c97"/>
    <w:p>
      <w:pPr>
        <w:pStyle w:val="Heading2"/>
      </w:pPr>
      <w:r>
        <w:t xml:space="preserve">Supplementary Note 2 — Calibration learning curve</w:t>
      </w:r>
    </w:p>
    <w:p>
      <w:pPr>
        <w:pStyle w:val="FirstParagraph"/>
      </w:pPr>
      <w:r>
        <w:t xml:space="preserve">Band-holdout CV MAE of the v5 ridge model as a function of training-set</w:t>
      </w:r>
      <w:r>
        <w:t xml:space="preserve"> </w:t>
      </w:r>
      <w:r>
        <w:t xml:space="preserve">size (subsampled from the 2,520-pair ANIm training matrix):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pairs</w:t>
            </w:r>
          </w:p>
        </w:tc>
        <w:tc>
          <w:tcPr/>
          <w:p>
            <w:pPr>
              <w:pStyle w:val="Compact"/>
            </w:pPr>
            <w:r>
              <w:t xml:space="preserve">CV 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492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984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1,476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1,969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</w:tr>
    </w:tbl>
    <w:p>
      <w:pPr>
        <w:pStyle w:val="BodyText"/>
      </w:pPr>
      <w:r>
        <w:t xml:space="preserve">The linear model plateaus at ~1,500 pairs; expanding the training set</w:t>
      </w:r>
      <w:r>
        <w:t xml:space="preserve"> </w:t>
      </w:r>
      <w:r>
        <w:t xml:space="preserve">further is not expected to improve it (main text, Methods 4.6).</w:t>
      </w:r>
    </w:p>
    <w:bookmarkEnd w:id="30"/>
    <w:bookmarkStart w:id="31" w:name="X335171f238bd89d569aec4e4b5b6643057b0b49"/>
    <w:p>
      <w:pPr>
        <w:pStyle w:val="Heading2"/>
      </w:pPr>
      <w:r>
        <w:t xml:space="preserve">Supplementary Note 3 — Pipeline failure modes and fixes (MAG benchmark)</w:t>
      </w:r>
    </w:p>
    <w:p>
      <w:pPr>
        <w:pStyle w:val="FirstParagraph"/>
      </w:pPr>
      <w:r>
        <w:t xml:space="preserve">The CAMI2 MAG pipeline required six engineering fixes that bear on</w:t>
      </w:r>
      <w:r>
        <w:t xml:space="preserve"> </w:t>
      </w:r>
      <w:r>
        <w:t xml:space="preserve">reproducibility of metagenome benchmarks generally: (i) dnadiff/nucmer</w:t>
      </w:r>
      <w:r>
        <w:t xml:space="preserve"> </w:t>
      </w:r>
      <w:r>
        <w:t xml:space="preserve">(MUMmer 3.23) rejects FASTA files containing any embedded whitespace, and</w:t>
      </w:r>
      <w:r>
        <w:t xml:space="preserve"> </w:t>
      </w:r>
      <w:r>
        <w:t xml:space="preserve">the CAMI2 source genomes carry spaces in both headers and sequence lines —</w:t>
      </w:r>
      <w:r>
        <w:t xml:space="preserve"> </w:t>
      </w:r>
      <w:r>
        <w:t xml:space="preserve">inputs were sanitized (headers truncated at first space, sequence</w:t>
      </w:r>
      <w:r>
        <w:t xml:space="preserve"> </w:t>
      </w:r>
      <w:r>
        <w:t xml:space="preserve">whitespace stripped) with cached copies; (ii) the FastANI CLI flag for the</w:t>
      </w:r>
      <w:r>
        <w:t xml:space="preserve"> </w:t>
      </w:r>
      <w:r>
        <w:t xml:space="preserve">query is</w:t>
      </w:r>
      <w:r>
        <w:t xml:space="preserve"> </w:t>
      </w:r>
      <w:r>
        <w:rPr>
          <w:rStyle w:val="VerbatimChar"/>
        </w:rPr>
        <w:t xml:space="preserve">-q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--q</w:t>
      </w:r>
      <w:r>
        <w:t xml:space="preserve">; (iii) conda environments on shared clusters can</w:t>
      </w:r>
      <w:r>
        <w:t xml:space="preserve"> </w:t>
      </w:r>
      <w:r>
        <w:t xml:space="preserve">be shadowed by user-site packages (numpy ABI mismatch in CheckM2), fixed</w:t>
      </w:r>
      <w:r>
        <w:t xml:space="preserve"> </w:t>
      </w:r>
      <w:r>
        <w:t xml:space="preserve">with PYTHONNOUSERSITE=1. Full incident log:</w:t>
      </w:r>
      <w:r>
        <w:t xml:space="preserve"> </w:t>
      </w:r>
      <w:r>
        <w:rPr>
          <w:rStyle w:val="VerbatimChar"/>
        </w:rPr>
        <w:t xml:space="preserve">results/mag_validation/RUNBOOK.md</w:t>
      </w:r>
      <w:r>
        <w:t xml:space="preserve">.</w:t>
      </w:r>
    </w:p>
    <w:bookmarkEnd w:id="31"/>
    <w:bookmarkStart w:id="32" w:name="Xfd6529be4a0d1bbd51b24452f2b6f26ebe262a9"/>
    <w:p>
      <w:pPr>
        <w:pStyle w:val="Heading2"/>
      </w:pPr>
      <w:r>
        <w:t xml:space="preserve">Supplementary Note 4 — Chain-restricted stratified MLE, gating, and flags</w:t>
      </w:r>
    </w:p>
    <w:p>
      <w:pPr>
        <w:pStyle w:val="FirstParagraph"/>
      </w:pPr>
      <w:r>
        <w:t xml:space="preserve">For a query tag inside a chained region, with tag length</w:t>
      </w:r>
      <w:r>
        <w:t xml:space="preserve"> </w:t>
      </w:r>
      <w:r>
        <w:rPr>
          <w:rStyle w:val="VerbatimChar"/>
        </w:rPr>
        <w:t xml:space="preserve">k</w:t>
      </w:r>
      <w:r>
        <w:t xml:space="preserve">, recognition-site</w:t>
      </w:r>
      <w:r>
        <w:t xml:space="preserve"> </w:t>
      </w:r>
      <w:r>
        <w:t xml:space="preserve">length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, mutable body</w:t>
      </w:r>
      <w:r>
        <w:t xml:space="preserve"> </w:t>
      </w:r>
      <w:r>
        <w:rPr>
          <w:rStyle w:val="VerbatimChar"/>
        </w:rPr>
        <w:t xml:space="preserve">b = k − s</w:t>
      </w:r>
      <w:r>
        <w:t xml:space="preserve">, and mismatch budget</w:t>
      </w:r>
      <w:r>
        <w:t xml:space="preserve"> </w:t>
      </w:r>
      <w:r>
        <w:rPr>
          <w:rStyle w:val="VerbatimChar"/>
        </w:rPr>
        <w:t xml:space="preserve">tol</w:t>
      </w:r>
      <w:r>
        <w:t xml:space="preserve">, the outcome</w:t>
      </w:r>
      <w:r>
        <w:t xml:space="preserve"> </w:t>
      </w:r>
      <w:r>
        <w:t xml:space="preserve">probabilities under per-base identity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Found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body mismatches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m ≤ tol</w:t>
      </w:r>
      <w:r>
        <w:t xml:space="preserve">):</w:t>
      </w:r>
      <w:r>
        <w:t xml:space="preserve"> </w:t>
      </w:r>
      <w:r>
        <w:rPr>
          <w:rStyle w:val="VerbatimChar"/>
        </w:rPr>
        <w:t xml:space="preserve">P_m(a) = C(b, m) · (1 − a)^m · a^(k−m)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found</w:t>
      </w:r>
      <w:r>
        <w:t xml:space="preserve"> </w:t>
      </w:r>
      <w:r>
        <w:t xml:space="preserve">(miss):</w:t>
      </w:r>
      <w:r>
        <w:t xml:space="preserve"> </w:t>
      </w:r>
      <w:r>
        <w:rPr>
          <w:rStyle w:val="VerbatimChar"/>
        </w:rPr>
        <w:t xml:space="preserve">P_miss(a) = 1 − Σ_{m=0}^{tol} P_m(a)</w:t>
      </w:r>
      <w:r>
        <w:t xml:space="preserve">.</w:t>
      </w:r>
    </w:p>
    <w:p>
      <w:pPr>
        <w:pStyle w:val="FirstParagraph"/>
      </w:pPr>
      <w:r>
        <w:t xml:space="preserve">Mismatches are observable only in the mutable body — a mutation inside the</w:t>
      </w:r>
      <w:r>
        <w:t xml:space="preserve"> </w:t>
      </w:r>
      <w:r>
        <w:t xml:space="preserve">recognition site deletes the tag entirely — so the site contributes a factor</w:t>
      </w:r>
      <w:r>
        <w:t xml:space="preserve"> </w:t>
      </w:r>
      <w:r>
        <w:rPr>
          <w:rStyle w:val="VerbatimChar"/>
        </w:rPr>
        <w:t xml:space="preserve">a^s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P_found</w:t>
      </w:r>
      <w:r>
        <w:t xml:space="preserve"> </w:t>
      </w:r>
      <w:r>
        <w:t xml:space="preserve">but never appears in the histogram. This also sets a hard</w:t>
      </w:r>
      <w:r>
        <w:t xml:space="preserve"> </w:t>
      </w:r>
      <w:r>
        <w:t xml:space="preserve">retention ceiling (for example, ~0.72 at 95% ANI and ~0.50 at 90% with the</w:t>
      </w:r>
      <w:r>
        <w:t xml:space="preserve"> </w:t>
      </w:r>
      <w:r>
        <w:t xml:space="preserve">default budget). The per-enzyme strata differ in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; the total</w:t>
      </w:r>
      <w:r>
        <w:t xml:space="preserve"> </w:t>
      </w:r>
      <w:r>
        <w:t xml:space="preserve">log-likelihood is the sum over strata and is maximized over the scalar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by</w:t>
      </w:r>
      <w:r>
        <w:t xml:space="preserve"> </w:t>
      </w:r>
      <w:r>
        <w:t xml:space="preserve">golden-section search.</w:t>
      </w:r>
    </w:p>
    <w:p>
      <w:pPr>
        <w:pStyle w:val="BodyText"/>
      </w:pPr>
      <w:r>
        <w:t xml:space="preserve">Two partial estimators are computed as diagnostics: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ani_from_loss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P_miss(a)</w:t>
      </w:r>
      <w:r>
        <w:t xml:space="preserve"> </w:t>
      </w:r>
      <w:r>
        <w:t xml:space="preserve">only (the miss-rate channel).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ani_from_hist</w:t>
      </w:r>
      <w:r>
        <w:t xml:space="preserve"> </w:t>
      </w:r>
      <w:r>
        <w:t xml:space="preserve">— uses the mismatch histogram renormalized by</w:t>
      </w:r>
      <w:r>
        <w:t xml:space="preserve"> </w:t>
      </w:r>
      <w:r>
        <w:rPr>
          <w:rStyle w:val="VerbatimChar"/>
        </w:rPr>
        <w:t xml:space="preserve">P_found(a)</w:t>
      </w:r>
      <w:r>
        <w:t xml:space="preserve">.</w:t>
      </w:r>
    </w:p>
    <w:p>
      <w:pPr>
        <w:pStyle w:val="FirstParagraph"/>
      </w:pPr>
      <w:r>
        <w:t xml:space="preserve">When the data are well behaved these two estimates agree; large divergence</w:t>
      </w:r>
      <w:r>
        <w:t xml:space="preserve"> </w:t>
      </w:r>
      <w:r>
        <w:t xml:space="preserve">signals either model misspecification or sparse data.</w:t>
      </w:r>
    </w:p>
    <w:p>
      <w:pPr>
        <w:pStyle w:val="BodyText"/>
      </w:pPr>
      <w:r>
        <w:rPr>
          <w:b/>
          <w:bCs/>
        </w:rPr>
        <w:t xml:space="preserve">Heterogeneous (gamma) model.</w:t>
      </w:r>
      <w:r>
        <w:t xml:space="preserve"> </w:t>
      </w:r>
      <w:r>
        <w:t xml:space="preserve">To account for rate heterogeneity, each</w:t>
      </w:r>
      <w:r>
        <w:t xml:space="preserve"> </w:t>
      </w:r>
      <w:r>
        <w:t xml:space="preserve">chained region receives a per-region rate multiplier</w:t>
      </w:r>
      <w:r>
        <w:t xml:space="preserve"> </w:t>
      </w:r>
      <w:r>
        <w:rPr>
          <w:rStyle w:val="VerbatimChar"/>
        </w:rPr>
        <w:t xml:space="preserve">r ~ Gamma(α, α)</w:t>
      </w:r>
      <w:r>
        <w:t xml:space="preserve"> </w:t>
      </w:r>
      <w:r>
        <w:t xml:space="preserve">(mean 1,</w:t>
      </w:r>
      <w:r>
        <w:t xml:space="preserve"> </w:t>
      </w:r>
      <w:r>
        <w:t xml:space="preserve">shape α). Because rate variation acts at kilobase scale while a tag is ~30 bp,</w:t>
      </w:r>
      <w:r>
        <w:t xml:space="preserve"> </w:t>
      </w:r>
      <w:r>
        <w:t xml:space="preserve">all sites within one tag share the same</w:t>
      </w:r>
      <w:r>
        <w:t xml:space="preserve"> </w:t>
      </w:r>
      <w:r>
        <w:rPr>
          <w:rStyle w:val="VerbatimChar"/>
        </w:rPr>
        <w:t xml:space="preserve">r</w:t>
      </w:r>
      <w:r>
        <w:t xml:space="preserve">. Integrating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out converts the</w:t>
      </w:r>
      <w:r>
        <w:t xml:space="preserve"> </w:t>
      </w:r>
      <w:r>
        <w:t xml:space="preserve">mismatch count distribution into a negative binomial with two parameters: mean</w:t>
      </w:r>
      <w:r>
        <w:t xml:space="preserve"> </w:t>
      </w:r>
      <w:r>
        <w:t xml:space="preserve">divergence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shape</w:t>
      </w:r>
      <w:r>
        <w:t xml:space="preserve"> </w:t>
      </w:r>
      <w:r>
        <w:rPr>
          <w:rStyle w:val="VerbatimChar"/>
        </w:rPr>
        <w:t xml:space="preserve">α</w:t>
      </w:r>
      <w:r>
        <w:t xml:space="preserve">. These are identifiable from the three histogram</w:t>
      </w:r>
      <w:r>
        <w:t xml:space="preserve"> </w:t>
      </w:r>
      <w:r>
        <w:t xml:space="preserve">degrees of freedom plus the miss count. Two guardrails are applied: the second</w:t>
      </w:r>
      <w:r>
        <w:t xml:space="preserve"> </w:t>
      </w:r>
      <w:r>
        <w:t xml:space="preserve">parameter is used only when the likelihood-ratio statistic exceeds 3.841, and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is clamped to</w:t>
      </w:r>
      <w:r>
        <w:t xml:space="preserve"> </w:t>
      </w:r>
      <w:r>
        <w:rPr>
          <w:rStyle w:val="VerbatimChar"/>
        </w:rPr>
        <w:t xml:space="preserve">[0.1, 200]</w:t>
      </w:r>
      <w:r>
        <w:t xml:space="preserve">.</w:t>
      </w:r>
    </w:p>
    <w:p>
      <w:pPr>
        <w:pStyle w:val="BodyText"/>
      </w:pPr>
      <w:r>
        <w:t xml:space="preserve">At the identifiability boundary with few surviving tags, the gamma shape and</w:t>
      </w:r>
      <w:r>
        <w:t xml:space="preserve"> </w:t>
      </w:r>
      <w:r>
        <w:t xml:space="preserve">mean couple and can overshoot by 4–10 ANI points in the mid-ANI range. The</w:t>
      </w:r>
      <w:r>
        <w:t xml:space="preserve"> </w:t>
      </w:r>
      <w:r>
        <w:t xml:space="preserve">shipped point estimate is therefore</w:t>
      </w:r>
      <w:r>
        <w:t xml:space="preserve"> </w:t>
      </w:r>
      <w:r>
        <w:rPr>
          <w:b/>
          <w:bCs/>
        </w:rPr>
        <w:t xml:space="preserve">gated</w:t>
      </w:r>
      <w:r>
        <w:t xml:space="preserve">: report the homogeneous (uniform)</w:t>
      </w:r>
      <w:r>
        <w:t xml:space="preserve"> </w:t>
      </w:r>
      <w:r>
        <w:t xml:space="preserve">fit when</w:t>
      </w:r>
      <w:r>
        <w:t xml:space="preserve"> </w:t>
      </w:r>
      <w:r>
        <w:rPr>
          <w:rStyle w:val="VerbatimChar"/>
        </w:rPr>
        <w:t xml:space="preserve">|ani_from_loss − ani_from_hist| &gt; 5</w:t>
      </w:r>
      <w:r>
        <w:t xml:space="preserve"> </w:t>
      </w:r>
      <w:r>
        <w:t xml:space="preserve">ANI points, otherwise report the</w:t>
      </w:r>
      <w:r>
        <w:t xml:space="preserve"> </w:t>
      </w:r>
      <w:r>
        <w:t xml:space="preserve">gamma fit. The threshold is an effect size, not a significance level; threshold</w:t>
      </w:r>
      <w:r>
        <w:t xml:space="preserve"> </w:t>
      </w:r>
      <w:r>
        <w:t xml:space="preserve">sweeps on the GTDB-ANIm training matrix show a flat optimum between 4.5 and 6</w:t>
      </w:r>
      <w:r>
        <w:t xml:space="preserve"> </w:t>
      </w:r>
      <w:r>
        <w:t xml:space="preserve">points. The gate fires on 5.5% of GTDB pairs, on all 15 mid-ANI pairs (where it</w:t>
      </w:r>
      <w:r>
        <w:t xml:space="preserve"> </w:t>
      </w:r>
      <w:r>
        <w:t xml:space="preserve">reduces gamma MAE from 4.48 to 1.42), and never on uniform-rate simulations,</w:t>
      </w:r>
      <w:r>
        <w:t xml:space="preserve"> </w:t>
      </w:r>
      <w:r>
        <w:t xml:space="preserve">mosaic simulations, or oral/gut same-species pairs, preserving gamma’s advantage</w:t>
      </w:r>
      <w:r>
        <w:t xml:space="preserve"> </w:t>
      </w:r>
      <w:r>
        <w:t xml:space="preserve">exactly where it is real.</w:t>
      </w:r>
    </w:p>
    <w:p>
      <w:pPr>
        <w:pStyle w:val="BodyText"/>
      </w:pPr>
      <w:r>
        <w:rPr>
          <w:b/>
          <w:bCs/>
        </w:rPr>
        <w:t xml:space="preserve">Flags.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column is hierarchical: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BELOW_DETECTION</w:t>
      </w:r>
      <w:r>
        <w:t xml:space="preserve"> </w:t>
      </w:r>
      <w:r>
        <w:t xml:space="preserve">— expected retention &lt; 0.20 (takes precedence).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INCONSISTENT</w:t>
      </w:r>
      <w:r>
        <w:t xml:space="preserve"> </w:t>
      </w:r>
      <w:r>
        <w:t xml:space="preserve">— the gate fell back to the uniform model, or the chains carry</w:t>
      </w:r>
      <w:r>
        <w:t xml:space="preserve"> </w:t>
      </w:r>
      <w:r>
        <w:t xml:space="preserve">&gt; 0.5 rearrangement breakpoints per anchor (a structural statistic independent</w:t>
      </w:r>
      <w:r>
        <w:t xml:space="preserve"> </w:t>
      </w:r>
      <w:r>
        <w:t xml:space="preserve">of the chain-restricted likelihood denominator).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ok</w:t>
      </w:r>
      <w:r>
        <w:t xml:space="preserve"> </w:t>
      </w:r>
      <w:r>
        <w:t xml:space="preserve">— otherwise.</w:t>
      </w:r>
    </w:p>
    <w:p>
      <w:pPr>
        <w:pStyle w:val="FirstParagraph"/>
      </w:pPr>
      <w:r>
        <w:t xml:space="preserve">The recalibrated flag never inverts its error ranking on any validation set</w:t>
      </w:r>
      <w:r>
        <w:t xml:space="preserve"> </w:t>
      </w:r>
      <w:r>
        <w:t xml:space="preserve">(kept vs flagged MAE: GTDB-ANIm 2.415 vs 4.153; oral/gut 0.514 vs 4.269;</w:t>
      </w:r>
      <w:r>
        <w:t xml:space="preserve"> </w:t>
      </w:r>
      <w:r>
        <w:t xml:space="preserve">mid-ANI 0.343 vs 1.113), at a disclosed cost in near-clonal sensitivity.</w:t>
      </w:r>
    </w:p>
    <w:bookmarkEnd w:id="32"/>
    <w:bookmarkStart w:id="33" w:name="X39919e213b71580968f061584f61586905cff88"/>
    <w:p>
      <w:pPr>
        <w:pStyle w:val="Heading2"/>
      </w:pPr>
      <w:r>
        <w:t xml:space="preserve">Supplementary Note 5 — The spatial-model negative result (identifiability analysis)</w:t>
      </w:r>
    </w:p>
    <w:p>
      <w:pPr>
        <w:pStyle w:val="FirstParagraph"/>
      </w:pPr>
      <w:r>
        <w:t xml:space="preserve">A mechanistic spatial-rate model was evaluated as an alternative to the ridge</w:t>
      </w:r>
      <w:r>
        <w:t xml:space="preserve"> </w:t>
      </w:r>
      <w:r>
        <w:t xml:space="preserve">calibration layer. The prototype was written in Python, tested on 19 exact-truth</w:t>
      </w:r>
      <w:r>
        <w:t xml:space="preserve"> </w:t>
      </w:r>
      <w:r>
        <w:t xml:space="preserve">mosaic simulations, and then evaluated on the GTDB-ANIm matrix.</w:t>
      </w:r>
    </w:p>
    <w:p>
      <w:pPr>
        <w:pStyle w:val="BodyText"/>
      </w:pPr>
      <w:r>
        <w:t xml:space="preserve">The residual bias decomposes into two terms. The first is an in-chain</w:t>
      </w:r>
      <w:r>
        <w:t xml:space="preserve"> </w:t>
      </w:r>
      <w:r>
        <w:t xml:space="preserve">distribution-family term: the asymptotic in-chain MAE is 2.25 for gamma and 1.25</w:t>
      </w:r>
      <w:r>
        <w:t xml:space="preserve"> </w:t>
      </w:r>
      <w:r>
        <w:t xml:space="preserve">for a capped grid NPMLE, so a nonparametric in-chain fit can fix at most</w:t>
      </w:r>
      <w:r>
        <w:t xml:space="preserve"> </w:t>
      </w:r>
      <w:r>
        <w:t xml:space="preserve">~0.1–0.2 ANI points of the GTDB MAE. The second is a coverage term: the</w:t>
      </w:r>
      <w:r>
        <w:t xml:space="preserve"> </w:t>
      </w:r>
      <w:r>
        <w:t xml:space="preserve">divergence of the unchained fraction is not identifiable from tag data, because</w:t>
      </w:r>
      <w:r>
        <w:t xml:space="preserve"> </w:t>
      </w:r>
      <w:r>
        <w:t xml:space="preserve">the out-of-chain anchor residual is approximately zero within multi-match noise</w:t>
      </w:r>
      <w:r>
        <w:t xml:space="preserve"> </w:t>
      </w:r>
      <w:r>
        <w:t xml:space="preserve">whether the unchained mass is saturated-divergent or accessory. Even an oracle</w:t>
      </w:r>
      <w:r>
        <w:t xml:space="preserve"> </w:t>
      </w:r>
      <w:r>
        <w:t xml:space="preserve">given the exact identity of the chained sample still errs by MAE 1.36 against</w:t>
      </w:r>
      <w:r>
        <w:t xml:space="preserve"> </w:t>
      </w:r>
      <w:r>
        <w:t xml:space="preserve">whole-genome truth.</w:t>
      </w:r>
    </w:p>
    <w:p>
      <w:pPr>
        <w:pStyle w:val="BodyText"/>
      </w:pPr>
      <w:r>
        <w:t xml:space="preserve">Candidates tested included AF-weighted mixtures, discrete mixtures,</w:t>
      </w:r>
      <w:r>
        <w:t xml:space="preserve"> </w:t>
      </w:r>
      <w:r>
        <w:t xml:space="preserve">ascertainment-aware tilts, capped NPMLE with and without likelihood-ratio gating,</w:t>
      </w:r>
      <w:r>
        <w:t xml:space="preserve"> </w:t>
      </w:r>
      <w:r>
        <w:t xml:space="preserve">and model averaging. None beats the gated homogeneous/gamma baseline while</w:t>
      </w:r>
      <w:r>
        <w:t xml:space="preserve"> </w:t>
      </w:r>
      <w:r>
        <w:t xml:space="preserve">holding all simulation gates. The raw estimator is therefore at its</w:t>
      </w:r>
      <w:r>
        <w:t xml:space="preserve"> </w:t>
      </w:r>
      <w:r>
        <w:t xml:space="preserve">identifiability floor at 4-enzyme tag density; this negative result is why the</w:t>
      </w:r>
      <w:r>
        <w:t xml:space="preserve"> </w:t>
      </w:r>
      <w:r>
        <w:t xml:space="preserve">shipped pipeline uses calibration, rather than a more elaborate likelihood, as</w:t>
      </w:r>
      <w:r>
        <w:t xml:space="preserve"> </w:t>
      </w:r>
      <w:r>
        <w:t xml:space="preserve">the real-genome correction layer.</w:t>
      </w:r>
    </w:p>
    <w:bookmarkEnd w:id="33"/>
    <w:bookmarkStart w:id="34" w:name="Xb1eb0d0077db50146ab5cb7a6cc963413c0d2d3"/>
    <w:p>
      <w:pPr>
        <w:pStyle w:val="Heading2"/>
      </w:pPr>
      <w:r>
        <w:t xml:space="preserve">Supplementary Note 6 — Ridge calibration protocol details</w:t>
      </w:r>
    </w:p>
    <w:p>
      <w:pPr>
        <w:pStyle w:val="FirstParagraph"/>
      </w:pPr>
      <w:r>
        <w:t xml:space="preserve">The v5 calibration model is ridge regression on nine Syn2bANI-internal features:</w:t>
      </w:r>
      <w:r>
        <w:t xml:space="preserve"> </w:t>
      </w:r>
      <w:r>
        <w:rPr>
          <w:rStyle w:val="VerbatimChar"/>
        </w:rPr>
        <w:t xml:space="preserve">ani_gated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ani_uniform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af_query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af_reference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std_err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n_anchors</w:t>
      </w:r>
      <w:r>
        <w:t xml:space="preserve">,</w:t>
      </w:r>
      <w:r>
        <w:t xml:space="preserve"> </w:t>
      </w:r>
      <w:r>
        <w:rPr>
          <w:rStyle w:val="VerbatimChar"/>
        </w:rPr>
        <w:t xml:space="preserve">n_chains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n_tags_in_chains</w:t>
      </w:r>
      <w:r>
        <w:t xml:space="preserve">. Features are median-imputed and</w:t>
      </w:r>
      <w:r>
        <w:t xml:space="preserve"> </w:t>
      </w:r>
      <w:r>
        <w:t xml:space="preserve">standardized; regularization strength</w:t>
      </w:r>
      <w:r>
        <w:t xml:space="preserve"> </w:t>
      </w:r>
      <w:r>
        <w:rPr>
          <w:rStyle w:val="VerbatimChar"/>
        </w:rPr>
        <w:t xml:space="preserve">α = 10</w:t>
      </w:r>
      <w:r>
        <w:t xml:space="preserve"> </w:t>
      </w:r>
      <w:r>
        <w:t xml:space="preserve">is selected by inner</w:t>
      </w:r>
      <w:r>
        <w:t xml:space="preserve"> </w:t>
      </w:r>
      <w:r>
        <w:t xml:space="preserve">cross-validation with scikit-learn29.</w:t>
      </w:r>
    </w:p>
    <w:p>
      <w:pPr>
        <w:pStyle w:val="BodyText"/>
      </w:pPr>
      <w:r>
        <w:rPr>
          <w:b/>
          <w:bCs/>
        </w:rPr>
        <w:t xml:space="preserve">Training set.</w:t>
      </w:r>
      <w:r>
        <w:t xml:space="preserve"> </w:t>
      </w:r>
      <w:r>
        <w:t xml:space="preserve">2,520 ANIm-truth pairs (80–99.5% ANIm). This combines 2,053</w:t>
      </w:r>
      <w:r>
        <w:t xml:space="preserve"> </w:t>
      </w:r>
      <w:r>
        <w:t xml:space="preserve">finite pairs from a stratified 2,074-pair GTDB benchmark and 467 targeted</w:t>
      </w:r>
      <w:r>
        <w:t xml:space="preserve"> </w:t>
      </w:r>
      <w:r>
        <w:t xml:space="preserve">95.0–99.15% ANIm pairs selected by screening all 2.26 M same-genus GTDB-R207</w:t>
      </w:r>
      <w:r>
        <w:t xml:space="preserve"> </w:t>
      </w:r>
      <w:r>
        <w:t xml:space="preserve">representative pairs with skani and running dnadiff on 650 candidates. The</w:t>
      </w:r>
      <w:r>
        <w:t xml:space="preserve"> </w:t>
      </w:r>
      <w:r>
        <w:t xml:space="preserve">expanded set spans 607 species and 26 phyla and has zero genome-level overlap</w:t>
      </w:r>
      <w:r>
        <w:t xml:space="preserve"> </w:t>
      </w:r>
      <w:r>
        <w:t xml:space="preserve">with the original 2,074-pair set.</w:t>
      </w:r>
    </w:p>
    <w:p>
      <w:pPr>
        <w:pStyle w:val="BodyText"/>
      </w:pPr>
      <w:r>
        <w:rPr>
          <w:b/>
          <w:bCs/>
        </w:rPr>
        <w:t xml:space="preserve">Validation.</w:t>
      </w:r>
      <w:r>
        <w:t xml:space="preserve"> </w:t>
      </w:r>
      <w:r>
        <w:t xml:space="preserve">Band-holdout cross-validation: each of the four ANI bands</w:t>
      </w:r>
      <w:r>
        <w:t xml:space="preserve"> </w:t>
      </w:r>
      <w:r>
        <w:t xml:space="preserve">(80–85, 85–90, 90–95, 95–99) is predicted by a model trained on the other three</w:t>
      </w:r>
      <w:r>
        <w:t xml:space="preserve"> </w:t>
      </w:r>
      <w:r>
        <w:t xml:space="preserve">only. Training rows are shuffled with a fixed seed before CV because the inner</w:t>
      </w:r>
      <w:r>
        <w:t xml:space="preserve"> </w:t>
      </w:r>
      <w:r>
        <w:t xml:space="preserve">KFold of the ridge CV is order-sensitive.</w:t>
      </w:r>
    </w:p>
    <w:p>
      <w:pPr>
        <w:pStyle w:val="BodyText"/>
      </w:pPr>
      <w:r>
        <w:rPr>
          <w:b/>
          <w:bCs/>
        </w:rPr>
        <w:t xml:space="preserve">Model comparisons.</w:t>
      </w:r>
      <w:r>
        <w:t xml:space="preserve"> </w:t>
      </w:r>
      <w:r>
        <w:t xml:space="preserve">An expanded 18-feature variant and a gradient-boosted</w:t>
      </w:r>
      <w:r>
        <w:t xml:space="preserve"> </w:t>
      </w:r>
      <w:r>
        <w:t xml:space="preserve">regressor on the same features were evaluated and rejected: nonlinearity buys</w:t>
      </w:r>
      <w:r>
        <w:t xml:space="preserve"> </w:t>
      </w:r>
      <w:r>
        <w:t xml:space="preserve">nothing at</w:t>
      </w:r>
      <w:r>
        <w:t xml:space="preserve"> </w:t>
      </w:r>
      <w:r>
        <w:rPr>
          <w:rStyle w:val="VerbatimChar"/>
        </w:rPr>
        <w:t xml:space="preserve">n ≈ 2,500</w:t>
      </w:r>
      <w:r>
        <w:t xml:space="preserve">, and the expanded feature set degrades out-of-distribution</w:t>
      </w:r>
      <w:r>
        <w:t xml:space="preserve"> </w:t>
      </w:r>
      <w:r>
        <w:t xml:space="preserve">on near-clonal pairs. Seed spread over 5 seeds is ≤ 0.0015 MAE.</w:t>
      </w:r>
    </w:p>
    <w:p>
      <w:pPr>
        <w:pStyle w:val="BodyText"/>
      </w:pPr>
      <w:r>
        <w:rPr>
          <w:b/>
          <w:bCs/>
        </w:rPr>
        <w:t xml:space="preserve">Learning curve.</w:t>
      </w:r>
      <w:r>
        <w:t xml:space="preserve"> </w:t>
      </w:r>
      <w:r>
        <w:t xml:space="preserve">Subsampling the 2,520-pair training matrix at 492/984/1,476</w:t>
      </w:r>
      <w:r>
        <w:t xml:space="preserve"> </w:t>
      </w:r>
      <w:r>
        <w:t xml:space="preserve">and 1,969 pairs gives band-holdout CV MAE of 0.952, 0.902, 0.887, and 0.893,</w:t>
      </w:r>
      <w:r>
        <w:t xml:space="preserve"> </w:t>
      </w:r>
      <w:r>
        <w:t xml:space="preserve">respectively (Supplementary Note 2); the linear model plateaus at ~1,500 pairs.</w:t>
      </w:r>
    </w:p>
    <w:p>
      <w:pPr>
        <w:pStyle w:val="BodyText"/>
      </w:pPr>
      <w:r>
        <w:rPr>
          <w:b/>
          <w:bCs/>
        </w:rPr>
        <w:t xml:space="preserve">Deployment.</w:t>
      </w:r>
      <w:r>
        <w:t xml:space="preserve"> </w:t>
      </w:r>
      <w:r>
        <w:t xml:space="preserve">The model ships as a versioned JSON file containing ridge</w:t>
      </w:r>
      <w:r>
        <w:t xml:space="preserve"> </w:t>
      </w:r>
      <w:r>
        <w:t xml:space="preserve">weights, scaling parameters, and feature order; it is embedded in the binary and</w:t>
      </w:r>
      <w:r>
        <w:t xml:space="preserve"> </w:t>
      </w:r>
      <w:r>
        <w:t xml:space="preserve">evaluated at runtime in &lt; 1 µs. All feature matrices were regenerated with the</w:t>
      </w:r>
      <w:r>
        <w:t xml:space="preserve"> </w:t>
      </w:r>
      <w:r>
        <w:t xml:space="preserve">post-rescue binary before training, so there is no version skew between the</w:t>
      </w:r>
      <w:r>
        <w:t xml:space="preserve"> </w:t>
      </w:r>
      <w:r>
        <w:t xml:space="preserve">shipped estimator and the deployed model. Calibrated output is a separate column</w:t>
      </w:r>
      <w:r>
        <w:t xml:space="preserve"> </w:t>
      </w:r>
      <w:r>
        <w:t xml:space="preserve">(</w:t>
      </w:r>
      <w:r>
        <w:rPr>
          <w:rStyle w:val="VerbatimChar"/>
        </w:rPr>
        <w:t xml:space="preserve">--calibrate</w:t>
      </w:r>
      <w:r>
        <w:t xml:space="preserve">); it returns no value on</w:t>
      </w:r>
      <w:r>
        <w:t xml:space="preserve"> </w:t>
      </w:r>
      <w:r>
        <w:rPr>
          <w:rStyle w:val="VerbatimChar"/>
        </w:rPr>
        <w:t xml:space="preserve">BELOW_DETECTION</w:t>
      </w:r>
      <w:r>
        <w:t xml:space="preserve"> </w:t>
      </w:r>
      <w:r>
        <w:t xml:space="preserve">pairs rather than</w:t>
      </w:r>
      <w:r>
        <w:t xml:space="preserve"> </w:t>
      </w:r>
      <w:r>
        <w:t xml:space="preserve">extrapolating.</w:t>
      </w:r>
    </w:p>
    <w:p>
      <w:pPr>
        <w:pStyle w:val="BodyText"/>
      </w:pPr>
      <w:r>
        <w:rPr>
          <w:b/>
          <w:bCs/>
        </w:rPr>
        <w:t xml:space="preserve">Hybrid estimator threshold.</w:t>
      </w:r>
      <w:r>
        <w:t xml:space="preserve"> </w:t>
      </w:r>
      <w:r>
        <w:t xml:space="preserve">The raw gated estimate is more accurate than the</w:t>
      </w:r>
      <w:r>
        <w:t xml:space="preserve"> </w:t>
      </w:r>
      <w:r>
        <w:t xml:space="preserve">calibrated estimate in the near-clonal regime, whereas calibration is essential</w:t>
      </w:r>
      <w:r>
        <w:t xml:space="preserve"> </w:t>
      </w:r>
      <w:r>
        <w:t xml:space="preserve">at lower ANI. A hybrid rule was therefore evaluated: report the raw gated</w:t>
      </w:r>
      <w:r>
        <w:t xml:space="preserve"> </w:t>
      </w:r>
      <w:r>
        <w:t xml:space="preserve">estimate when it exceeds a threshold</w:t>
      </w:r>
      <w:r>
        <w:t xml:space="preserve"> </w:t>
      </w:r>
      <w:r>
        <w:rPr>
          <w:rStyle w:val="VerbatimChar"/>
        </w:rPr>
        <w:t xml:space="preserve">t</w:t>
      </w:r>
      <w:r>
        <w:t xml:space="preserve">, otherwise report the calibrated</w:t>
      </w:r>
      <w:r>
        <w:t xml:space="preserve"> </w:t>
      </w:r>
      <w:r>
        <w:t xml:space="preserve">estimate. The threshold was chosen by overall MAE on the unified 80–100% ANIm</w:t>
      </w:r>
      <w:r>
        <w:t xml:space="preserve"> </w:t>
      </w:r>
      <w:r>
        <w:t xml:space="preserve">benchmark (43,334 held-out GTDB-R207 pairs plus 727 high-ANI test pairs,</w:t>
      </w:r>
      <w:r>
        <w:t xml:space="preserve"> </w:t>
      </w:r>
      <w:r>
        <w:t xml:space="preserve">n = 40,629 pairs with non-missing raw and calibrated values):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−0.1211</w:t>
            </w:r>
          </w:p>
        </w:tc>
      </w:tr>
    </w:tbl>
    <w:p>
      <w:pPr>
        <w:pStyle w:val="BodyText"/>
      </w:pPr>
      <w:r>
        <w:t xml:space="preserve">MAE decreases sharply from 95% to 97%, then plateaus; 98% was selected as the</w:t>
      </w:r>
      <w:r>
        <w:t xml:space="preserve"> </w:t>
      </w:r>
      <w:r>
        <w:t xml:space="preserve">operating threshold because it lies on the plateau while keeping the calibrated</w:t>
      </w:r>
      <w:r>
        <w:t xml:space="preserve"> </w:t>
      </w:r>
      <w:r>
        <w:t xml:space="preserve">estimate active for the broadest range of strain-level pairs. The hybrid rule is</w:t>
      </w:r>
      <w:r>
        <w:t xml:space="preserve"> </w:t>
      </w:r>
      <w:r>
        <w:t xml:space="preserve">not sensitive to the exact threshold in the 97–99% window.</w:t>
      </w:r>
    </w:p>
    <w:bookmarkEnd w:id="34"/>
    <w:bookmarkStart w:id="35" w:name="X59d740001b6791abdcf4dea327c946dcfbb2e56"/>
    <w:p>
      <w:pPr>
        <w:pStyle w:val="Heading2"/>
      </w:pPr>
      <w:r>
        <w:t xml:space="preserve">Supplementary Note 7 — Count-based versus ratio-based structural metrics under assembly fragmentation</w:t>
      </w:r>
    </w:p>
    <w:p>
      <w:pPr>
        <w:pStyle w:val="FirstParagraph"/>
      </w:pPr>
      <w:r>
        <w:t xml:space="preserve">The choice of structural metric is not arbitrary: under assembly fragmentation,</w:t>
      </w:r>
      <w:r>
        <w:t xml:space="preserve"> </w:t>
      </w:r>
      <w:r>
        <w:t xml:space="preserve">count-based and length-weighted ratio-based statistics fail in</w:t>
      </w:r>
      <w:r>
        <w:t xml:space="preserve"> </w:t>
      </w:r>
      <w:r>
        <w:rPr>
          <w:i/>
          <w:iCs/>
        </w:rPr>
        <w:t xml:space="preserve">different</w:t>
      </w:r>
      <w:r>
        <w:t xml:space="preserve">, closed</w:t>
      </w:r>
      <w:r>
        <w:t xml:space="preserve"> </w:t>
      </w:r>
      <w:r>
        <w:t xml:space="preserve">ways. This note summarizes the general result (derived in full, with proofs and</w:t>
      </w:r>
      <w:r>
        <w:t xml:space="preserve"> </w:t>
      </w:r>
      <w:r>
        <w:t xml:space="preserve">additional measurements, in the companion Syn2b repository,</w:t>
      </w:r>
      <w:r>
        <w:t xml:space="preserve"> </w:t>
      </w:r>
      <w:r>
        <w:rPr>
          <w:rStyle w:val="VerbatimChar"/>
        </w:rPr>
        <w:t xml:space="preserve">docs/MATH_REVIEW.md</w:t>
      </w:r>
      <w:r>
        <w:t xml:space="preserve">, https://github.com/HuangShiLab/Syn2b).</w:t>
      </w:r>
    </w:p>
    <w:p>
      <w:pPr>
        <w:pStyle w:val="BodyText"/>
      </w:pPr>
      <w:r>
        <w:rPr>
          <w:b/>
          <w:bCs/>
        </w:rPr>
        <w:t xml:space="preserve">Setup.</w:t>
      </w:r>
      <w:r>
        <w:t xml:space="preserve"> </w:t>
      </w:r>
      <w:r>
        <w:t xml:space="preserve">Every observation process partitions a genome into contiguous observed</w:t>
      </w:r>
      <w:r>
        <w:t xml:space="preserve"> </w:t>
      </w:r>
      <w:r>
        <w:t xml:space="preserve">segments: contigs (assembly), 1-to-1 blocks (nucmer), or anchor chains (Syn2bANI).</w:t>
      </w:r>
      <w:r>
        <w:t xml:space="preserve"> </w:t>
      </w:r>
      <w:r>
        <w:t xml:space="preserve">A genome carrying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landmarks, cut into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segments, has</w:t>
      </w:r>
      <w:r>
        <w:t xml:space="preserve"> </w:t>
      </w:r>
      <w:r>
        <w:rPr>
          <w:rStyle w:val="VerbatimChar"/>
        </w:rPr>
        <w:t xml:space="preserve">K − 1</w:t>
      </w:r>
      <w:r>
        <w:t xml:space="preserve"> </w:t>
      </w:r>
      <w:r>
        <w:t xml:space="preserve">internal</w:t>
      </w:r>
      <w:r>
        <w:t xml:space="preserve"> </w:t>
      </w:r>
      <w:r>
        <w:t xml:space="preserve">boundaries at which adjacency information is absent — not contradicted.</w:t>
      </w:r>
    </w:p>
    <w:p>
      <w:pPr>
        <w:pStyle w:val="BodyText"/>
      </w:pPr>
      <w:r>
        <w:rPr>
          <w:b/>
          <w:bCs/>
        </w:rPr>
        <w:t xml:space="preserve">Transition counts acquire a term linear in K.</w:t>
      </w:r>
      <w:r>
        <w:t xml:space="preserve"> </w:t>
      </w:r>
      <w:r>
        <w:t xml:space="preserve">Observable adjacencies drop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(circular) to</w:t>
      </w:r>
      <w:r>
        <w:t xml:space="preserve"> </w:t>
      </w:r>
      <w:r>
        <w:rPr>
          <w:rStyle w:val="VerbatimChar"/>
        </w:rPr>
        <w:t xml:space="preserve">S − K</w:t>
      </w:r>
      <w:r>
        <w:t xml:space="preserve">, so any statistic that counts transitions —</w:t>
      </w:r>
      <w:r>
        <w:t xml:space="preserve"> </w:t>
      </w:r>
      <w:r>
        <w:t xml:space="preserve">junctions, breakpoints, blocks, chain ends — has</w:t>
      </w:r>
    </w:p>
    <w:p>
      <w:pPr>
        <w:pStyle w:val="SourceCode"/>
      </w:pPr>
      <w:r>
        <w:rPr>
          <w:rStyle w:val="VerbatimChar"/>
        </w:rPr>
        <w:t xml:space="preserve">E[T] = T_true + c·(K − 1) + …</w:t>
      </w:r>
    </w:p>
    <w:p>
      <w:pPr>
        <w:pStyle w:val="FirstParagraph"/>
      </w:pPr>
      <w:r>
        <w:t xml:space="preserve">where the constant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decided by one design choice: is an absent adjacency</w:t>
      </w:r>
      <w:r>
        <w:t xml:space="preserve"> </w:t>
      </w:r>
      <w:r>
        <w:t xml:space="preserve">counted as a contradicted one? Measured values of</w:t>
      </w:r>
      <w:r>
        <w:t xml:space="preserve"> </w:t>
      </w:r>
      <w:r>
        <w:rPr>
          <w:rStyle w:val="VerbatimChar"/>
        </w:rPr>
        <w:t xml:space="preserve">c</w:t>
      </w:r>
      <w:r>
        <w:t xml:space="preserve">: counting absence as a</w:t>
      </w:r>
      <w:r>
        <w:t xml:space="preserve"> </w:t>
      </w:r>
      <w:r>
        <w:t xml:space="preserve">junction gives</w:t>
      </w:r>
      <w:r>
        <w:t xml:space="preserve"> </w:t>
      </w:r>
      <w:r>
        <w:rPr>
          <w:rStyle w:val="VerbatimChar"/>
        </w:rPr>
        <w:t xml:space="preserve">c = 1</w:t>
      </w:r>
      <w:r>
        <w:t xml:space="preserve"> </w:t>
      </w:r>
      <w:r>
        <w:t xml:space="preserve">(119 false junctions on a 120-contig assembly of a genome</w:t>
      </w:r>
      <w:r>
        <w:t xml:space="preserve"> </w:t>
      </w:r>
      <w:r>
        <w:t xml:space="preserve">against itself); dnadiff</w:t>
      </w:r>
      <w:r>
        <w:t xml:space="preserve"> </w:t>
      </w:r>
      <w:r>
        <w:rPr>
          <w:rStyle w:val="VerbatimChar"/>
        </w:rPr>
        <w:t xml:space="preserve">Breakpoints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c = 1</w:t>
      </w:r>
      <w:r>
        <w:t xml:space="preserve"> </w:t>
      </w:r>
      <w:r>
        <w:t xml:space="preserve">by construction (intercept 290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dnadiff_breakpoints = 5.35·breakpoint_count + 290</w:t>
      </w:r>
      <w:r>
        <w:t xml:space="preserve">, with median 92 where</w:t>
      </w:r>
      <w:r>
        <w:t xml:space="preserve"> </w:t>
      </w:r>
      <w:r>
        <w:t xml:space="preserve">Syn2bANI reports zero); requiring a positive contradiction before counting a</w:t>
      </w:r>
      <w:r>
        <w:t xml:space="preserve"> </w:t>
      </w:r>
      <w:r>
        <w:t xml:space="preserve">junction gives</w:t>
      </w:r>
      <w:r>
        <w:t xml:space="preserve"> </w:t>
      </w:r>
      <w:r>
        <w:rPr>
          <w:rStyle w:val="VerbatimChar"/>
        </w:rPr>
        <w:t xml:space="preserve">c = 0</w:t>
      </w:r>
      <w:r>
        <w:t xml:space="preserve"> </w:t>
      </w:r>
      <w:r>
        <w:t xml:space="preserve">(zero false junctions up to K = 1,000). The term is</w:t>
      </w:r>
      <w:r>
        <w:t xml:space="preserve"> </w:t>
      </w:r>
      <w:r>
        <w:t xml:space="preserve">therefore removable in principle, not merely reducible.</w:t>
      </w:r>
    </w:p>
    <w:p>
      <w:pPr>
        <w:pStyle w:val="BodyText"/>
      </w:pPr>
      <w:r>
        <w:rPr>
          <w:b/>
          <w:bCs/>
        </w:rPr>
        <w:t xml:space="preserve">Length-weighted ratios are invariant to K.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F = Σ_{i∈P} ℓ_i / Σ_i ℓ_i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a property that splitting preserves</w:t>
      </w:r>
      <w:r>
        <w:t xml:space="preserve"> </w:t>
      </w:r>
      <w:r>
        <w:t xml:space="preserve">(</w:t>
      </w:r>
      <w:r>
        <w:t xml:space="preserve">“this segment is inverted relative to the other genome”</w:t>
      </w:r>
      <w:r>
        <w:t xml:space="preserve"> </w:t>
      </w:r>
      <w:r>
        <w:t xml:space="preserve">is one). Splitting a</w:t>
      </w:r>
      <w:r>
        <w:t xml:space="preserve"> </w:t>
      </w:r>
      <w:r>
        <w:t xml:space="preserve">segment leaves both sums unchanged, so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does not depend on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at all — no</w:t>
      </w:r>
      <w:r>
        <w:t xml:space="preserve"> </w:t>
      </w:r>
      <w:r>
        <w:t xml:space="preserve">correction term exists to get wrong. Measured:</w:t>
      </w:r>
      <w:r>
        <w:t xml:space="preserve"> </w:t>
      </w:r>
      <w:r>
        <w:rPr>
          <w:rStyle w:val="VerbatimChar"/>
        </w:rPr>
        <w:t xml:space="preserve">inverted_fraction</w:t>
      </w:r>
      <w:r>
        <w:t xml:space="preserve"> </w:t>
      </w:r>
      <w:r>
        <w:t xml:space="preserve">reads 0.000 on</w:t>
      </w:r>
      <w:r>
        <w:t xml:space="preserve"> </w:t>
      </w:r>
      <w:r>
        <w:t xml:space="preserve">a 120-contig self-assembly and regresses on the true inverted base-pair fraction</w:t>
      </w:r>
      <w:r>
        <w:t xml:space="preserve"> </w:t>
      </w:r>
      <w:r>
        <w:t xml:space="preserve">at slope 0.97, R² = 0.999 across a 512-fold range of event lengths and 0–5%</w:t>
      </w:r>
      <w:r>
        <w:t xml:space="preserve"> </w:t>
      </w:r>
      <w:r>
        <w:t xml:space="preserve">divergence. The price is that a ratio carries no event count and saturates past</w:t>
      </w:r>
      <w:r>
        <w:t xml:space="preserve"> </w:t>
      </w:r>
      <w:r>
        <w:t xml:space="preserve">50% inverted. Counts and ratios are therefore complementary with disjoint failure</w:t>
      </w:r>
      <w:r>
        <w:t xml:space="preserve"> </w:t>
      </w:r>
      <w:r>
        <w:t xml:space="preserve">modes: counts localize events but are fragile to fragmentation; ratios are</w:t>
      </w:r>
      <w:r>
        <w:t xml:space="preserve"> </w:t>
      </w:r>
      <w:r>
        <w:t xml:space="preserve">fragmentation-invariant but blind to event number. Syn2bANI reports both and does</w:t>
      </w:r>
      <w:r>
        <w:t xml:space="preserve"> </w:t>
      </w:r>
      <w:r>
        <w:t xml:space="preserve">not derive one from the other. For comparison with a fixed-reference alignment</w:t>
      </w:r>
      <w:r>
        <w:t xml:space="preserve"> </w:t>
      </w:r>
      <w:r>
        <w:t xml:space="preserve">method, the reference-oriented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(range [0, 1], the direct</w:t>
      </w:r>
      <w:r>
        <w:t xml:space="preserve"> </w:t>
      </w:r>
      <w:r>
        <w:t xml:space="preserve">analog of the alignment-based inverted aligned fraction) is used; for undirected</w:t>
      </w:r>
      <w:r>
        <w:t xml:space="preserve"> </w:t>
      </w:r>
      <w:r>
        <w:t xml:space="preserve">all-vs-all screens the mirror-corrected</w:t>
      </w:r>
      <w:r>
        <w:t xml:space="preserve"> </w:t>
      </w:r>
      <w:r>
        <w:rPr>
          <w:rStyle w:val="VerbatimChar"/>
        </w:rPr>
        <w:t xml:space="preserve">min(raw, 1 − raw)</w:t>
      </w:r>
      <w:r>
        <w:t xml:space="preserve"> </w:t>
      </w:r>
      <w:r>
        <w:t xml:space="preserve">is appropriate</w:t>
      </w:r>
      <w:r>
        <w:t xml:space="preserve"> </w:t>
      </w:r>
      <w:r>
        <w:t xml:space="preserve">(Supplementary Fig. S14).</w:t>
      </w:r>
    </w:p>
    <w:p>
      <w:pPr>
        <w:pStyle w:val="BodyText"/>
      </w:pPr>
      <w:r>
        <w:rPr>
          <w:b/>
          <w:bCs/>
        </w:rPr>
        <w:t xml:space="preserve">Corollary: the sensitivity discount, in closed form.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 = 0</w:t>
      </w:r>
      <w:r>
        <w:t xml:space="preserve">, what</w:t>
      </w:r>
      <w:r>
        <w:t xml:space="preserve"> </w:t>
      </w:r>
      <w:r>
        <w:t xml:space="preserve">remains is a loss of sensitivity — junctions falling at segment boundaries are</w:t>
      </w:r>
      <w:r>
        <w:t xml:space="preserve"> </w:t>
      </w:r>
      <w:r>
        <w:t xml:space="preserve">invisible. That share is exactly the observable adjacency fraction,</w:t>
      </w:r>
      <w:r>
        <w:t xml:space="preserve"> </w:t>
      </w:r>
      <w:r>
        <w:rPr>
          <w:rStyle w:val="VerbatimChar"/>
        </w:rPr>
        <w:t xml:space="preserve">observable_fraction ≈ 1 − (K − 1)/S</w:t>
      </w:r>
      <w:r>
        <w:t xml:space="preserve">, exact to four decimals up to K = 300 on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with the default panel, and an unbiased predictor of surviving junctions</w:t>
      </w:r>
      <w:r>
        <w:t xml:space="preserve"> </w:t>
      </w:r>
      <w:r>
        <w:t xml:space="preserve">(mean error −0.31, sd 1.26 against a binomial sampling sd of ≈1.5 at a truth of</w:t>
      </w:r>
      <w:r>
        <w:t xml:space="preserve"> </w:t>
      </w:r>
      <w:r>
        <w:t xml:space="preserve">10, over 16 fragmentation levels). In scale-free form: recovery is essentially</w:t>
      </w:r>
      <w:r>
        <w:t xml:space="preserve"> </w:t>
      </w:r>
      <w:r>
        <w:t xml:space="preserve">complete while segments hold ≳10 landmarks, i.e. contig N50 ≳ 10× the landmark</w:t>
      </w:r>
      <w:r>
        <w:t xml:space="preserve"> </w:t>
      </w:r>
      <w:r>
        <w:t xml:space="preserve">spacing (~15 kb for the default four-enzyme panel).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2026-09-12T01:35:07Z</dcterms:created>
  <dcterms:modified xsi:type="dcterms:W3CDTF">2026-09-12T01:35:07Z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