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The calibration is trained on complete genomes and is intended for complete-genome databases; for metagenome-assembled genomes the raw gated estimate is recommended.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Enterobacteriaceae subsets of 2–22 genomes and on database-scale GTDB-R207 runs. For ANI-only all-vs-all comparison on 22 genomes (484 pairs), Syn2bANI takes 3.7 s from FASTA (2.8 s reusing sketches), against 17.7 s for FastANI and 0.15 s for skani (the latter reports only 302/484 pairs because of its minimum-AF filter and excludes sketching). Peak memory is 58 MB with sketch reuse versus 185 MB (skani) and 912 MB (FastANI). For one-to-all search, Syn2bANI scales sub-linearly with the number of references and remains faster than FastANI; skani is fastest for this use case. Because Syn2bANI reports both ANI and SV metrics in the same pass, a fair comparison with skani or FastANI requires adding an SV caller: skani + dnadiff takes ~1,843 s for the same 484 pairs, whereas Syn2bANI computes ANI plus SV in 7.6 s with sketch reuse — a &gt;240-fold speedup (Fig. 4–5).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The stage-1 screen that makes this scaling possible rejects 83–87% of random pairs while retaining all 500 validated true pairs (0% false-reject rate; stage-level decomposition and screen statistics in Supplementary Table S6).</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summarized in Supplementary Note 7 and derived in full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Because the metric is reference-oriented, undirected all-vs-all comparisons require the mirror-corrected value</w:t>
      </w:r>
      <w:r>
        <w:t xml:space="preserve"> </w:t>
      </w:r>
      <w:r>
        <w:rPr>
          <w:rStyle w:val="VerbatimChar"/>
        </w:rPr>
        <w:t xml:space="preserve">min(raw, 1 − raw)</w:t>
      </w:r>
      <w:r>
        <w:t xml:space="preserve">: in a cohort of 701 closed GTDB-R207 genomes (61,537 conspecific pairs), the raw ratio has a biologically implausible median of 0.36, driven by arbitrary global strand and start-coordinate conventions — 38.9% of pairs are whole-genome reverse-complements of each other — whereas the corrected ratio has a median of 0.18 (Supplementary Fig. S14).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translocation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A diagnostic check confirmed that this pattern is origin rotation (different start coordinate) rather than whole-genome reverse complement: among calls spanning ≥20% of the chromosome, 496/497 were translocations and only one was an inversion.</w:t>
      </w:r>
    </w:p>
    <w:p>
      <w:pPr>
        <w:pStyle w:val="BodyText"/>
      </w:pPr>
      <w:r>
        <w:t xml:space="preserve">The extended state remained strongly associated with FastBAPS lineage (χ² = 58.75, df = 12, p = 3.8 × 10⁻⁸). Disease-stage associations were evaluated with both crude 2×2 odds ratios and Cochran–Mantel–Haenszel tests stratified by FastBAPS lineage (Supplementary Table S4). Only cagPAI presence (GC vs NAG) showed a nominally significant crude association (OR = 2.16, 95% CI 1.13–4.13, p = 0.018); after lineage stratification the Mantel–Haenszel OR was 1.70 (CMH p = 0.12), and the Breslow–Day test indicated significant heterogeneity across lineages (p = 0.005). The other three contrasts were not significant even before stratification (rearrangement GC vs NAG crude p = 0.70; presence advanced vs early p = 0.58; rearrangement advanced vs early p = 0.93), and rearrangement associations remained non-significant across artifact-span thresholds from 0.20 to 0.50. Thus the architecture–disease signal in this collection is largely driven by lineage structure, and the crude presence association is attenuated but not abolished after stratification. The key biological result that survives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pPr>
        <w:pStyle w:val="BodyText"/>
      </w:pPr>
      <w:r>
        <w:t xml:space="preserve">The marker panel was further cross-validated against independent molecular typing generated by the study collaborators (cagA detection with EPIYA genotyping and genome-level rescue, vacA s/i/m typing). cagA detection agreed with cagPAI presence with near-perfect concordance — cagPAI-complete genomes were cagA-positive in 429/431 cases (OR = 783, 95% CI 179–3,421, p = 7 × 10⁻⁶⁸) — and the association was homogeneous across FastBAPS lineages (Mantel–Haenszel OR = 3,986, CMH p &lt; 10⁻¹⁶; Breslow–Day p = 0.96), so it is not driven by any single lineage. As expected for a presence/absence assay, the panel does not predict cagA EPIYA allele structure (χ² p = 0.52), and cagPAI presence tracked the toxigenic vacA s1/i1 genotypes (OR = 556 and 38), consistent with their known co-inheritance (Supplementary Table S5).</w:t>
      </w:r>
    </w:p>
    <w:p>
      <w:pPr>
        <w:pStyle w:val="BodyText"/>
      </w:pPr>
      <w:r>
        <w:t xml:space="preserve">To establish whether discordant isolates represent panel errors or biology, we reviewed all 26 genomes with disagreement between marker state and cagA typing at the assembly level, re-anchoring all 28 markers with minimap2, running a cagA-specific alignment, and measuring cagPAI-window coverage against reference 26695. None was caused by assembly incompleteness. Seventeen genomes had lost the island backbone but retained cagA sequence at the evacuated site — near full-length in 8 and fragmentary in 9 — including 11 of the 13 genomes classified as cagPAI-empty (the other two carry a clean, fully assembled island deletion with assembled flanks and struct-supported deletion calls). The two cagPAI-complete but cagA-negative genomes (both FastBAPS L3; Mexico and Honduras) carry a precise excision restricted to the cagA locus — 25–26 of 28 markers present, island identity 0.97, cagA-locus coverage dropping from 100% to 0% at 2-kb resolution — a genuine cagA-loss architecture for which the panel and the typing call are both correct. The remaining five disagreements were partial-state calls in high-divergence East-Asian and Latin-American backgrounds where cagA coverage fell just below the 80% marker threshold (0.77–0.79). The panel therefore made no empty-state errors among discordant genomes, and the discordant set itself yielded structural biology invisible to either assay alone: cagA-specific loss on an otherwise intact island, and full-length cagA retention at an evacuated insertion site.</w:t>
      </w:r>
    </w:p>
    <w:p>
      <w:pPr>
        <w:pStyle w:val="BodyText"/>
      </w:pPr>
      <w:r>
        <w:t xml:space="preserve">We finally tested whether structural burden marks antibiotic resistance, using genotype-based resistance markers (CARD; macrolide resistance defined by 23S rRNA A2146G/A2147G mutations, for which genotype–phenotype concordance is established). Above-median SV burden was associated with macrolide resistance in the crude analysis (OR = 2.81, 95% CI 1.71–4.62, q = 8.5 × 10⁻⁵) but did not survive lineage stratification (Mantel–Haenszel OR = 1.33, 95% CI 0.73–2.40, p = 0.35; Breslow–Day p = 0.90): FastBAPS L2 (hspEAsia) carries both the highest macrolide-resistance prevalence (28%) and the highest SV burden, so the crude signal reflects lineage structure rather than resistance biology (Supplementary Fig. S13). Fluoroquinolone, tetracycline, and nitroimidazole classes were untestable because CARD annotates the chromosomally intrinsic hp1181 efflux pump in 99.8% of genomes, leaving macrolides as the only discriminatory class in this collection. This negative result reinforces the methodological lesson of the case study: unstratified SV–phenotype correlations in structured bacterial collections are readily confounded by lineage, and structural hypotheses require lineage-aware tests.</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Independent isolate metadata generated by the study collaborators were merged by GCA accession: cagA detection with EPIYA genotyping and genome-level rescue, vacA s/i/m typing, and CARD resistance hits (Perfect/Strict only; macrolide resistance defined by 23S rRNA A2146G/A2147G mutations). Cross-validation and SV–resistance associations used Fisher exact tests with Woolf odds ratios, CMH stratification by FastBAPS lineage, Breslow–Day homogeneity tests, and Benjamini–Hochberg FDR across executed tests. The 26 genomes discordant between marker state and cagA typing were reviewed at assembly level: all 28 markers were re-anchored with</w:t>
      </w:r>
      <w:r>
        <w:t xml:space="preserve"> </w:t>
      </w:r>
      <w:r>
        <w:rPr>
          <w:rStyle w:val="VerbatimChar"/>
        </w:rPr>
        <w:t xml:space="preserve">minimap2 -x asm5 -c</w:t>
      </w:r>
      <w:r>
        <w:t xml:space="preserve">, cagA presence was assayed by marker alignment and 19-mer positional coverage, and cagPAI-window coverage was measured from the minimap2 alignment against reference 26695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(e) Contrast with k-mer tools: skani and FastANI perform an analogous seed-and-chain step, but regress the chains into a single ANI scalar and discard the coordinates; because Syn2bANI’s anchors carry fixed genomic positions, the same pass reports structural information at no extra cost.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hybrid (raw ≥98% / calibrated &lt;98%), skani, and FastANI. Raw and v6-calibrated Syn2bANI variants are shown in Supplementary Figs. S2–S3.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small Enterobacteriaceae subsets.</w:t>
      </w:r>
      <w:r>
        <w:t xml:space="preserve"> </w:t>
      </w:r>
      <w:r>
        <w:t xml:space="preserve">(a) All-vs-all ANI wall time versus number of pairs. (b) One-to-all ANI search wall time versus number of reference genomes. (c) Peak memory for all-vs-all comparison. (d) SV-inclusive workflow wall time, comparing dnadiff alone, skani followed by dnadiff, and Syn2bANI (struct alone or combined ANI+SV from FASTA or pre-built sketches). All timings are medians of three replicates on a Mac Studio (M4 Max, 16 cores) for panels a–c and on a 16-core HPC node for panel d.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 and are orders of magnitude faster than alignment-based SV calling.</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(ANIm ≥ 97%, r = 0.996, slope = 0.986).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(e) Wall time for SV-only or ANI+SV workflows at n = 22 genomes (484 pairs). (f) Speedup of Syn2bANI (ANI+SV, sketch workflow) over dnadiff across subset sizes.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the 20 most discordant pairs (orange) have ANI &gt; 99% yet carry 61–989 SV calls.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cross-validates against independent cagA typing,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(e) Cross-validation against independent cagA molecular typing (collaborator data): cagPAI presence fraction by cagA detection status (OR = 783; lineage-stratified OR = 3,986; Breslow–Day p = 0.96). (f) SV-call burden by CARD macrolide-resistance genotype (23S rRNA); the crude association (OR = 2.81) does not survive FastBAPS-lineage stratification (OR = 1.33). FastBAPS lineage is strongly associated with extended state (χ² = 58.75, df = 12, p = 3.8 × 10⁻⁸), but the disease-stage association is not significant after lineage stratification (CMH p ≥ 0.21). Full association statistics in Supplementary Table S5; lineage-stratified forest plot in Supplementary Fig. S13; assembly-level review of the 26 discordant genomes in the text.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S9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7e86bd043411c6fe0c1c3c5c9e527294f463d34"/>
    <w:p>
      <w:pPr>
        <w:pStyle w:val="Heading2"/>
      </w:pPr>
      <w:r>
        <w:rPr>
          <w:b/>
          <w:bCs/>
        </w:rPr>
        <w:t xml:space="preserve">Supplementary Figure S10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 Throughout the manuscript,</w:t>
      </w:r>
      <w:r>
        <w:t xml:space="preserve"> </w:t>
      </w:r>
      <w:r>
        <w:t xml:space="preserve">“ANI”</w:t>
      </w:r>
      <w:r>
        <w:t xml:space="preserve"> </w:t>
      </w:r>
      <w:r>
        <w:t xml:space="preserve">refers to the hybrid default output unless a row or column is explicitly labelled raw (gated) or calibrated.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 collaborator metadata: cagA EPIYA typing, vacA typing, CARD resistance genotype</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2026-09-12T01:35:07Z</dcterms:created>
  <dcterms:modified xsi:type="dcterms:W3CDTF">2026-09-12T01:35:07Z</dcterms:modified>
</cp:coreProperties>
</file>

<file path=docProps/custom.xml><?xml version="1.0" encoding="utf-8"?>
<Properties xmlns="http://schemas.openxmlformats.org/officeDocument/2006/custom-properties" xmlns:vt="http://schemas.openxmlformats.org/officeDocument/2006/docPropsVTypes"/>
</file>