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3fcc6656da83e08d67075bda016bbdc5c3d5f9"/>
    <w:p>
      <w:pPr>
        <w:pStyle w:val="Heading1"/>
      </w:pPr>
      <w:r>
        <w:t xml:space="preserve">Supplementary Information — Syn2b-ANI: Strain-level ANI estimation and structural comparison via fixed restriction-site anchors</w:t>
      </w:r>
    </w:p>
    <w:p>
      <w:pPr>
        <w:pStyle w:val="FirstParagraph"/>
      </w:pPr>
      <w:r>
        <w:t xml:space="preserve">This document collects the supplementary figure and tables referenced from</w:t>
      </w:r>
      <w:r>
        <w:t xml:space="preserve"> </w:t>
      </w:r>
      <w:r>
        <w:t xml:space="preserve">the main text. All underlying data and analysis scripts are released at</w:t>
      </w:r>
      <w:r>
        <w:t xml:space="preserve"> </w:t>
      </w:r>
      <w:r>
        <w:t xml:space="preserve">https://github.com/HuangShiLab/Syn2bANI-paper.</w:t>
      </w:r>
    </w:p>
    <w:bookmarkStart w:id="9" w:name="X142c0cbb90bcdb084ecc8d3411164e03ee9deb4"/>
    <w:p>
      <w:pPr>
        <w:pStyle w:val="Heading2"/>
      </w:pPr>
      <w:r>
        <w:t xml:space="preserve">Supplementary Figure S1 — Synteny benchmark: exact-truth inversion ladder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figures/report/fig_synteny_ladder.png</w:t>
      </w:r>
      <w:r>
        <w:t xml:space="preserve">)</w:t>
      </w:r>
    </w:p>
    <w:p>
      <w:pPr>
        <w:pStyle w:val="BodyText"/>
      </w:pPr>
      <w:r>
        <w:t xml:space="preserve">E. coli MG1655 evolved to ANI 95.00/98.00 (counted substitutions) with 0–32</w:t>
      </w:r>
      <w:r>
        <w:t xml:space="preserve"> </w:t>
      </w:r>
      <w:r>
        <w:t xml:space="preserve">non-overlapping inversions (100–400 kb; 2 true breakpoints each).</w:t>
      </w:r>
      <w:r>
        <w:t xml:space="preserve"> </w:t>
      </w:r>
      <w:r>
        <w:t xml:space="preserve">(a) syn2bani breakpoint_count vs truth: exact on all 14 rungs (0–64).</w:t>
      </w:r>
      <w:r>
        <w:t xml:space="preserve"> </w:t>
      </w:r>
      <w:r>
        <w:t xml:space="preserve">(b) synteny_score vs inversion count: monotone decline 1.0000 → 0.9835.</w:t>
      </w:r>
      <w:r>
        <w:t xml:space="preserve"> </w:t>
      </w:r>
      <w:r>
        <w:t xml:space="preserve">(c) ANI estimate vs inversion count: invariant (94.95–95.00 at true 95.00;</w:t>
      </w:r>
      <w:r>
        <w:t xml:space="preserve"> </w:t>
      </w:r>
      <w:r>
        <w:t xml:space="preserve">98.00–98.01 at true 98.00). Wall time 50–70 ms per pair. Specificity on 695</w:t>
      </w:r>
      <w:r>
        <w:t xml:space="preserve"> </w:t>
      </w:r>
      <w:r>
        <w:t xml:space="preserve">real MAG pairs (dnadiff-derived truth, median 0 breaks): median</w:t>
      </w:r>
      <w:r>
        <w:t xml:space="preserve"> </w:t>
      </w:r>
      <w:r>
        <w:t xml:space="preserve">synteny_score 0.9997, no spurious structural flags. Data and report:</w:t>
      </w:r>
      <w:r>
        <w:t xml:space="preserve"> </w:t>
      </w:r>
      <w:r>
        <w:rPr>
          <w:rStyle w:val="VerbatimChar"/>
        </w:rPr>
        <w:t xml:space="preserve">results/synteny_bench/</w:t>
      </w:r>
      <w:r>
        <w:t xml:space="preserve">.</w:t>
      </w:r>
    </w:p>
    <w:bookmarkEnd w:id="9"/>
    <w:bookmarkStart w:id="10" w:name="Xaf75ea201c68b3991c0a496ef9b243e8e5da9b8"/>
    <w:p>
      <w:pPr>
        <w:pStyle w:val="Heading2"/>
      </w:pPr>
      <w:r>
        <w:t xml:space="preserve">Supplementary Figure S2 — Held-out GTDB-R207 benchmark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figures/report/fig_gtdb50k_heldout.png</w:t>
      </w:r>
      <w:r>
        <w:t xml:space="preserve">)</w:t>
      </w:r>
    </w:p>
    <w:p>
      <w:pPr>
        <w:pStyle w:val="BodyText"/>
      </w:pPr>
      <w:r>
        <w:t xml:space="preserve">43,334 same-genus pairs sampled from GTDB R207 representatives (24,831</w:t>
      </w:r>
      <w:r>
        <w:t xml:space="preserve"> </w:t>
      </w:r>
      <w:r>
        <w:t xml:space="preserve">genomes, 74 phyla), with every genome of the 2,520-pair calibration training</w:t>
      </w:r>
      <w:r>
        <w:t xml:space="preserve"> </w:t>
      </w:r>
      <w:r>
        <w:t xml:space="preserve">matrix excluded in both directions; dnadiff/ANIm truth for all pairs. The</w:t>
      </w:r>
      <w:r>
        <w:t xml:space="preserve"> </w:t>
      </w:r>
      <w:r>
        <w:t xml:space="preserve">gate, consistency flag, and calibration v5 were frozen before evaluation.</w:t>
      </w:r>
      <w:r>
        <w:t xml:space="preserve"> </w:t>
      </w:r>
      <w:r>
        <w:t xml:space="preserve">Panels show the scored subset (n = 39,903; 3,431 BELOW_DETECTION pairs</w:t>
      </w:r>
      <w:r>
        <w:t xml:space="preserve"> </w:t>
      </w:r>
      <w:r>
        <w:t xml:space="preserve">unscored by design). (a) Calibrated Syn2bANI v5 vs ANIm (MAE 0.619, bias</w:t>
      </w:r>
      <w:r>
        <w:t xml:space="preserve"> </w:t>
      </w:r>
      <w:r>
        <w:t xml:space="preserve">-0.12, r = 0.962). (b) skani vs ANIm on the same pairs (MAE 0.957, bias</w:t>
      </w:r>
      <w:r>
        <w:t xml:space="preserve"> </w:t>
      </w:r>
      <w:r>
        <w:t xml:space="preserve">-0.80, r = 0.973). (c) Per-band MAE. (d) Signed-error distributions.</w:t>
      </w:r>
      <w:r>
        <w:t xml:space="preserve"> </w:t>
      </w:r>
      <w:r>
        <w:t xml:space="preserve">Per-pair truth, tool output, per-band and per-phylum metrics:</w:t>
      </w:r>
      <w:r>
        <w:t xml:space="preserve"> </w:t>
      </w:r>
      <w:r>
        <w:rPr>
          <w:rStyle w:val="VerbatimChar"/>
        </w:rPr>
        <w:t xml:space="preserve">results/gtdb50k/</w:t>
      </w:r>
      <w:r>
        <w:t xml:space="preserve"> </w:t>
      </w:r>
      <w:r>
        <w:t xml:space="preserve">(report</w:t>
      </w:r>
      <w:r>
        <w:t xml:space="preserve"> </w:t>
      </w:r>
      <w:r>
        <w:rPr>
          <w:rStyle w:val="VerbatimChar"/>
        </w:rPr>
        <w:t xml:space="preserve">GTDB50K_HELDOUT_REPORT.md</w:t>
      </w:r>
      <w:r>
        <w:t xml:space="preserve">, metrics</w:t>
      </w:r>
      <w:r>
        <w:t xml:space="preserve"> </w:t>
      </w:r>
      <w:r>
        <w:rPr>
          <w:rStyle w:val="VerbatimChar"/>
        </w:rPr>
        <w:t xml:space="preserve">gtdb50k_metrics.tsv</w:t>
      </w:r>
      <w:r>
        <w:t xml:space="preserve">); pipeline</w:t>
      </w:r>
      <w:r>
        <w:t xml:space="preserve"> </w:t>
      </w:r>
      <w:r>
        <w:rPr>
          <w:rStyle w:val="VerbatimChar"/>
        </w:rPr>
        <w:t xml:space="preserve">scripts/gtdb50k/</w:t>
      </w:r>
      <w:r>
        <w:t xml:space="preserve">.</w:t>
      </w:r>
    </w:p>
    <w:bookmarkEnd w:id="10"/>
    <w:bookmarkStart w:id="11" w:name="Xb79c9bf020a903d02af45c43b651fa33d5c8e03"/>
    <w:p>
      <w:pPr>
        <w:pStyle w:val="Heading2"/>
      </w:pPr>
      <w:r>
        <w:t xml:space="preserve">Supplementary Table S1 — MAG accuracy by CheckM2 quality tier</w:t>
      </w:r>
    </w:p>
    <w:p>
      <w:pPr>
        <w:pStyle w:val="FirstParagraph"/>
      </w:pPr>
      <w:r>
        <w:t xml:space="preserve">695 CAMI2 bins vs dnadiff ANIm truth (raw gated syn2bani; skani; FastANI).</w:t>
      </w:r>
      <w:r>
        <w:t xml:space="preserve"> </w:t>
      </w:r>
      <w:r>
        <w:t xml:space="preserve">Full per-group metrics:</w:t>
      </w:r>
      <w:r>
        <w:t xml:space="preserve"> </w:t>
      </w:r>
      <w:r>
        <w:rPr>
          <w:rStyle w:val="VerbatimChar"/>
        </w:rPr>
        <w:t xml:space="preserve">results/mag_validation/MAG_METRICS.tsv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syn2bani MAE</w:t>
            </w:r>
          </w:p>
        </w:tc>
        <w:tc>
          <w:tcPr/>
          <w:p>
            <w:pPr>
              <w:pStyle w:val="Compact"/>
            </w:pPr>
            <w:r>
              <w:t xml:space="preserve">skani MAE</w:t>
            </w:r>
          </w:p>
        </w:tc>
        <w:tc>
          <w:tcPr/>
          <w:p>
            <w:pPr>
              <w:pStyle w:val="Compact"/>
            </w:pPr>
            <w:r>
              <w:t xml:space="preserve">FastANI MAE</w:t>
            </w:r>
          </w:p>
        </w:tc>
        <w:tc>
          <w:tcPr/>
          <w:p>
            <w:pPr>
              <w:pStyle w:val="Compact"/>
            </w:pPr>
            <w:r>
              <w:t xml:space="preserve">syn2bani within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LQ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</w:tr>
    </w:tbl>
    <w:bookmarkEnd w:id="11"/>
    <w:bookmarkStart w:id="12" w:name="X1d1a5b89358b225a547ea735bc71b43678427f8"/>
    <w:p>
      <w:pPr>
        <w:pStyle w:val="Heading2"/>
      </w:pPr>
      <w:r>
        <w:t xml:space="preserve">Supplementary Table S2 — MAG accuracy by contamination class</w:t>
      </w:r>
    </w:p>
    <w:p>
      <w:pPr>
        <w:pStyle w:val="FirstParagraph"/>
      </w:pPr>
      <w:r>
        <w:t xml:space="preserve">Class from CAMI2 ground-truth contig assignment (clean 305 / strain-mixed</w:t>
      </w:r>
      <w:r>
        <w:t xml:space="preserve"> </w:t>
      </w:r>
      <w:r>
        <w:t xml:space="preserve">253 / cross-species 137).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syn2bani MAE</w:t>
            </w:r>
          </w:p>
        </w:tc>
        <w:tc>
          <w:tcPr/>
          <w:p>
            <w:pPr>
              <w:pStyle w:val="Compact"/>
            </w:pPr>
            <w:r>
              <w:t xml:space="preserve">syn2bani bias</w:t>
            </w:r>
          </w:p>
        </w:tc>
        <w:tc>
          <w:tcPr/>
          <w:p>
            <w:pPr>
              <w:pStyle w:val="Compact"/>
            </w:pPr>
            <w:r>
              <w:t xml:space="preserve">skani MAE</w:t>
            </w:r>
          </w:p>
        </w:tc>
        <w:tc>
          <w:tcPr/>
          <w:p>
            <w:pPr>
              <w:pStyle w:val="Compact"/>
            </w:pPr>
            <w:r>
              <w:t xml:space="preserve">FastANI MAE</w:t>
            </w:r>
          </w:p>
        </w:tc>
        <w:tc>
          <w:tcPr/>
          <w:p>
            <w:pPr>
              <w:pStyle w:val="Compact"/>
            </w:pPr>
            <w:r>
              <w:t xml:space="preserve">FastANI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+0.083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+0.044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strain-mixed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+0.159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−0.081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cross-species</w:t>
            </w:r>
          </w:p>
        </w:tc>
        <w:tc>
          <w:tcPr/>
          <w:p>
            <w:pPr>
              <w:pStyle w:val="Compact"/>
            </w:pPr>
            <w:r>
              <w:t xml:space="preserve">0.326</w:t>
            </w:r>
          </w:p>
        </w:tc>
        <w:tc>
          <w:tcPr/>
          <w:p>
            <w:pPr>
              <w:pStyle w:val="Compact"/>
            </w:pPr>
            <w:r>
              <w:t xml:space="preserve">+0.314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0.656</w:t>
            </w:r>
          </w:p>
        </w:tc>
        <w:tc>
          <w:tcPr/>
          <w:p>
            <w:pPr>
              <w:pStyle w:val="Compact"/>
            </w:pPr>
            <w:r>
              <w:t xml:space="preserve">−0.605</w:t>
            </w:r>
          </w:p>
        </w:tc>
      </w:tr>
    </w:tbl>
    <w:bookmarkEnd w:id="12"/>
    <w:bookmarkStart w:id="13" w:name="X791b5905c3cbd3b80da6a27b4633a9dc2eda705"/>
    <w:p>
      <w:pPr>
        <w:pStyle w:val="Heading2"/>
      </w:pPr>
      <w:r>
        <w:t xml:space="preserve">Supplementary Table S3 — MAG accuracy by dnadiff alignment-fraction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 tier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syn2bani MAE</w:t>
            </w:r>
          </w:p>
        </w:tc>
        <w:tc>
          <w:tcPr/>
          <w:p>
            <w:pPr>
              <w:pStyle w:val="Compact"/>
            </w:pPr>
            <w:r>
              <w:t xml:space="preserve">syn2bani within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(≥ 60%)</w:t>
            </w:r>
          </w:p>
        </w:tc>
        <w:tc>
          <w:tcPr/>
          <w:p>
            <w:pPr>
              <w:pStyle w:val="Compact"/>
            </w:pPr>
            <w:r>
              <w:t xml:space="preserve">638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low-AF (30–60%)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72.5%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verylow-AF (&lt; 30%)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52.9%</w:t>
            </w:r>
          </w:p>
        </w:tc>
      </w:tr>
    </w:tbl>
    <w:bookmarkEnd w:id="13"/>
    <w:bookmarkStart w:id="14" w:name="Xe280e63292e65e7cc12ffc5dad24d6a06d19d0f"/>
    <w:p>
      <w:pPr>
        <w:pStyle w:val="Heading2"/>
      </w:pPr>
      <w:r>
        <w:t xml:space="preserve">Supplementary Note 1 — Calibration is input-regime-specific (MAG test)</w:t>
      </w:r>
    </w:p>
    <w:p>
      <w:pPr>
        <w:pStyle w:val="FirstParagraph"/>
      </w:pPr>
      <w:r>
        <w:t xml:space="preserve">The 695 MAG anchor pairs were re-run with</w:t>
      </w:r>
      <w:r>
        <w:t xml:space="preserve"> </w:t>
      </w:r>
      <w:r>
        <w:rPr>
          <w:rStyle w:val="VerbatimChar"/>
        </w:rPr>
        <w:t xml:space="preserve">ani --calibrate</w:t>
      </w:r>
      <w:r>
        <w:t xml:space="preserve"> </w:t>
      </w:r>
      <w:r>
        <w:t xml:space="preserve">(deployed v5</w:t>
      </w:r>
      <w:r>
        <w:t xml:space="preserve"> </w:t>
      </w:r>
      <w:r>
        <w:t xml:space="preserve">ridge model trained on complete GTDB genomes). Calibrated MAE is 1.261</w:t>
      </w:r>
      <w:r>
        <w:t xml:space="preserve"> </w:t>
      </w:r>
      <w:r>
        <w:t xml:space="preserve">(bias −1.243) versus 0.163 for the raw gated estimate; the degradation is</w:t>
      </w:r>
      <w:r>
        <w:t xml:space="preserve"> </w:t>
      </w:r>
      <w:r>
        <w:t xml:space="preserve">worst on low-quality (2.307) and cross-species (2.091) bins, and 43</w:t>
      </w:r>
      <w:r>
        <w:t xml:space="preserve"> </w:t>
      </w:r>
      <w:r>
        <w:t xml:space="preserve">near-clonal pairs are pushed above 100. The model learned the +2.02 raw</w:t>
      </w:r>
      <w:r>
        <w:t xml:space="preserve"> </w:t>
      </w:r>
      <w:r>
        <w:t xml:space="preserve">bias of complete-genome pairs, while raw bias on MAGs is only +0.16, so the</w:t>
      </w:r>
      <w:r>
        <w:t xml:space="preserve"> </w:t>
      </w:r>
      <w:r>
        <w:t xml:space="preserve">correction overshoots. This is the direct evidence for the design rule that</w:t>
      </w:r>
      <w:r>
        <w:t xml:space="preserve"> </w:t>
      </w:r>
      <w:r>
        <w:t xml:space="preserve">calibrated output is a separate, labelled column and never a silent</w:t>
      </w:r>
      <w:r>
        <w:t xml:space="preserve"> </w:t>
      </w:r>
      <w:r>
        <w:t xml:space="preserve">replacement; on draft/MAG inputs the raw gated estimate is recommended.</w:t>
      </w:r>
      <w:r>
        <w:t xml:space="preserve"> </w:t>
      </w:r>
      <w:r>
        <w:t xml:space="preserve">Data:</w:t>
      </w:r>
      <w:r>
        <w:t xml:space="preserve"> </w:t>
      </w:r>
      <w:r>
        <w:rPr>
          <w:rStyle w:val="VerbatimChar"/>
        </w:rPr>
        <w:t xml:space="preserve">results/mag_validation/collect/ani_calibrated.tsv</w:t>
      </w:r>
      <w:r>
        <w:t xml:space="preserve">.</w:t>
      </w:r>
    </w:p>
    <w:bookmarkEnd w:id="14"/>
    <w:bookmarkStart w:id="15" w:name="Xd013ccaae7d4dde06816ab37078854f863f6c97"/>
    <w:p>
      <w:pPr>
        <w:pStyle w:val="Heading2"/>
      </w:pPr>
      <w:r>
        <w:t xml:space="preserve">Supplementary Note 2 — Calibration learning curve</w:t>
      </w:r>
    </w:p>
    <w:p>
      <w:pPr>
        <w:pStyle w:val="FirstParagraph"/>
      </w:pPr>
      <w:r>
        <w:t xml:space="preserve">Band-holdout CV MAE of the v5 ridge model as a function of training-set</w:t>
      </w:r>
      <w:r>
        <w:t xml:space="preserve"> </w:t>
      </w:r>
      <w:r>
        <w:t xml:space="preserve">size (subsampled from the 2,520-pair ANIm training matrix):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pairs</w:t>
            </w:r>
          </w:p>
        </w:tc>
        <w:tc>
          <w:tcPr/>
          <w:p>
            <w:pPr>
              <w:pStyle w:val="Compact"/>
            </w:pPr>
            <w:r>
              <w:t xml:space="preserve">CV 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492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984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1,476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1,969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</w:tr>
    </w:tbl>
    <w:p>
      <w:pPr>
        <w:pStyle w:val="BodyText"/>
      </w:pPr>
      <w:r>
        <w:t xml:space="preserve">The linear model plateaus at ~1,500 pairs; expanding the training set</w:t>
      </w:r>
      <w:r>
        <w:t xml:space="preserve"> </w:t>
      </w:r>
      <w:r>
        <w:t xml:space="preserve">further is not expected to improve it (main text, Methods 4.6).</w:t>
      </w:r>
    </w:p>
    <w:bookmarkEnd w:id="15"/>
    <w:bookmarkStart w:id="16" w:name="X335171f238bd89d569aec4e4b5b6643057b0b49"/>
    <w:p>
      <w:pPr>
        <w:pStyle w:val="Heading2"/>
      </w:pPr>
      <w:r>
        <w:t xml:space="preserve">Supplementary Note 3 — Pipeline failure modes and fixes (MAG benchmark)</w:t>
      </w:r>
    </w:p>
    <w:p>
      <w:pPr>
        <w:pStyle w:val="FirstParagraph"/>
      </w:pPr>
      <w:r>
        <w:t xml:space="preserve">The CAMI2 MAG pipeline required six engineering fixes that bear on</w:t>
      </w:r>
      <w:r>
        <w:t xml:space="preserve"> </w:t>
      </w:r>
      <w:r>
        <w:t xml:space="preserve">reproducibility of metagenome benchmarks generally: (i) dnadiff/nucmer</w:t>
      </w:r>
      <w:r>
        <w:t xml:space="preserve"> </w:t>
      </w:r>
      <w:r>
        <w:t xml:space="preserve">(MUMmer 3.23) rejects FASTA files containing any embedded whitespace, and</w:t>
      </w:r>
      <w:r>
        <w:t xml:space="preserve"> </w:t>
      </w:r>
      <w:r>
        <w:t xml:space="preserve">the CAMI2 source genomes carry spaces in both headers and sequence lines —</w:t>
      </w:r>
      <w:r>
        <w:t xml:space="preserve"> </w:t>
      </w:r>
      <w:r>
        <w:t xml:space="preserve">inputs were sanitized (headers truncated at first space, sequence</w:t>
      </w:r>
      <w:r>
        <w:t xml:space="preserve"> </w:t>
      </w:r>
      <w:r>
        <w:t xml:space="preserve">whitespace stripped) with cached copies; (ii) the FastANI CLI flag for the</w:t>
      </w:r>
      <w:r>
        <w:t xml:space="preserve"> </w:t>
      </w:r>
      <w:r>
        <w:t xml:space="preserve">query is</w:t>
      </w:r>
      <w:r>
        <w:t xml:space="preserve"> </w:t>
      </w:r>
      <w:r>
        <w:rPr>
          <w:rStyle w:val="VerbatimChar"/>
        </w:rPr>
        <w:t xml:space="preserve">-q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--q</w:t>
      </w:r>
      <w:r>
        <w:t xml:space="preserve">; (iii) conda environments on shared clusters can</w:t>
      </w:r>
      <w:r>
        <w:t xml:space="preserve"> </w:t>
      </w:r>
      <w:r>
        <w:t xml:space="preserve">be shadowed by user-site packages (numpy ABI mismatch in CheckM2), fixed</w:t>
      </w:r>
      <w:r>
        <w:t xml:space="preserve"> </w:t>
      </w:r>
      <w:r>
        <w:t xml:space="preserve">with PYTHONNOUSERSITE=1. Full incident log:</w:t>
      </w:r>
      <w:r>
        <w:t xml:space="preserve"> </w:t>
      </w:r>
      <w:r>
        <w:rPr>
          <w:rStyle w:val="VerbatimChar"/>
        </w:rPr>
        <w:t xml:space="preserve">results/mag_validation/RUNBOOK.md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2026-08-23T01:22:49Z</dcterms:created>
  <dcterms:modified xsi:type="dcterms:W3CDTF">2026-08-23T01:22:49Z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