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 ridge calibration trained on alignment-based truth corrects real-genome rate heterogeneity where it matters most. In one pass the same anchors yield aligned fraction, an anchor-adjacency conservation score, breakpoint counts, inversion/translocation calls, and indel sizes. On simulations with exact truth Syn2bANI attains MAE 0.073% versus 0.377% (skani) and 0.742% (FastANI), and remains robust to indels, GC variation, accessory content, and fragmentation. On 43,334 held-out GTDB-R207 pairs the calibrated estimator achieves MAE 0.619% against ANIm, compared with 0.957% for skani and 0.977% for FastANI; a hybrid rule restores skani-level accuracy in the near-clonal 97–100% regime. Case studies show that these structural outputs distinguish phenotype- and lineage-associated loci and rearrangements that genome-wide ANI cannot.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pipelines16,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screens4,5,17,18. FastANI popularized an alignment-free approximation from 20-mer seed matches and fragment-level chaining2; skani replaced seeding with sparse k-mer sketches and a regressed chain statistic, gaining orders of magnitude in speed6. Related sketching approaches such as Mash13, Dashing14, and BinDash15 trade accuracy for speed by estimating distances from k-mer containment.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Syn2bANI differs from 2bRAD-M in purpose and machinery: 2bRAD-M profiles community composition from sequencing reads using tag presence/absence, whereas Syn2bANI compares two complete or draft genome sequences and estimates divergence by maximum likelihood from tag mismatch and miss statistics inside chained collinear blocks.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aligned fraction, an anchor-adjacency conservation score, breakpoint counts,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On held-out GTDB-R207 pairs the calibrated estimator is more accurate than skani and FastANI at 80–95% ANI, while a hybrid rule restores skani-level accuracy at 97–100% ANI. The same pass additionally provides synteny and SV outputs that k-mer tools do not report.</w:t>
      </w:r>
    </w:p>
    <w:p>
      <w:r>
        <w:pict>
          <v:rect style="width:0;height:1.5pt" o:hralign="center" o:hrstd="t" o:hr="t"/>
        </w:pict>
      </w:r>
    </w:p>
    <w:bookmarkEnd w:id="11"/>
    <w:bookmarkStart w:id="22"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2a,b).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2c–e; Supplementary Fig. S5 for GC detail). At fixed 95% ANI with 0–4 deletions per 100 kb, errors stay between +0.032 and +0.184 (MAE 0.081). Simulated fragmentation into 20–201 contigs yields errors of +0.018 to +0.179 (MAE 0.093).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A unified 80–100% benchmark that combines the strictly held-out 43,334 same-genus pairs with 727 high-ANI test pairs shows the hybrid estimator (raw ≥ 98% / calibrated &lt; 98%) attaining the lowest overall MAE (</w:t>
      </w:r>
      <w:r>
        <w:rPr>
          <w:b/>
          <w:bCs/>
        </w:rPr>
        <w:t xml:space="preserve">0.615</w:t>
      </w:r>
      <w:r>
        <w:t xml:space="preserve">), recovering the strong raw gated performance in the 97–100% regime (MAE 0.23) without degrading 95–97% (Fig. 3). The advantage over skani and FastANI is largest at 80–90% ANI, where the comparators carry a ~1.9-point downward bias. The one-sided upper bound covers ANIm truth on 99.4% of all 43,334 pairs.</w:t>
      </w:r>
    </w:p>
    <w:p>
      <w:pPr>
        <w:pStyle w:val="BodyText"/>
      </w:pPr>
      <w:r>
        <w:t xml:space="preserve">Computational efficiency was measured on Enterobacteriaceae subsets of 2–22 genomes and on database-scale GTDB-R207 runs. For ANI-only all-vs-all comparison on 22 genomes (484 pairs), Syn2bANI takes 3.7 s from FASTA (2.8 s reusing sketches), against 17.7 s for FastANI and 0.15 s for skani (the latter reports only 302/484 pairs because of its minimum-AF filter and excludes sketching). Peak memory is 58 MB with sketch reuse versus 185 MB (skani) and 912 MB (FastANI). For one-to-all search, Syn2bANI scales sub-linearly with the number of references and remains faster than FastANI; skani is fastest for this use case. Because Syn2bANI reports both ANI and SV metrics in the same pass, a fair comparison with skani or FastANI requires adding an SV caller: skani + dnadiff takes ~1,843 s for the same 484 pairs, whereas Syn2bANI computes ANI plus SV in 7.6 s with sketch reuse — a &gt;240-fold speedup (Fig. 4–5).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w:t>
      </w:r>
    </w:p>
    <w:bookmarkEnd w:id="14"/>
    <w:bookmarkStart w:id="15"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5"/>
    <w:bookmarkStart w:id="16"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(Supplementary Fig. S7). By CheckM2 quality tier24,25,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6"/>
    <w:bookmarkStart w:id="17" w:name="X5be024dde2592d6a6a663fd30b3a116f84242f9"/>
    <w:p>
      <w:pPr>
        <w:pStyle w:val="Heading3"/>
      </w:pPr>
      <w:r>
        <w:t xml:space="preserve">Calibration regime-specificity and output selection</w:t>
      </w:r>
    </w:p>
    <w:p>
      <w:pPr>
        <w:pStyle w:val="FirstParagraph"/>
      </w:pPr>
      <w:r>
        <w:t xml:space="preserve">The v5 calibration is trained on complete GTDB-R207 genomes and improves accuracy only in that regime. For fragmented MAGs and mid-ANI pairs, the calibrated column can be substantially worse than the raw gated estimate (MAGs: MAE 1.26 vs 0.163; mid-ANI: 4.48 vs 1.42). We therefore recommend a simple decision rule: use the calibrated column for complete-genome database comparisons and species-level screening; use the raw gated estimate for draft genomes, MAGs, and any pair flagged</w:t>
      </w:r>
      <w:r>
        <w:t xml:space="preserve"> </w:t>
      </w:r>
      <w:r>
        <w:rPr>
          <w:rStyle w:val="VerbatimChar"/>
        </w:rPr>
        <w:t xml:space="preserve">INCONSISTENT</w:t>
      </w:r>
      <w:r>
        <w:t xml:space="preserve"> </w:t>
      </w:r>
      <w:r>
        <w:t xml:space="preserve">or</w:t>
      </w:r>
      <w:r>
        <w:t xml:space="preserve"> </w:t>
      </w:r>
      <w:r>
        <w:rPr>
          <w:rStyle w:val="VerbatimChar"/>
        </w:rPr>
        <w:t xml:space="preserve">BELOW_DETECTION</w:t>
      </w:r>
      <w:r>
        <w:t xml:space="preserve">; and use the hybrid rule (raw ≥98%, calibrated &lt;98%) when a single column must be chosen for mixed inputs.</w:t>
      </w:r>
    </w:p>
    <w:bookmarkEnd w:id="17"/>
    <w:bookmarkStart w:id="18"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Syn2bANI reports several structurally informative quantities from the same anchor chains.</w:t>
      </w:r>
      <w:r>
        <w:t xml:space="preserve"> </w:t>
      </w:r>
      <w:r>
        <w:rPr>
          <w:rStyle w:val="VerbatimChar"/>
        </w:rPr>
        <w:t xml:space="preserve">raw_inverted_fraction</w:t>
      </w:r>
      <w:r>
        <w:t xml:space="preserve"> </w:t>
      </w:r>
      <w:r>
        <w:t xml:space="preserve">is the primary length-weighted rearrangement signal: it measures the fraction of the shared genome that maps in the reverse orientation and is invariant to assembly fragmentation.</w:t>
      </w:r>
      <w:r>
        <w:t xml:space="preserve"> </w:t>
      </w:r>
      <w:r>
        <w:rPr>
          <w:rStyle w:val="VerbatimChar"/>
        </w:rPr>
        <w:t xml:space="preserve">breakpoint_count</w:t>
      </w:r>
      <w:r>
        <w:t xml:space="preserve"> </w:t>
      </w:r>
      <w:r>
        <w:t xml:space="preserve">is a count-based descriptor of chain-disrupting orientation flips, reference-order violations, and large indels; it is useful but must be interpreted with contig-count control because fragmented assemblies inflate it.</w:t>
      </w:r>
      <w:r>
        <w:t xml:space="preserve"> </w:t>
      </w:r>
      <w:r>
        <w:rPr>
          <w:rStyle w:val="VerbatimChar"/>
        </w:rPr>
        <w:t xml:space="preserve">anchor_adjacency</w:t>
      </w:r>
      <w:r>
        <w:t xml:space="preserve"> </w:t>
      </w:r>
      <w:r>
        <w:t xml:space="preserve">is a local anchor-order conservation metric, not a proxy for base-pair synteny.</w:t>
      </w:r>
      <w:r>
        <w:t xml:space="preserve"> </w:t>
      </w:r>
      <w:r>
        <w:rPr>
          <w:rStyle w:val="VerbatimChar"/>
        </w:rPr>
        <w:t xml:space="preserve">af_query</w:t>
      </w:r>
      <w:r>
        <w:t xml:space="preserve"> </w:t>
      </w:r>
      <w:r>
        <w:t xml:space="preserve">is the base-pair fraction of the query covered by chains and corresponds to alignment-based aligned fraction.</w:t>
      </w:r>
      <w:r>
        <w:t xml:space="preserve"> </w:t>
      </w:r>
      <w:r>
        <w:rPr>
          <w:rStyle w:val="VerbatimChar"/>
        </w:rPr>
        <w:t xml:space="preserve">synteny_blocks</w:t>
      </w:r>
      <w:r>
        <w:t xml:space="preserve"> </w:t>
      </w:r>
      <w:r>
        <w:t xml:space="preserve">is the raw chain count and is reported as an assembly-structure diagnostic rather than a rearrangement metric.</w:t>
      </w:r>
    </w:p>
    <w:p>
      <w:pPr>
        <w:pStyle w:val="BodyText"/>
      </w:pPr>
      <w:r>
        <w:t xml:space="preserve">We quantified the ANI–structure decoupling on GTDB-R207 high-AF same-species pairs and on four published isolate collections from a recent synteny-based strain-tracking study10. In GTDB-R207, 336 high-AF pairs with Syn2bANI ANI &gt; 99% span a wide range of anchor adjacency, and the 10 most discordant pairs carry 61–989 SV calls despite near-clonal average sequence (Fig. 6). In the Syntracker isolate collections,</w:t>
      </w:r>
      <w:r>
        <w:t xml:space="preserve"> </w:t>
      </w:r>
      <w:r>
        <w:rPr>
          <w:i/>
          <w:iCs/>
        </w:rPr>
        <w:t xml:space="preserve">E. coli</w:t>
      </w:r>
      <w:r>
        <w:t xml:space="preserve"> </w:t>
      </w:r>
      <w:r>
        <w:t xml:space="preserve">hypermutator pairs with ANI &gt; 99.9% show 850–1,130 breakpoints,</w:t>
      </w:r>
      <w:r>
        <w:t xml:space="preserve"> </w:t>
      </w:r>
      <w:r>
        <w:rPr>
          <w:i/>
          <w:iCs/>
        </w:rPr>
        <w:t xml:space="preserve">H. pylori</w:t>
      </w:r>
      <w:r>
        <w:t xml:space="preserve"> </w:t>
      </w:r>
      <w:r>
        <w:t xml:space="preserve">same-host pairs carry 44–63 breakpoints in the lowest-synteny cases, and</w:t>
      </w:r>
      <w:r>
        <w:t xml:space="preserve"> </w:t>
      </w:r>
      <w:r>
        <w:rPr>
          <w:i/>
          <w:iCs/>
        </w:rPr>
        <w:t xml:space="preserve">S. rimosus</w:t>
      </w:r>
      <w:r>
        <w:t xml:space="preserve"> </w:t>
      </w:r>
      <w:r>
        <w:t xml:space="preserve">reaches 2,957 breakpoints at 99.9945% ANI (Supplementary Fig. S8). Two additional collections reinforce the point: 74</w:t>
      </w:r>
      <w:r>
        <w:t xml:space="preserve"> </w:t>
      </w:r>
      <w:r>
        <w:rPr>
          <w:i/>
          <w:iCs/>
        </w:rPr>
        <w:t xml:space="preserve">E. coli</w:t>
      </w:r>
      <w:r>
        <w:t xml:space="preserve"> </w:t>
      </w:r>
      <w:r>
        <w:t xml:space="preserve">O157:H7 genomes (2,701 pairs, all ANI ≥ 99.886%) carry 171–&gt;1,100 breakpoints (Supplementary Fig. S9), and 122 FDA-ARGOS</w:t>
      </w:r>
      <w:r>
        <w:t xml:space="preserve"> </w:t>
      </w:r>
      <w:r>
        <w:rPr>
          <w:i/>
          <w:iCs/>
        </w:rPr>
        <w:t xml:space="preserve">S. aureus</w:t>
      </w:r>
      <w:r>
        <w:t xml:space="preserve"> </w:t>
      </w:r>
      <w:r>
        <w:t xml:space="preserve">genomes (7,381 pairs, mean ANI 98.72%) show &gt;150 breakpoints even at 100% ANI (Supplementary Fig. S10). These collections exemplify why an ANI-only similarity search can return genomes that are nearly identical in average sequence but differ by hundreds of rearrangements.</w:t>
      </w:r>
    </w:p>
    <w:bookmarkEnd w:id="18"/>
    <w:bookmarkStart w:id="19" w:name="X92400c92582d6c59801983ff28fc6c6eb37ec86"/>
    <w:p>
      <w:pPr>
        <w:pStyle w:val="Heading3"/>
      </w:pPr>
      <w:r>
        <w:t xml:space="preserve">Structural outputs agree with independent truth</w:t>
      </w:r>
    </w:p>
    <w:p>
      <w:pPr>
        <w:pStyle w:val="FirstParagraph"/>
      </w:pPr>
      <w:r>
        <w:t xml:space="preserve">To test whether the breakpoint and coverage metrics are reliable, we compared them with alignment-based truth on the GTDB-R207 held-out benchmark (43,334 pairs). After controlling for assembly contig count and ANIm divergence, Syn2bANI</w:t>
      </w:r>
      <w:r>
        <w:t xml:space="preserve"> </w:t>
      </w:r>
      <w:r>
        <w:rPr>
          <w:rStyle w:val="VerbatimChar"/>
        </w:rPr>
        <w:t xml:space="preserve">breakpoint_count</w:t>
      </w:r>
      <w:r>
        <w:t xml:space="preserve"> </w:t>
      </w:r>
      <w:r>
        <w:t xml:space="preserve">shows a partial correlation of r = 0.414 with dnadiff breakpoints and r = 0.453 with dnadiff large indels (&gt;10 kb). The signal strengthens in the strain-level range: among pairs with ANIm ≥ 95%,</w:t>
      </w:r>
      <w:r>
        <w:t xml:space="preserve"> </w:t>
      </w:r>
      <w:r>
        <w:rPr>
          <w:rStyle w:val="VerbatimChar"/>
        </w:rPr>
        <w:t xml:space="preserve">breakpoint_count</w:t>
      </w:r>
      <w:r>
        <w:t xml:space="preserve"> </w:t>
      </w:r>
      <w:r>
        <w:t xml:space="preserve">correlates with dnadiff large indels at Spearman ρ = 0.674. The base-pair coverage metric</w:t>
      </w:r>
      <w:r>
        <w:t xml:space="preserve"> </w:t>
      </w:r>
      <w:r>
        <w:rPr>
          <w:rStyle w:val="VerbatimChar"/>
        </w:rPr>
        <w:t xml:space="preserve">af_query</w:t>
      </w:r>
      <w:r>
        <w:t xml:space="preserve"> </w:t>
      </w:r>
      <w:r>
        <w:t xml:space="preserve">correlates with dnadiff and minimap2 coverage scores (Spearman r = 0.39 and 0.26), confirming that it is the output that aligns with alignment-based aligned fraction. By contrast, the anchor-adjacency metric</w:t>
      </w:r>
      <w:r>
        <w:t xml:space="preserve"> </w:t>
      </w:r>
      <w:r>
        <w:rPr>
          <w:rStyle w:val="VerbatimChar"/>
        </w:rPr>
        <w:t xml:space="preserve">anchor_adjacency</w:t>
      </w:r>
      <w:r>
        <w:t xml:space="preserve"> </w:t>
      </w:r>
      <w:r>
        <w:t xml:space="preserve">is uncorrelated with rearrangement count and only weakly correlated with base-pair synteny/coverage scores; it should be read as a separate anchor-order statistic, not as a proxy for base-pair synteny.</w:t>
      </w:r>
      <w:r>
        <w:t xml:space="preserve"> </w:t>
      </w:r>
      <w:r>
        <w:rPr>
          <w:rStyle w:val="VerbatimChar"/>
        </w:rPr>
        <w:t xml:space="preserve">synteny_blocks</w:t>
      </w:r>
      <w:r>
        <w:t xml:space="preserve"> </w:t>
      </w:r>
      <w:r>
        <w:t xml:space="preserve">(the raw chain count) is dominated by assembly fragmentation (62% of its variance tracks contig count) and is therefore reported as an assembly-structure diagnostic rather than a rearrangement metric. The mathematical distinction between count-based and ratio-based synteny metrics, and the fragmentation invariance of the latter, is derived in the companion Syn2b repository (</w:t>
      </w:r>
      <w:r>
        <w:rPr>
          <w:rStyle w:val="VerbatimChar"/>
        </w:rPr>
        <w:t xml:space="preserve">docs/MATH_REVIEW.md</w:t>
      </w:r>
      <w:r>
        <w:t xml:space="preserve">; https://github.com/HuangShiLab/Syn2b).</w:t>
      </w:r>
    </w:p>
    <w:p>
      <w:pPr>
        <w:pStyle w:val="BodyText"/>
      </w:pPr>
      <w:r>
        <w:t xml:space="preserve">A length-weighted orientation metric,</w:t>
      </w:r>
      <w:r>
        <w:t xml:space="preserve"> </w:t>
      </w:r>
      <w:r>
        <w:rPr>
          <w:rStyle w:val="VerbatimChar"/>
        </w:rPr>
        <w:t xml:space="preserve">raw_inverted_fraction</w:t>
      </w:r>
      <w:r>
        <w:t xml:space="preserve">, avoids the fragmentation confounder by construction. In fixed-reference mode it agrees one-to-one with dnadiff across the held-out set (Pearson r = 0.936) and is near-exact in the strain range (r = 0.996, slope 1.006, intercept −0.004 for ANIm ≥ 97%; Fig. 5a,b). A closed-form standard-error model based on the number of shared landmarks reproduces the observed spread (R² = 0.999 across divergence bins), so each reported inversion fraction can carry its own uncertainty. The detection-power limits underlying these resolution numbers are characterized in</w:t>
      </w:r>
      <w:r>
        <w:t xml:space="preserve"> </w:t>
      </w:r>
      <w:r>
        <w:rPr>
          <w:rStyle w:val="VerbatimChar"/>
        </w:rPr>
        <w:t xml:space="preserve">docs/PHASE2_DETECTION_POWER.md</w:t>
      </w:r>
      <w:r>
        <w:t xml:space="preserve"> </w:t>
      </w:r>
      <w:r>
        <w:t xml:space="preserve">of the companion Syn2b repository (https://github.com/HuangShiLab/Syn2b).</w:t>
      </w:r>
    </w:p>
    <w:p>
      <w:pPr>
        <w:pStyle w:val="BodyText"/>
      </w:pPr>
      <w:r>
        <w:t xml:space="preserve">On an engineered</w:t>
      </w:r>
      <w:r>
        <w:t xml:space="preserve"> </w:t>
      </w:r>
      <w:r>
        <w:rPr>
          <w:i/>
          <w:iCs/>
        </w:rPr>
        <w:t xml:space="preserve">H. pylori</w:t>
      </w:r>
      <w:r>
        <w:t xml:space="preserve"> </w:t>
      </w:r>
      <w:r>
        <w:t xml:space="preserve">cagPAI test panel, a 36,154 bp deletion/insertion is recovered as a single insertion call of 36,154 bp (Fig. 8a).</w:t>
      </w:r>
    </w:p>
    <w:bookmarkEnd w:id="19"/>
    <w:bookmarkStart w:id="20" w:name="X22ca90b5ddbcd0e54633185a36b80aa5112cf3f"/>
    <w:p>
      <w:pPr>
        <w:pStyle w:val="Heading3"/>
      </w:pPr>
      <w:r>
        <w:t xml:space="preserve">A functional locus invisible to ANI is detectable by local chain coverage</w:t>
      </w:r>
    </w:p>
    <w:p>
      <w:pPr>
        <w:pStyle w:val="FirstParagraph"/>
      </w:pPr>
      <w:r>
        <w:t xml:space="preserve">The limitation of a single ANI value is not merely theoretical. In a published collection of 185</w:t>
      </w:r>
      <w:r>
        <w:t xml:space="preserve"> </w:t>
      </w:r>
      <w:r>
        <w:rPr>
          <w:i/>
          <w:iCs/>
        </w:rPr>
        <w:t xml:space="preserve">Bifidobacterium longum</w:t>
      </w:r>
      <w:r>
        <w:t xml:space="preserve"> </w:t>
      </w:r>
      <w:r>
        <w:t xml:space="preserve">isolates associated with constipation treatment, all pairwise ANIs are ≥98.67% and cannot separate strains that carry a complete abfA gene cluster from those with a deleted or peripheral-truncated cluster. Whole-genome aligned fraction is also uninformative (median 0.861 vs 0.867, MWU p = 0.66). However, locus-targeted Syn2bANI chain coverage over the abfA cluster periphery (17.2–37.1 kb) differs significantly between complete and deleted groups (median coverage 1.0 vs 0.16, MWU p = 1.4 × 10⁻³; Fig. 7). The signal is specific to the functional locus (the adjacent downstream region is indistinguishable, p = 0.40) and demonstrates that coordinate-carrying anchors can localize phenotype-relevant structural differences that are invisible to genome-wide ANI.</w:t>
      </w:r>
    </w:p>
    <w:bookmarkEnd w:id="20"/>
    <w:bookmarkStart w:id="21" w:name="X3b2998716b6c25b524acc27a4ab539ef1aae1e0"/>
    <w:p>
      <w:pPr>
        <w:pStyle w:val="Heading3"/>
      </w:pPr>
      <w:r>
        <w:t xml:space="preserve">cagPAI architecture in</w:t>
      </w:r>
      <w:r>
        <w:t xml:space="preserve"> </w:t>
      </w:r>
      <w:r>
        <w:rPr>
          <w:i/>
          <w:iCs/>
        </w:rPr>
        <w:t xml:space="preserve">H. pylori</w:t>
      </w:r>
      <w:r>
        <w:t xml:space="preserve"> </w:t>
      </w:r>
      <w:r>
        <w:t xml:space="preserve">is invisible to ANI and tracks lineage</w:t>
      </w:r>
    </w:p>
    <w:p>
      <w:pPr>
        <w:pStyle w:val="FirstParagraph"/>
      </w:pPr>
      <w:r>
        <w:t xml:space="preserve">The</w:t>
      </w:r>
      <w:r>
        <w:t xml:space="preserve"> </w:t>
      </w:r>
      <w:r>
        <w:rPr>
          <w:i/>
          <w:iCs/>
        </w:rPr>
        <w:t xml:space="preserve">Helicobacter pylori</w:t>
      </w:r>
      <w:r>
        <w:t xml:space="preserve"> </w:t>
      </w:r>
      <w:r>
        <w:t xml:space="preserve">cagPAI pathogenicity island is a classic example of a functionally important locus whose presence and architecture are lost in a genome-wide ANI average. We combined marker-gene presence/absence with</w:t>
      </w:r>
      <w:r>
        <w:t xml:space="preserve"> </w:t>
      </w:r>
      <w:r>
        <w:rPr>
          <w:rStyle w:val="VerbatimChar"/>
        </w:rPr>
        <w:t xml:space="preserve">syn2bani struct</w:t>
      </w:r>
      <w:r>
        <w:t xml:space="preserve"> </w:t>
      </w:r>
      <w:r>
        <w:t xml:space="preserve">calls inside the cagPAI coordinates (NC_000915.1: 547,327–583,481) for 528 genomes from a recent gastric-cancer risk study. The extended state was validated on an engineered nine-strain panel (wild-type, ΔcagPAI, inversion, translocation, and mutated backgrounds) and classified all controls correctly.</w:t>
      </w:r>
    </w:p>
    <w:p>
      <w:pPr>
        <w:pStyle w:val="BodyText"/>
      </w:pPr>
      <w:r>
        <w:t xml:space="preserve">Among the 528 isolates, 85 (16.1%) lacked the island (</w:t>
      </w:r>
      <w:r>
        <w:rPr>
          <w:rStyle w:val="VerbatimChar"/>
        </w:rPr>
        <w:t xml:space="preserve">empty</w:t>
      </w:r>
      <w:r>
        <w:t xml:space="preserve">), 11 (2.1%) were</w:t>
      </w:r>
      <w:r>
        <w:t xml:space="preserve"> </w:t>
      </w:r>
      <w:r>
        <w:rPr>
          <w:rStyle w:val="VerbatimChar"/>
        </w:rPr>
        <w:t xml:space="preserve">partial</w:t>
      </w:r>
      <w:r>
        <w:t xml:space="preserve">, 145 (27.5%) retained a collinear complete island (</w:t>
      </w:r>
      <w:r>
        <w:rPr>
          <w:rStyle w:val="VerbatimChar"/>
        </w:rPr>
        <w:t xml:space="preserve">complete_collinear</w:t>
      </w:r>
      <w:r>
        <w:t xml:space="preserve">), and 287 (54.4%) retained the markers but carried a local inversion or translocation inside cagPAI (</w:t>
      </w:r>
      <w:r>
        <w:rPr>
          <w:rStyle w:val="VerbatimChar"/>
        </w:rPr>
        <w:t xml:space="preserve">complete_rearranged</w:t>
      </w:r>
      <w:r>
        <w:t xml:space="preserve">; Fig. 8a). The remaining 133 complete-marker genomes that were originally classified as rearranged carried a single genome-spanning translocation consistent with a different arbitrary start coordinate on the circular</w:t>
      </w:r>
      <w:r>
        <w:t xml:space="preserve"> </w:t>
      </w:r>
      <w:r>
        <w:rPr>
          <w:i/>
          <w:iCs/>
        </w:rPr>
        <w:t xml:space="preserve">H. pylori</w:t>
      </w:r>
      <w:r>
        <w:t xml:space="preserve"> </w:t>
      </w:r>
      <w:r>
        <w:t xml:space="preserve">chromosome; these were reclassified as collinear after circular-origin filtering (Online Methods). A diagnostic check confirmed that this pattern is origin rotation (different start coordinate) rather than whole-genome reverse complement: among calls spanning ≥20% of the chromosome, 496/497 were translocations and only one was an inversion.</w:t>
      </w:r>
    </w:p>
    <w:p>
      <w:pPr>
        <w:pStyle w:val="BodyText"/>
      </w:pPr>
      <w:r>
        <w:t xml:space="preserve">The extended state remained strongly associated with FastBAPS lineage (χ² = 58.75, df = 12, p = 3.8 × 10⁻⁸). Disease-stage associations were evaluated with both crude 2×2 odds ratios and Cochran–Mantel–Haenszel tests stratified by FastBAPS lineage (Supplementary Table S4). Only cagPAI presence (GC vs NAG) showed a nominally significant crude association (OR = 2.16, 95% CI 1.13–4.13, p = 0.018); after lineage stratification the Mantel–Haenszel OR was 1.70 (CMH p = 0.12), and the Breslow–Day test indicated significant heterogeneity across lineages (p = 0.005). The other three contrasts were not significant even before stratification (rearrangement GC vs NAG crude p = 0.70; presence advanced vs early p = 0.58; rearrangement advanced vs early p = 0.93), and rearrangement associations remained non-significant across artifact-span thresholds from 0.20 to 0.50. Thus the architecture–disease signal in this collection is largely driven by lineage structure, and the crude presence association is attenuated but not abolished after stratification. The key biological result that survives is lineage-associated cagPAI presence/absence:</w:t>
      </w:r>
      <w:r>
        <w:t xml:space="preserve"> </w:t>
      </w:r>
      <w:r>
        <w:rPr>
          <w:rStyle w:val="VerbatimChar"/>
        </w:rPr>
        <w:t xml:space="preserve">empty</w:t>
      </w:r>
      <w:r>
        <w:t xml:space="preserve"> </w:t>
      </w:r>
      <w:r>
        <w:t xml:space="preserve">rates range from 4% in FastBAPS L2 to 33% in L6. Because all pairwise ANIs in this collection are &gt;95%, these presence/absence and architecture patterns are invisible to ANI-only tools and illustrate how Syn2bANI’s structural output can reveal genotype–population relationships that ANI alone cannot.</w:t>
      </w:r>
    </w:p>
    <w:p>
      <w:pPr>
        <w:pStyle w:val="BodyText"/>
      </w:pPr>
      <w:r>
        <w:t xml:space="preserve">The marker panel was further cross-validated against independent molecular typing generated by the study collaborators (cagA detection with EPIYA genotyping and genome-level rescue, vacA s/i/m typing). cagA detection agreed with cagPAI presence with near-perfect concordance — cagPAI-complete genomes were cagA-positive in 429/431 cases (OR = 783, 95% CI 179–3,421, p = 7 × 10⁻⁶⁸) — and the association was homogeneous across FastBAPS lineages (Mantel–Haenszel OR = 3,986, CMH p &lt; 10⁻¹⁶; Breslow–Day p = 0.96), so it is not driven by any single lineage. As expected for a presence/absence assay, the panel does not predict cagA EPIYA allele structure (χ² p = 0.52), and cagPAI presence tracked the toxigenic vacA s1/i1 genotypes (OR = 556 and 38), consistent with their known co-inheritance (Supplementary Table S5).</w:t>
      </w:r>
    </w:p>
    <w:p>
      <w:pPr>
        <w:pStyle w:val="BodyText"/>
      </w:pPr>
      <w:r>
        <w:t xml:space="preserve">To establish whether discordant isolates represent panel errors or biology, we reviewed all 26 genomes with disagreement between marker state and cagA typing at the assembly level, re-anchoring all 28 markers with minimap2, running a cagA-specific alignment, and measuring cagPAI-window coverage against reference 26695. None was caused by assembly incompleteness. Seventeen genomes had lost the island backbone but retained cagA sequence at the evacuated site — near full-length in 8 and fragmentary in 9 — including 11 of the 13 genomes classified as cagPAI-empty (the other two carry a clean, fully assembled island deletion with assembled flanks and struct-supported deletion calls). The two cagPAI-complete but cagA-negative genomes (both FastBAPS L3; Mexico and Honduras) carry a precise excision restricted to the cagA locus — 25–26 of 28 markers present, island identity 0.97, cagA-locus coverage dropping from 100% to 0% at 2-kb resolution — a genuine cagA-loss architecture for which the panel and the typing call are both correct. The remaining five disagreements were partial-state calls in high-divergence East-Asian and Latin-American backgrounds where cagA coverage fell just below the 80% marker threshold (0.77–0.79). The panel therefore made no empty-state errors among discordant genomes, and the discordant set itself yielded structural biology invisible to either assay alone: cagA-specific loss on an otherwise intact island, and full-length cagA retention at an evacuated insertion site.</w:t>
      </w:r>
    </w:p>
    <w:p>
      <w:pPr>
        <w:pStyle w:val="BodyText"/>
      </w:pPr>
      <w:r>
        <w:t xml:space="preserve">We finally tested whether structural burden marks antibiotic resistance, using genotype-based resistance markers (CARD; macrolide resistance defined by 23S rRNA A2146G/A2147G mutations, for which genotype–phenotype concordance is established). Above-median SV burden was associated with macrolide resistance in the crude analysis (OR = 2.81, 95% CI 1.71–4.62, q = 8.5 × 10⁻⁵) but did not survive lineage stratification (Mantel–Haenszel OR = 1.33, 95% CI 0.73–2.40, p = 0.35; Breslow–Day p = 0.90): FastBAPS L2 (hspEAsia) carries both the highest macrolide-resistance prevalence (28%) and the highest SV burden, so the crude signal reflects lineage structure rather than resistance biology (Supplementary Fig. S13). Fluoroquinolone, tetracycline, and nitroimidazole classes were untestable because CARD annotates the chromosomally intrinsic hp1181 efflux pump in 99.8% of genomes, leaving macrolides as the only discriminatory class in this collection. This negative result reinforces the methodological lesson of the case study: unstratified SV–phenotype correlations in structured bacterial collections are readily confounded by lineage, and structural hypotheses require lineage-aware tests.</w:t>
      </w:r>
    </w:p>
    <w:p>
      <w:r>
        <w:pict>
          <v:rect style="width:0;height:1.5pt" o:hralign="center" o:hrstd="t" o:hr="t"/>
        </w:pict>
      </w:r>
    </w:p>
    <w:bookmarkEnd w:id="21"/>
    <w:bookmarkEnd w:id="22"/>
    <w:bookmarkStart w:id="23"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Three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or mid-ANI pairs — the raw gated estimate is preferred for draft inputs, and the consistency flag marks pairs at the identifiability boundary. Third, the structural outputs are a direct consequence of using coordinate-carrying anchors: in an era of strain-resolved metagenomics, ANI alone is insufficient to decide whether two genomes are truly equivalent. Syn2bANI reports both count-based descriptors (</w:t>
      </w:r>
      <w:r>
        <w:rPr>
          <w:rStyle w:val="VerbatimChar"/>
        </w:rPr>
        <w:t xml:space="preserve">breakpoint_count</w:t>
      </w:r>
      <w:r>
        <w:t xml:space="preserve">, SV calls) and a fragmentation-invariant length-weighted orientation ratio (</w:t>
      </w:r>
      <w:r>
        <w:rPr>
          <w:rStyle w:val="VerbatimChar"/>
        </w:rPr>
        <w:t xml:space="preserve">raw_inverted_fraction</w:t>
      </w:r>
      <w:r>
        <w:t xml:space="preserve">). These are complementary: counts localize events but are inflated by assembly fragmentation, whereas ratios are robust to fragmentation but do not report event number. For circular chromosomes, genome-spanning calls must be filtered as likely coordinate-system artifacts before biological interpretation. Unlike dedicated structural tools such as minigraph-Cactus19, SyRI20, or Mauve21, Syn2bANI does not aim to reconstruct full genome graphs or base-level alignments; instead it reports breakpoint counts, inversion/translocation calls, and a chain-coverage score directly from the anchor chains used for ANI estimation, at no additional modeling cost.</w:t>
      </w:r>
    </w:p>
    <w:p>
      <w:r>
        <w:pict>
          <v:rect style="width:0;height:1.5pt" o:hralign="center" o:hrstd="t" o:hr="t"/>
        </w:pict>
      </w:r>
    </w:p>
    <w:bookmarkEnd w:id="23"/>
    <w:bookmarkStart w:id="35" w:name="online-methods"/>
    <w:p>
      <w:pPr>
        <w:pStyle w:val="Heading2"/>
      </w:pPr>
      <w:r>
        <w:t xml:space="preserve">Online Methods</w:t>
      </w:r>
    </w:p>
    <w:bookmarkStart w:id="24"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supported8,30).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it was observed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The default four-enzyme panel was chosen from the 16-member 2bRAD-M catalog by a greedy search that maximized GTDB-R207 ANIm calibration accuracy while keeping tag density and runtime low. Among single-enzyme candidates, BcgI gave the best individual accuracy; adding AlfI, AloI, and FalI in turn reduced per-band MAE by improving genomic coverage and balancing recognition-site GC composition. Panels beyond four enzymes gave diminishing returns (&lt;0.05 MAE improvement) and increased runtime, so the four-enzyme set is shipped as the default. All 16 enzymes remain selectable via the</w:t>
      </w:r>
      <w:r>
        <w:t xml:space="preserve"> </w:t>
      </w:r>
      <w:r>
        <w:rPr>
          <w:rStyle w:val="VerbatimChar"/>
        </w:rPr>
        <w:t xml:space="preserve">--enzymes</w:t>
      </w:r>
      <w:r>
        <w:t xml:space="preserve"> </w:t>
      </w:r>
      <w:r>
        <w:t xml:space="preserve">flag.</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4"/>
    <w:bookmarkStart w:id="25"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5"/>
    <w:bookmarkStart w:id="26" w:name="Xc84f212d8323a8f017575d3d7a92fc22fb23227"/>
    <w:p>
      <w:pPr>
        <w:pStyle w:val="Heading3"/>
      </w:pPr>
      <w:r>
        <w:t xml:space="preserve">Chain-restricted stratified MLE, gating, and flags</w:t>
      </w:r>
    </w:p>
    <w:p>
      <w:pPr>
        <w:pStyle w:val="FirstParagraph"/>
      </w:pPr>
      <w:r>
        <w:t xml:space="preserve">The estimator is a chain-restricted maximum-likelihood fit to per-enzyme tag</w:t>
      </w:r>
      <w:r>
        <w:t xml:space="preserve"> </w:t>
      </w:r>
      <w:r>
        <w:t xml:space="preserve">outcomes. For each stratum, tags inside chains are classified as found with 0,</w:t>
      </w:r>
      <w:r>
        <w:t xml:space="preserve"> </w:t>
      </w:r>
      <w:r>
        <w:t xml:space="preserve">1, or 2 body mismatches, or missing; the per-base identity</w:t>
      </w:r>
      <w:r>
        <w:t xml:space="preserve"> </w:t>
      </w:r>
      <w:r>
        <w:rPr>
          <w:rStyle w:val="VerbatimChar"/>
        </w:rPr>
        <w:t xml:space="preserve">a</w:t>
      </w:r>
      <w:r>
        <w:t xml:space="preserve"> </w:t>
      </w:r>
      <w:r>
        <w:t xml:space="preserve">is found by</w:t>
      </w:r>
      <w:r>
        <w:t xml:space="preserve"> </w:t>
      </w:r>
      <w:r>
        <w:t xml:space="preserve">golden-section search on a likelihood that respects the recognition-site</w:t>
      </w:r>
      <w:r>
        <w:t xml:space="preserve"> </w:t>
      </w:r>
      <w:r>
        <w:t xml:space="preserve">geometry (a site mutation deletes the tag, so only body mismatches are</w:t>
      </w:r>
      <w:r>
        <w:t xml:space="preserve"> </w:t>
      </w:r>
      <w:r>
        <w:t xml:space="preserve">observable). A gamma rate-heterogeneity extension is available but is</w:t>
      </w:r>
      <w:r>
        <w:t xml:space="preserve"> </w:t>
      </w:r>
      <w:r>
        <w:rPr>
          <w:b/>
          <w:bCs/>
        </w:rPr>
        <w:t xml:space="preserve">gated</w:t>
      </w:r>
      <w:r>
        <w:t xml:space="preserve"> </w:t>
      </w:r>
      <w:r>
        <w:t xml:space="preserve">by an effect-size test on the two partial estimators (</w:t>
      </w:r>
      <w:r>
        <w:rPr>
          <w:rStyle w:val="VerbatimChar"/>
        </w:rPr>
        <w:t xml:space="preserve">ani_from_loss</w:t>
      </w:r>
      <w:r>
        <w:t xml:space="preserve"> </w:t>
      </w:r>
      <w:r>
        <w:t xml:space="preserve">from the</w:t>
      </w:r>
      <w:r>
        <w:t xml:space="preserve"> </w:t>
      </w:r>
      <w:r>
        <w:t xml:space="preserve">miss channel and</w:t>
      </w:r>
      <w:r>
        <w:t xml:space="preserve"> </w:t>
      </w:r>
      <w:r>
        <w:rPr>
          <w:rStyle w:val="VerbatimChar"/>
        </w:rPr>
        <w:t xml:space="preserve">ani_from_hist</w:t>
      </w:r>
      <w:r>
        <w:t xml:space="preserve"> </w:t>
      </w:r>
      <w:r>
        <w:t xml:space="preserve">from the mismatch histogram): when they diverge</w:t>
      </w:r>
      <w:r>
        <w:t xml:space="preserve"> </w:t>
      </w:r>
      <w:r>
        <w:t xml:space="preserve">by more than 5 ANI points the method reports the homogeneous fit, otherwise the</w:t>
      </w:r>
      <w:r>
        <w:t xml:space="preserve"> </w:t>
      </w:r>
      <w:r>
        <w:t xml:space="preserve">gamma fit. The threshold was chosen at the flat optimum of a sweep on the</w:t>
      </w:r>
      <w:r>
        <w:t xml:space="preserve"> </w:t>
      </w:r>
      <w:r>
        <w:t xml:space="preserve">GTDB-ANIm training matrix. The hierarchical</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w:t>
      </w:r>
      <w:r>
        <w:t xml:space="preserve"> </w:t>
      </w:r>
      <w:r>
        <w:rPr>
          <w:rStyle w:val="VerbatimChar"/>
        </w:rPr>
        <w:t xml:space="preserve">INCONSISTENT</w:t>
      </w:r>
      <w:r>
        <w:t xml:space="preserve"> </w:t>
      </w:r>
      <w:r>
        <w:t xml:space="preserve">(gate fallback or</w:t>
      </w:r>
      <w:r>
        <w:t xml:space="preserve"> </w:t>
      </w:r>
      <w:r>
        <w:t xml:space="preserve">&gt; 0.5 breakpoints per anchor), or</w:t>
      </w:r>
      <w:r>
        <w:t xml:space="preserve"> </w:t>
      </w:r>
      <w:r>
        <w:rPr>
          <w:rStyle w:val="VerbatimChar"/>
        </w:rPr>
        <w:t xml:space="preserve">ok</w:t>
      </w:r>
      <w:r>
        <w:t xml:space="preserve">. Full formulas, the negative-binomial</w:t>
      </w:r>
      <w:r>
        <w:t xml:space="preserve"> </w:t>
      </w:r>
      <w:r>
        <w:t xml:space="preserve">derivation, and the gating/flag rationale are given in Supplementary Note 4.</w:t>
      </w:r>
    </w:p>
    <w:bookmarkEnd w:id="26"/>
    <w:bookmarkStart w:id="27"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7"/>
    <w:bookmarkStart w:id="28"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8"/>
    <w:bookmarkStart w:id="29" w:name="ridge-calibration-protocol"/>
    <w:p>
      <w:pPr>
        <w:pStyle w:val="Heading3"/>
      </w:pPr>
      <w:r>
        <w:t xml:space="preserve">Ridge calibration protocol</w:t>
      </w:r>
    </w:p>
    <w:p>
      <w:pPr>
        <w:pStyle w:val="FirstParagraph"/>
      </w:pPr>
      <w:r>
        <w:t xml:space="preserve">The calibration model is ridge regression on nine Syn2bANI-internal features</w:t>
      </w:r>
      <w:r>
        <w:t xml:space="preserve"> </w:t>
      </w:r>
      <w:r>
        <w:t xml:space="preserve">(</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with median imputation and</w:t>
      </w:r>
      <w:r>
        <w:t xml:space="preserve"> </w:t>
      </w:r>
      <w:r>
        <w:t xml:space="preserve">standardization. Regularization strength</w:t>
      </w:r>
      <w:r>
        <w:t xml:space="preserve"> </w:t>
      </w:r>
      <w:r>
        <w:rPr>
          <w:rStyle w:val="VerbatimChar"/>
        </w:rPr>
        <w:t xml:space="preserve">α = 10</w:t>
      </w:r>
      <w:r>
        <w:t xml:space="preserve"> </w:t>
      </w:r>
      <w:r>
        <w:t xml:space="preserve">is selected by inner</w:t>
      </w:r>
      <w:r>
        <w:t xml:space="preserve"> </w:t>
      </w:r>
      <w:r>
        <w:t xml:space="preserve">cross-validation (scikit-learn29). The model is trained on 2,520 ANIm-truth pairs</w:t>
      </w:r>
      <w:r>
        <w:t xml:space="preserve"> </w:t>
      </w:r>
      <w:r>
        <w:t xml:space="preserve">(80–99.5% ANIm) spanning 607 species and 26 phyla, with zero genome-level overlap</w:t>
      </w:r>
      <w:r>
        <w:t xml:space="preserve"> </w:t>
      </w:r>
      <w:r>
        <w:t xml:space="preserve">between the 2,074-pair stratified benchmark and the 467-pair 95–99.5% expansion.</w:t>
      </w:r>
      <w:r>
        <w:t xml:space="preserve"> </w:t>
      </w:r>
      <w:r>
        <w:t xml:space="preserve">Validation is</w:t>
      </w:r>
      <w:r>
        <w:t xml:space="preserve"> </w:t>
      </w:r>
      <w:r>
        <w:rPr>
          <w:b/>
          <w:bCs/>
        </w:rPr>
        <w:t xml:space="preserve">band-holdout</w:t>
      </w:r>
      <w:r>
        <w:t xml:space="preserve">: each ANI band (80–85, 85–90, 90–95, 95–99) is</w:t>
      </w:r>
      <w:r>
        <w:t xml:space="preserve"> </w:t>
      </w:r>
      <w:r>
        <w:t xml:space="preserve">predicted by a model trained on the other three only. Calibrated output is a</w:t>
      </w:r>
      <w:r>
        <w:t xml:space="preserve"> </w:t>
      </w:r>
      <w:r>
        <w:t xml:space="preserve">separate column (</w:t>
      </w:r>
      <w:r>
        <w:rPr>
          <w:rStyle w:val="VerbatimChar"/>
        </w:rPr>
        <w:t xml:space="preserve">--calibrate</w:t>
      </w:r>
      <w:r>
        <w:t xml:space="preserve">) and is omitted on</w:t>
      </w:r>
      <w:r>
        <w:t xml:space="preserve"> </w:t>
      </w:r>
      <w:r>
        <w:rPr>
          <w:rStyle w:val="VerbatimChar"/>
        </w:rPr>
        <w:t xml:space="preserve">BELOW_DETECTION</w:t>
      </w:r>
      <w:r>
        <w:t xml:space="preserve"> </w:t>
      </w:r>
      <w:r>
        <w:t xml:space="preserve">pairs rather</w:t>
      </w:r>
      <w:r>
        <w:t xml:space="preserve"> </w:t>
      </w:r>
      <w:r>
        <w:t xml:space="preserve">than extrapolated. Learning-curve, feature-expansion, and model-comparison</w:t>
      </w:r>
      <w:r>
        <w:t xml:space="preserve"> </w:t>
      </w:r>
      <w:r>
        <w:t xml:space="preserve">details are in Supplementary Notes 2 and 6.</w:t>
      </w:r>
    </w:p>
    <w:bookmarkEnd w:id="29"/>
    <w:bookmarkStart w:id="30" w:name="Xd3b37ce8f62a83dd9d52f682daa388ffbd3bd4e"/>
    <w:p>
      <w:pPr>
        <w:pStyle w:val="Heading3"/>
      </w:pPr>
      <w:r>
        <w:t xml:space="preserve">The spatial-model negative result (identifiability analysis)</w:t>
      </w:r>
    </w:p>
    <w:p>
      <w:pPr>
        <w:pStyle w:val="FirstParagraph"/>
      </w:pPr>
      <w:r>
        <w:t xml:space="preserve">A mechanistic spatial-rate model was also evaluated as an alternative to</w:t>
      </w:r>
      <w:r>
        <w:t xml:space="preserve"> </w:t>
      </w:r>
      <w:r>
        <w:t xml:space="preserve">post-hoc calibration. The raw estimator is already at its identifiability floor</w:t>
      </w:r>
      <w:r>
        <w:t xml:space="preserve"> </w:t>
      </w:r>
      <w:r>
        <w:t xml:space="preserve">at 4-enzyme tag density: in-chain distribution-family changes can fix at most</w:t>
      </w:r>
      <w:r>
        <w:t xml:space="preserve"> </w:t>
      </w:r>
      <w:r>
        <w:t xml:space="preserve">~0.1–0.2 ANI points, and the divergence of the unchained fraction is not</w:t>
      </w:r>
      <w:r>
        <w:t xml:space="preserve"> </w:t>
      </w:r>
      <w:r>
        <w:t xml:space="preserve">identifiable from tag data. No candidate spatial model (AF-weighted mixtures,</w:t>
      </w:r>
      <w:r>
        <w:t xml:space="preserve"> </w:t>
      </w:r>
      <w:r>
        <w:t xml:space="preserve">discrete mixtures, ascertainment-aware tilts, capped NPMLE, model averaging)</w:t>
      </w:r>
      <w:r>
        <w:t xml:space="preserve"> </w:t>
      </w:r>
      <w:r>
        <w:t xml:space="preserve">beats the gated baseline while preserving exact-truth simulation gates. The full</w:t>
      </w:r>
      <w:r>
        <w:t xml:space="preserve"> </w:t>
      </w:r>
      <w:r>
        <w:t xml:space="preserve">negative result is reported in Supplementary Note 5.</w:t>
      </w:r>
    </w:p>
    <w:bookmarkEnd w:id="30"/>
    <w:bookmarkStart w:id="31"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For circular chromosomes,</w:t>
      </w:r>
      <w:r>
        <w:t xml:space="preserve"> </w:t>
      </w:r>
      <w:r>
        <w:rPr>
          <w:rStyle w:val="VerbatimChar"/>
        </w:rPr>
        <w:t xml:space="preserve">syn2bani struct --circular &lt;ref_name&gt;</w:t>
      </w:r>
      <w:r>
        <w:t xml:space="preserve"> </w:t>
      </w:r>
      <w:r>
        <w:t xml:space="preserve">marks the reference as circular; genome-spanning calls that exceed</w:t>
      </w:r>
      <w:r>
        <w:t xml:space="preserve"> </w:t>
      </w:r>
      <w:r>
        <w:rPr>
          <w:rStyle w:val="VerbatimChar"/>
        </w:rPr>
        <w:t xml:space="preserve">--artifact-threshold</w:t>
      </w:r>
      <w:r>
        <w:t xml:space="preserve"> </w:t>
      </w:r>
      <w:r>
        <w:t xml:space="preserve">(default 50% of the reference length) are reported but flagged as likely circular-origin coordinate artifacts rather than biological rearrangements. Validation against dnadiff used span-based one-to-many matching because dnadiff fragments large accessory regions into many small events while Syn2bANI calls each junction once.</w:t>
      </w:r>
    </w:p>
    <w:p>
      <w:pPr>
        <w:pStyle w:val="BodyText"/>
      </w:pPr>
      <w:r>
        <w:t xml:space="preserve">Three structural metrics are exported for every pair.</w:t>
      </w:r>
      <w:r>
        <w:t xml:space="preserve"> </w:t>
      </w:r>
      <w:r>
        <w:rPr>
          <w:rStyle w:val="VerbatimChar"/>
        </w:rPr>
        <w:t xml:space="preserve">synteny_blocks</w:t>
      </w:r>
      <w:r>
        <w:t xml:space="preserve"> </w:t>
      </w:r>
      <w:r>
        <w:t xml:space="preserve">is the number of collinear chains;</w:t>
      </w:r>
      <w:r>
        <w:t xml:space="preserve"> </w:t>
      </w:r>
      <w:r>
        <w:rPr>
          <w:rStyle w:val="VerbatimChar"/>
        </w:rPr>
        <w:t xml:space="preserve">breakpoint_count</w:t>
      </w:r>
      <w:r>
        <w:t xml:space="preserve"> </w:t>
      </w:r>
      <w:r>
        <w:t xml:space="preserve">is the number of chain-disrupting events — orientation flips between consecutive chains, reference-order violations, and large indels — and is the primary rearrangement statistic.</w:t>
      </w:r>
      <w:r>
        <w:t xml:space="preserve"> </w:t>
      </w:r>
      <w:r>
        <w:rPr>
          <w:rStyle w:val="VerbatimChar"/>
        </w:rPr>
        <w:t xml:space="preserve">anchor_adjacency</w:t>
      </w:r>
      <w:r>
        <w:t xml:space="preserve"> </w:t>
      </w:r>
      <w:r>
        <w:t xml:space="preserve">is the fraction of possible adjacent anchor pairs (within chained query contigs) that remain collinear neighbors inside a chain; it is an anchor-adjacency conservation metric, not a base-pair coverage metric.</w:t>
      </w:r>
      <w:r>
        <w:t xml:space="preserve"> </w:t>
      </w:r>
      <w:r>
        <w:rPr>
          <w:rStyle w:val="VerbatimChar"/>
        </w:rPr>
        <w:t xml:space="preserve">af_query</w:t>
      </w:r>
      <w:r>
        <w:t xml:space="preserve"> </w:t>
      </w:r>
      <w:r>
        <w:t xml:space="preserve">is the fraction of query bases covered by chained anchors (base-pair aligned fraction) and is the quantity that corresponds to alignment-based synteny/coverage scores.</w:t>
      </w:r>
      <w:r>
        <w:t xml:space="preserve"> </w:t>
      </w:r>
      <w:r>
        <w:rPr>
          <w:rStyle w:val="VerbatimChar"/>
        </w:rPr>
        <w:t xml:space="preserve">af_reference</w:t>
      </w:r>
      <w:r>
        <w:t xml:space="preserve"> </w:t>
      </w:r>
      <w:r>
        <w:t xml:space="preserve">is the reference-side analogue.</w:t>
      </w:r>
    </w:p>
    <w:p>
      <w:pPr>
        <w:pStyle w:val="BodyText"/>
      </w:pPr>
      <w:r>
        <w:t xml:space="preserve">The reason</w:t>
      </w:r>
      <w:r>
        <w:t xml:space="preserve"> </w:t>
      </w:r>
      <w:r>
        <w:rPr>
          <w:rStyle w:val="VerbatimChar"/>
        </w:rPr>
        <w:t xml:space="preserve">anchor_adjacency</w:t>
      </w:r>
      <w:r>
        <w:t xml:space="preserve"> </w:t>
      </w:r>
      <w:r>
        <w:t xml:space="preserve">is only weakly correlated with alignment-based synteny scores is that the two quantities measure structurally different things.</w:t>
      </w:r>
      <w:r>
        <w:t xml:space="preserve"> </w:t>
      </w:r>
      <w:r>
        <w:rPr>
          <w:rStyle w:val="VerbatimChar"/>
        </w:rPr>
        <w:t xml:space="preserve">anchor_adjacency</w:t>
      </w:r>
      <w:r>
        <w:t xml:space="preserve"> </w:t>
      </w:r>
      <w:r>
        <w:t xml:space="preserve">is a combinatorial count over the fixed, sparse set of in-silico restriction anchors: a value of 1.0 means every pair of anchors that are neighbors on a query contig are also neighbors inside a collinear chain, and lower values record how often local anchor order is interrupted by inversions, indels, or translocations. Because the anchors are spaced at kilobase-scale intervals across the genome, a single large rearrangement that happens to fall between two adjacent anchors leaves</w:t>
      </w:r>
      <w:r>
        <w:t xml:space="preserve"> </w:t>
      </w:r>
      <w:r>
        <w:rPr>
          <w:rStyle w:val="VerbatimChar"/>
        </w:rPr>
        <w:t xml:space="preserve">anchor_adjacency</w:t>
      </w:r>
      <w:r>
        <w:t xml:space="preserve"> </w:t>
      </w:r>
      <w:r>
        <w:t xml:space="preserve">unchanged, while a small inversion that reorders only a few anchors can reduce it sharply even when the majority of base pairs are still alignable. Conversely,</w:t>
      </w:r>
      <w:r>
        <w:t xml:space="preserve"> </w:t>
      </w:r>
      <w:r>
        <w:rPr>
          <w:rStyle w:val="VerbatimChar"/>
        </w:rPr>
        <w:t xml:space="preserve">af_query</w:t>
      </w:r>
      <w:r>
        <w:t xml:space="preserve"> </w:t>
      </w:r>
      <w:r>
        <w:t xml:space="preserve">and</w:t>
      </w:r>
      <w:r>
        <w:t xml:space="preserve"> </w:t>
      </w:r>
      <w:r>
        <w:rPr>
          <w:rStyle w:val="VerbatimChar"/>
        </w:rPr>
        <w:t xml:space="preserve">breakpoint_count</w:t>
      </w:r>
      <w:r>
        <w:t xml:space="preserve"> </w:t>
      </w:r>
      <w:r>
        <w:t xml:space="preserve">report base-pair coverage and rearrangement counts, respectively, so</w:t>
      </w:r>
      <w:r>
        <w:t xml:space="preserve"> </w:t>
      </w:r>
      <w:r>
        <w:rPr>
          <w:rStyle w:val="VerbatimChar"/>
        </w:rPr>
        <w:t xml:space="preserve">af_query</w:t>
      </w:r>
      <w:r>
        <w:t xml:space="preserve"> </w:t>
      </w:r>
      <w:r>
        <w:t xml:space="preserve">aligns with dnadiff/minimap2 coverage metrics and</w:t>
      </w:r>
      <w:r>
        <w:t xml:space="preserve"> </w:t>
      </w:r>
      <w:r>
        <w:rPr>
          <w:rStyle w:val="VerbatimChar"/>
        </w:rPr>
        <w:t xml:space="preserve">breakpoint_count</w:t>
      </w:r>
      <w:r>
        <w:t xml:space="preserve"> </w:t>
      </w:r>
      <w:r>
        <w:t xml:space="preserve">aligns with alignment-based breakpoint counts. Treating</w:t>
      </w:r>
      <w:r>
        <w:t xml:space="preserve"> </w:t>
      </w:r>
      <w:r>
        <w:rPr>
          <w:rStyle w:val="VerbatimChar"/>
        </w:rPr>
        <w:t xml:space="preserve">anchor_adjacency</w:t>
      </w:r>
      <w:r>
        <w:t xml:space="preserve"> </w:t>
      </w:r>
      <w:r>
        <w:t xml:space="preserve">as a separate anchor-order statistic rather than as a proxy for base-pair synteny is therefore deliberate: it captures the fine-scale collinearity of the anchor map, which is invisible to an ANI scalar and only partially correlated with alignment-based coverage.</w:t>
      </w:r>
    </w:p>
    <w:bookmarkEnd w:id="31"/>
    <w:bookmarkStart w:id="32"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2"/>
    <w:bookmarkStart w:id="33"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are summarized in Supplementary analysis.</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MEGAHIT26, binned with MetaBAT227, and quality-scored with CheckM224,25;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anchor_adjacency</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(Supplementary Fig. S8;</w:t>
      </w:r>
      <w:r>
        <w:t xml:space="preserve"> </w:t>
      </w:r>
      <w:r>
        <w:rPr>
          <w:rStyle w:val="VerbatimChar"/>
        </w:rPr>
        <w:t xml:space="preserve">results/syntracker_validation/</w:t>
      </w:r>
      <w:r>
        <w:t xml:space="preserve">).</w:t>
      </w:r>
      <w:r>
        <w:t xml:space="preserve"> </w:t>
      </w:r>
      <w:r>
        <w:t xml:space="preserve">-</w:t>
      </w:r>
      <w:r>
        <w:t xml:space="preserve"> </w:t>
      </w:r>
      <w:r>
        <w:rPr>
          <w:b/>
          <w:bCs/>
        </w:rPr>
        <w:t xml:space="preserve">cagPAI pilot panel.</w:t>
      </w:r>
      <w:r>
        <w:t xml:space="preserve"> </w:t>
      </w:r>
      <w:r>
        <w:t xml:space="preserve">Eight</w:t>
      </w:r>
      <w:r>
        <w:t xml:space="preserve"> </w:t>
      </w:r>
      <w:r>
        <w:rPr>
          <w:i/>
          <w:iCs/>
        </w:rPr>
        <w:t xml:space="preserve">H. pylori</w:t>
      </w:r>
      <w:r>
        <w:t xml:space="preserve"> </w:t>
      </w:r>
      <w:r>
        <w:t xml:space="preserve">26695-derived genomes were generated to test exact SV recovery: wild-type, a 36,154 bp cagPAI deletion, a 36,154 bp cagPAI inversion, a 36,154 bp cagPAI translocation, and the same three events on a mutated background carrying ~1% substitutions (mut1). All eight genomes were compared all-vs-all with</w:t>
      </w:r>
      <w:r>
        <w:t xml:space="preserve"> </w:t>
      </w:r>
      <w:r>
        <w:rPr>
          <w:rStyle w:val="VerbatimChar"/>
        </w:rPr>
        <w:t xml:space="preserve">syn2bani ani</w:t>
      </w:r>
      <w:r>
        <w:t xml:space="preserve"> </w:t>
      </w:r>
      <w:r>
        <w:t xml:space="preserve">and</w:t>
      </w:r>
      <w:r>
        <w:t xml:space="preserve"> </w:t>
      </w:r>
      <w:r>
        <w:rPr>
          <w:rStyle w:val="VerbatimChar"/>
        </w:rPr>
        <w:t xml:space="preserve">syn2bani struct</w:t>
      </w:r>
      <w:r>
        <w:t xml:space="preserve">; event sizes and coordinates are known by construction (</w:t>
      </w:r>
      <w:r>
        <w:rPr>
          <w:rStyle w:val="VerbatimChar"/>
        </w:rPr>
        <w:t xml:space="preserve">data/cagpai_pilot/</w:t>
      </w:r>
      <w:r>
        <w:t xml:space="preserve">).</w:t>
      </w:r>
      <w:r>
        <w:t xml:space="preserve"> </w:t>
      </w:r>
      <w:r>
        <w:t xml:space="preserve">-</w:t>
      </w:r>
      <w:r>
        <w:t xml:space="preserve"> </w:t>
      </w:r>
      <w:r>
        <w:rPr>
          <w:b/>
          <w:bCs/>
          <w:i/>
          <w:iCs/>
        </w:rPr>
        <w:t xml:space="preserve">H. pylori</w:t>
      </w:r>
      <w:r>
        <w:rPr>
          <w:b/>
          <w:bCs/>
        </w:rPr>
        <w:t xml:space="preserve"> </w:t>
      </w:r>
      <w:r>
        <w:rPr>
          <w:b/>
          <w:bCs/>
        </w:rPr>
        <w:t xml:space="preserve">cagPAI cohort.</w:t>
      </w:r>
      <w:r>
        <w:t xml:space="preserve"> </w:t>
      </w:r>
      <w:r>
        <w:t xml:space="preserve">Five hundred and twenty-eight</w:t>
      </w:r>
      <w:r>
        <w:t xml:space="preserve"> </w:t>
      </w:r>
      <w:r>
        <w:rPr>
          <w:i/>
          <w:iCs/>
        </w:rPr>
        <w:t xml:space="preserve">H. pylori</w:t>
      </w:r>
      <w:r>
        <w:t xml:space="preserve"> </w:t>
      </w:r>
      <w:r>
        <w:t xml:space="preserve">genomes from Song et al. (2026) were compared against reference 26695 with</w:t>
      </w:r>
      <w:r>
        <w:t xml:space="preserve"> </w:t>
      </w:r>
      <w:r>
        <w:rPr>
          <w:rStyle w:val="VerbatimChar"/>
        </w:rPr>
        <w:t xml:space="preserve">syn2bani struct --bed --circular NC_000915.1</w:t>
      </w:r>
      <w:r>
        <w:t xml:space="preserve">. Marker-gene presence for 28 cagPAI CDS (HP0520–HP0547) was assessed with</w:t>
      </w:r>
      <w:r>
        <w:t xml:space="preserve"> </w:t>
      </w:r>
      <w:r>
        <w:rPr>
          <w:rStyle w:val="VerbatimChar"/>
        </w:rPr>
        <w:t xml:space="preserve">minimap2 -x asm5</w:t>
      </w:r>
      <w:r>
        <w:t xml:space="preserve"> </w:t>
      </w:r>
      <w:r>
        <w:t xml:space="preserve">(≥80% coverage, ≥80% identity). Genomes with ≥90% markers present were classified as</w:t>
      </w:r>
      <w:r>
        <w:t xml:space="preserve"> </w:t>
      </w:r>
      <w:r>
        <w:rPr>
          <w:rStyle w:val="VerbatimChar"/>
        </w:rPr>
        <w:t xml:space="preserve">complete</w:t>
      </w:r>
      <w:r>
        <w:t xml:space="preserve">; among these, any inversion or translocation overlapping cagPAI coordinates (NC_000915.1: 547,327–583,481, ±2 kb buffer) was classified as</w:t>
      </w:r>
      <w:r>
        <w:t xml:space="preserve"> </w:t>
      </w:r>
      <w:r>
        <w:rPr>
          <w:rStyle w:val="VerbatimChar"/>
        </w:rPr>
        <w:t xml:space="preserve">complete_rearranged</w:t>
      </w:r>
      <w:r>
        <w:t xml:space="preserve">, otherwise</w:t>
      </w:r>
      <w:r>
        <w:t xml:space="preserve"> </w:t>
      </w:r>
      <w:r>
        <w:rPr>
          <w:rStyle w:val="VerbatimChar"/>
        </w:rPr>
        <w:t xml:space="preserve">complete_collinear</w:t>
      </w:r>
      <w:r>
        <w:t xml:space="preserve">. Complete-marker genomes whose only cagPAI-overlapping SV was a genome-spanning call (&gt;50% of the 1,667,825 bp chromosome) were reclassified as</w:t>
      </w:r>
      <w:r>
        <w:t xml:space="preserve"> </w:t>
      </w:r>
      <w:r>
        <w:rPr>
          <w:rStyle w:val="VerbatimChar"/>
        </w:rPr>
        <w:t xml:space="preserve">complete_collinear</w:t>
      </w:r>
      <w:r>
        <w:t xml:space="preserve"> </w:t>
      </w:r>
      <w:r>
        <w:t xml:space="preserve">because such calls reflect the arbitrary choice of start coordinate on a circular chromosome rather than a local rearrangement. Isolation metadata (disease stage, country, FastBAPS lineage, phylogenetic population) were taken from the original publication. Disease-stage associations were tested with Pearson χ² and with Cochran–Mantel–Haenszel stratified by FastBAPS lineage. Independent isolate metadata generated by the study collaborators were merged by GCA accession: cagA detection with EPIYA genotyping and genome-level rescue, vacA s/i/m typing, and CARD resistance hits (Perfect/Strict only; macrolide resistance defined by 23S rRNA A2146G/A2147G mutations). Cross-validation and SV–resistance associations used Fisher exact tests with Woolf odds ratios, CMH stratification by FastBAPS lineage, Breslow–Day homogeneity tests, and Benjamini–Hochberg FDR across executed tests. The 26 genomes discordant between marker state and cagA typing were reviewed at assembly level: all 28 markers were re-anchored with</w:t>
      </w:r>
      <w:r>
        <w:t xml:space="preserve"> </w:t>
      </w:r>
      <w:r>
        <w:rPr>
          <w:rStyle w:val="VerbatimChar"/>
        </w:rPr>
        <w:t xml:space="preserve">minimap2 -x asm5 -c</w:t>
      </w:r>
      <w:r>
        <w:t xml:space="preserve">, cagA presence was assayed by marker alignment and 19-mer positional coverage, and cagPAI-window coverage was measured from the minimap2 alignment against reference 26695 (</w:t>
      </w:r>
      <w:r>
        <w:rPr>
          <w:rStyle w:val="VerbatimChar"/>
        </w:rPr>
        <w:t xml:space="preserve">case_studies/h_pylori_cagpai/</w:t>
      </w:r>
      <w:r>
        <w:t xml:space="preserve">).</w:t>
      </w:r>
      <w:r>
        <w:t xml:space="preserve"> </w:t>
      </w:r>
      <w:r>
        <w:t xml:space="preserve">-</w:t>
      </w:r>
      <w:r>
        <w:t xml:space="preserve"> </w:t>
      </w:r>
      <w:r>
        <w:rPr>
          <w:b/>
          <w:bCs/>
          <w:i/>
          <w:iCs/>
        </w:rPr>
        <w:t xml:space="preserve">E. coli</w:t>
      </w:r>
      <w:r>
        <w:rPr>
          <w:b/>
          <w:bCs/>
        </w:rPr>
        <w:t xml:space="preserve"> </w:t>
      </w:r>
      <w:r>
        <w:rPr>
          <w:b/>
          <w:bCs/>
        </w:rPr>
        <w:t xml:space="preserve">O157:H7 collection.</w:t>
      </w:r>
      <w:r>
        <w:t xml:space="preserve"> </w:t>
      </w:r>
      <w:r>
        <w:t xml:space="preserve">Seventy-four</w:t>
      </w:r>
      <w:r>
        <w:t xml:space="preserve"> </w:t>
      </w:r>
      <w:r>
        <w:rPr>
          <w:i/>
          <w:iCs/>
        </w:rPr>
        <w:t xml:space="preserve">E. coli</w:t>
      </w:r>
      <w:r>
        <w:t xml:space="preserve"> </w:t>
      </w:r>
      <w:r>
        <w:t xml:space="preserve">O157:H7 genomes from Fitzgerald et al. (2021) were compared all-vs-all with</w:t>
      </w:r>
      <w:r>
        <w:t xml:space="preserve"> </w:t>
      </w:r>
      <w:r>
        <w:rPr>
          <w:rStyle w:val="VerbatimChar"/>
        </w:rPr>
        <w:t xml:space="preserve">syn2bani ani</w:t>
      </w:r>
      <w:r>
        <w:t xml:space="preserve"> </w:t>
      </w:r>
      <w:r>
        <w:t xml:space="preserve">(2,701 pairs). Host source and lineage assignments were taken from the original publication; lineages were grouped as I/II, II, Ia, and Ic (</w:t>
      </w:r>
      <w:r>
        <w:rPr>
          <w:rStyle w:val="VerbatimChar"/>
        </w:rPr>
        <w:t xml:space="preserve">case_studies/ecoli_o157_fitzgerald_2021/</w:t>
      </w:r>
      <w:r>
        <w:t xml:space="preserve">).</w:t>
      </w:r>
      <w:r>
        <w:t xml:space="preserve"> </w:t>
      </w:r>
      <w:r>
        <w:t xml:space="preserve">-</w:t>
      </w:r>
      <w:r>
        <w:t xml:space="preserve"> </w:t>
      </w:r>
      <w:r>
        <w:rPr>
          <w:b/>
          <w:bCs/>
        </w:rPr>
        <w:t xml:space="preserve">FDA-ARGOS</w:t>
      </w:r>
      <w:r>
        <w:rPr>
          <w:b/>
          <w:bCs/>
        </w:rPr>
        <w:t xml:space="preserve"> </w:t>
      </w:r>
      <w:r>
        <w:rPr>
          <w:b/>
          <w:bCs/>
          <w:i/>
          <w:iCs/>
        </w:rPr>
        <w:t xml:space="preserve">S. aureus</w:t>
      </w:r>
      <w:r>
        <w:rPr>
          <w:b/>
          <w:bCs/>
        </w:rPr>
        <w:t xml:space="preserve">.</w:t>
      </w:r>
      <w:r>
        <w:t xml:space="preserve"> </w:t>
      </w:r>
      <w:r>
        <w:t xml:space="preserve">One hundred and twenty-two</w:t>
      </w:r>
      <w:r>
        <w:t xml:space="preserve"> </w:t>
      </w:r>
      <w:r>
        <w:rPr>
          <w:i/>
          <w:iCs/>
        </w:rPr>
        <w:t xml:space="preserve">Staphylococcus aureus</w:t>
      </w:r>
      <w:r>
        <w:t xml:space="preserve"> </w:t>
      </w:r>
      <w:r>
        <w:t xml:space="preserve">genomes from the FDA-ARGOS repository were compared all-vs-all with</w:t>
      </w:r>
      <w:r>
        <w:t xml:space="preserve"> </w:t>
      </w:r>
      <w:r>
        <w:rPr>
          <w:rStyle w:val="VerbatimChar"/>
        </w:rPr>
        <w:t xml:space="preserve">syn2bani ani</w:t>
      </w:r>
      <w:r>
        <w:t xml:space="preserve"> </w:t>
      </w:r>
      <w:r>
        <w:t xml:space="preserve">and refined to 7,381 pairs. Country and isolation-source metadata were taken from NCBI assembly records (</w:t>
      </w:r>
      <w:r>
        <w:rPr>
          <w:rStyle w:val="VerbatimChar"/>
        </w:rPr>
        <w:t xml:space="preserve">case_studies/fda_argos_s_aureus/</w:t>
      </w:r>
      <w:r>
        <w:t xml:space="preserve">).</w:t>
      </w:r>
      <w:r>
        <w:t xml:space="preserve"> </w:t>
      </w:r>
      <w:r>
        <w:t xml:space="preserve">-</w:t>
      </w:r>
      <w:r>
        <w:t xml:space="preserve"> </w:t>
      </w:r>
      <w:r>
        <w:rPr>
          <w:b/>
          <w:bCs/>
          <w:i/>
          <w:iCs/>
        </w:rPr>
        <w:t xml:space="preserve">B. longum</w:t>
      </w:r>
      <w:r>
        <w:rPr>
          <w:b/>
          <w:bCs/>
        </w:rPr>
        <w:t xml:space="preserve"> </w:t>
      </w:r>
      <w:r>
        <w:rPr>
          <w:b/>
          <w:bCs/>
        </w:rPr>
        <w:t xml:space="preserve">abfA collection.</w:t>
      </w:r>
      <w:r>
        <w:t xml:space="preserve"> </w:t>
      </w:r>
      <w:r>
        <w:t xml:space="preserve">One hundred and eighty-five</w:t>
      </w:r>
      <w:r>
        <w:t xml:space="preserve"> </w:t>
      </w:r>
      <w:r>
        <w:rPr>
          <w:i/>
          <w:iCs/>
        </w:rPr>
        <w:t xml:space="preserve">Bifidobacterium longum</w:t>
      </w:r>
      <w:r>
        <w:t xml:space="preserve"> </w:t>
      </w:r>
      <w:r>
        <w:t xml:space="preserve">isolates from a constipation-treatment study were compared all-vs-all with</w:t>
      </w:r>
      <w:r>
        <w:t xml:space="preserve"> </w:t>
      </w:r>
      <w:r>
        <w:rPr>
          <w:rStyle w:val="VerbatimChar"/>
        </w:rPr>
        <w:t xml:space="preserve">syn2bani ani</w:t>
      </w:r>
      <w:r>
        <w:t xml:space="preserve"> </w:t>
      </w:r>
      <w:r>
        <w:t xml:space="preserve">(17,020 pairs). Curated metadata labels each strain as abfA-cluster-complete or deleted/peripheral-truncated (cluster2 in the original study). Locus-targeted chain coverage was computed by aligning each genome against an abfA-complete reference (FSHHK16M1) with</w:t>
      </w:r>
      <w:r>
        <w:t xml:space="preserve"> </w:t>
      </w:r>
      <w:r>
        <w:rPr>
          <w:rStyle w:val="VerbatimChar"/>
        </w:rPr>
        <w:t xml:space="preserve">syn2bani struct --paf</w:t>
      </w:r>
      <w:r>
        <w:t xml:space="preserve"> </w:t>
      </w:r>
      <w:r>
        <w:t xml:space="preserve">and summing chain coverage in 1 kb bins across the 8.5–37.1 kb abfA locus (</w:t>
      </w:r>
      <w:r>
        <w:rPr>
          <w:rStyle w:val="VerbatimChar"/>
        </w:rPr>
        <w:t xml:space="preserve">results/b_longum_abfA/</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this is noted wherever the comparison appears.</w:t>
      </w:r>
    </w:p>
    <w:bookmarkEnd w:id="33"/>
    <w:bookmarkStart w:id="34" w:name="implementation"/>
    <w:p>
      <w:pPr>
        <w:pStyle w:val="Heading3"/>
      </w:pPr>
      <w:r>
        <w:t xml:space="preserve">Implementation</w:t>
      </w:r>
    </w:p>
    <w:p>
      <w:pPr>
        <w:pStyle w:val="FirstParagraph"/>
      </w:pPr>
      <w:r>
        <w:t xml:space="preserve">Syn2bANI is implemented in Rust (edition 2021) with needletail for FASTA parsing and rayon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4"/>
    <w:bookmarkEnd w:id="35"/>
    <w:bookmarkStart w:id="36"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6"/>
    <w:bookmarkStart w:id="37"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7"/>
    <w:bookmarkStart w:id="38" w:name="acknowledgements"/>
    <w:p>
      <w:pPr>
        <w:pStyle w:val="Heading2"/>
      </w:pPr>
      <w:r>
        <w:t xml:space="preserve">Acknowledgements</w:t>
      </w:r>
    </w:p>
    <w:p>
      <w:pPr>
        <w:pStyle w:val="FirstParagraph"/>
      </w:pPr>
      <w:r>
        <w:t xml:space="preserve">[To be determined.]</w:t>
      </w:r>
    </w:p>
    <w:bookmarkEnd w:id="38"/>
    <w:bookmarkStart w:id="39" w:name="author-contributions"/>
    <w:p>
      <w:pPr>
        <w:pStyle w:val="Heading2"/>
      </w:pPr>
      <w:r>
        <w:t xml:space="preserve">Author contributions</w:t>
      </w:r>
    </w:p>
    <w:p>
      <w:pPr>
        <w:pStyle w:val="FirstParagraph"/>
      </w:pPr>
      <w:r>
        <w:t xml:space="preserve">Y.Z. implemented the software, designed and executed the benchmarks, and generated the figures. S.H. conceived the project, supervised the research, and wrote the manuscript with input from Y.Z.</w:t>
      </w:r>
    </w:p>
    <w:bookmarkEnd w:id="39"/>
    <w:bookmarkStart w:id="40" w:name="competing-interests"/>
    <w:p>
      <w:pPr>
        <w:pStyle w:val="Heading2"/>
      </w:pPr>
      <w:r>
        <w:t xml:space="preserve">Competing interests</w:t>
      </w:r>
    </w:p>
    <w:p>
      <w:pPr>
        <w:pStyle w:val="FirstParagraph"/>
      </w:pPr>
      <w:r>
        <w:t xml:space="preserve">The authors declare no competing interests.</w:t>
      </w:r>
    </w:p>
    <w:bookmarkEnd w:id="40"/>
    <w:bookmarkStart w:id="41"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rPr>
          <w:b/>
          <w:bCs/>
        </w:rPr>
        <w:t xml:space="preserve">43</w:t>
      </w:r>
      <w:r>
        <w:t xml:space="preserve">, 773–783 (2025).</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Baker, D. N. &amp; Langmead, B. Dashing: fast and accurate genomic distances with HyperLogLog.</w:t>
      </w:r>
      <w:r>
        <w:t xml:space="preserve"> </w:t>
      </w:r>
      <w:r>
        <w:rPr>
          <w:i/>
          <w:iCs/>
        </w:rPr>
        <w:t xml:space="preserve">Genome Biol.</w:t>
      </w:r>
      <w:r>
        <w:t xml:space="preserve"> </w:t>
      </w:r>
      <w:r>
        <w:rPr>
          <w:b/>
          <w:bCs/>
        </w:rPr>
        <w:t xml:space="preserve">20</w:t>
      </w:r>
      <w:r>
        <w:t xml:space="preserve">, 265 (2019).</w:t>
      </w:r>
    </w:p>
    <w:p>
      <w:pPr>
        <w:pStyle w:val="Compact"/>
        <w:numPr>
          <w:ilvl w:val="0"/>
          <w:numId w:val="1001"/>
        </w:numPr>
      </w:pPr>
      <w:r>
        <w:t xml:space="preserve">Zhao, X. BinDash, software for fast genome distance estimation on a typical personal laptop.</w:t>
      </w:r>
      <w:r>
        <w:t xml:space="preserve"> </w:t>
      </w:r>
      <w:r>
        <w:rPr>
          <w:i/>
          <w:iCs/>
        </w:rPr>
        <w:t xml:space="preserve">Bioinformatics</w:t>
      </w:r>
      <w:r>
        <w:t xml:space="preserve"> </w:t>
      </w:r>
      <w:r>
        <w:rPr>
          <w:b/>
          <w:bCs/>
        </w:rPr>
        <w:t xml:space="preserve">35</w:t>
      </w:r>
      <w:r>
        <w:t xml:space="preserve">, 671–673 (2019).</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Kurtz, S. et al. Versatile and open software for comparing large genomes.</w:t>
      </w:r>
      <w:r>
        <w:t xml:space="preserve"> </w:t>
      </w:r>
      <w:r>
        <w:rPr>
          <w:i/>
          <w:iCs/>
        </w:rPr>
        <w:t xml:space="preserve">Genome Biol.</w:t>
      </w:r>
      <w:r>
        <w:t xml:space="preserve"> </w:t>
      </w:r>
      <w:r>
        <w:rPr>
          <w:b/>
          <w:bCs/>
        </w:rPr>
        <w:t xml:space="preserve">5</w:t>
      </w:r>
      <w:r>
        <w:t xml:space="preserve">, R12 (2004).</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Hickey, G. et al. Pangenome graph construction from genome alignments with Minigraph-Cactus.</w:t>
      </w:r>
      <w:r>
        <w:t xml:space="preserve"> </w:t>
      </w:r>
      <w:r>
        <w:rPr>
          <w:i/>
          <w:iCs/>
        </w:rPr>
        <w:t xml:space="preserve">Nat. Biotechnol.</w:t>
      </w:r>
      <w:r>
        <w:t xml:space="preserve"> </w:t>
      </w:r>
      <w:r>
        <w:rPr>
          <w:b/>
          <w:bCs/>
        </w:rPr>
        <w:t xml:space="preserve">42</w:t>
      </w:r>
      <w:r>
        <w:t xml:space="preserve">, 663–673 (2024).</w:t>
      </w:r>
    </w:p>
    <w:p>
      <w:pPr>
        <w:pStyle w:val="Compact"/>
        <w:numPr>
          <w:ilvl w:val="0"/>
          <w:numId w:val="1001"/>
        </w:numPr>
      </w:pPr>
      <w:r>
        <w:t xml:space="preserve">Goel, M., Sun, H., Jiao, W.-B. &amp; Schneeberger, K. SyRI: finding genomic rearrangements and local sequence differences from whole-genome assemblies.</w:t>
      </w:r>
      <w:r>
        <w:t xml:space="preserve"> </w:t>
      </w:r>
      <w:r>
        <w:rPr>
          <w:i/>
          <w:iCs/>
        </w:rPr>
        <w:t xml:space="preserve">Genome Biol.</w:t>
      </w:r>
      <w:r>
        <w:t xml:space="preserve"> </w:t>
      </w:r>
      <w:r>
        <w:rPr>
          <w:b/>
          <w:bCs/>
        </w:rPr>
        <w:t xml:space="preserve">20</w:t>
      </w:r>
      <w:r>
        <w:t xml:space="preserve">, 277 (2019).</w:t>
      </w:r>
    </w:p>
    <w:p>
      <w:pPr>
        <w:pStyle w:val="Compact"/>
        <w:numPr>
          <w:ilvl w:val="0"/>
          <w:numId w:val="1001"/>
        </w:numPr>
      </w:pPr>
      <w:r>
        <w:t xml:space="preserve">Darling, A. E., Mau, B. &amp; Perna, N. T. progressiveMauve: multiple genome alignment with gene gain, loss and rearrangement.</w:t>
      </w:r>
      <w:r>
        <w:t xml:space="preserve"> </w:t>
      </w:r>
      <w:r>
        <w:rPr>
          <w:i/>
          <w:iCs/>
        </w:rPr>
        <w:t xml:space="preserve">PLoS One</w:t>
      </w:r>
      <w:r>
        <w:t xml:space="preserve"> </w:t>
      </w:r>
      <w:r>
        <w:rPr>
          <w:b/>
          <w:bCs/>
        </w:rPr>
        <w:t xml:space="preserve">5</w:t>
      </w:r>
      <w:r>
        <w:t xml:space="preserve">, e11147 (2010).</w:t>
      </w:r>
    </w:p>
    <w:p>
      <w:pPr>
        <w:pStyle w:val="Compact"/>
        <w:numPr>
          <w:ilvl w:val="0"/>
          <w:numId w:val="1001"/>
        </w:numPr>
      </w:pPr>
      <w:r>
        <w:t xml:space="preserve">Truong, D. T. et al. MetaPhlAn4: profiling the composition of microbial communities from metagenomic sequencing data.</w:t>
      </w:r>
      <w:r>
        <w:t xml:space="preserve"> </w:t>
      </w:r>
      <w:r>
        <w:rPr>
          <w:i/>
          <w:iCs/>
        </w:rPr>
        <w:t xml:space="preserve">Nat. Protoc.</w:t>
      </w:r>
      <w:r>
        <w:t xml:space="preserve"> </w:t>
      </w:r>
      <w:r>
        <w:rPr>
          <w:b/>
          <w:bCs/>
        </w:rPr>
        <w:t xml:space="preserve">18</w:t>
      </w:r>
      <w:r>
        <w:t xml:space="preserve">, 3534–3546 (2023).</w:t>
      </w:r>
    </w:p>
    <w:p>
      <w:pPr>
        <w:pStyle w:val="Compact"/>
        <w:numPr>
          <w:ilvl w:val="0"/>
          <w:numId w:val="1001"/>
        </w:numPr>
      </w:pPr>
      <w:r>
        <w:t xml:space="preserve">Olm, M. R. et al. inStrain profiles population microdiversity from metagenomic data and sensitively detects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Parks, D. H., Imelfort, M., Skennerton, C. T., Hugenholtz, P. &amp; Tyson, G. W. CheckM: assessing the quality of microbial genomes recovered from isolates, single cells, and metagenomes.</w:t>
      </w:r>
      <w:r>
        <w:t xml:space="preserve"> </w:t>
      </w:r>
      <w:r>
        <w:rPr>
          <w:i/>
          <w:iCs/>
        </w:rPr>
        <w:t xml:space="preserve">Genome Res.</w:t>
      </w:r>
      <w:r>
        <w:t xml:space="preserve"> </w:t>
      </w:r>
      <w:r>
        <w:rPr>
          <w:b/>
          <w:bCs/>
        </w:rPr>
        <w:t xml:space="preserve">25</w:t>
      </w:r>
      <w:r>
        <w:t xml:space="preserve">, 1043–1055 (2015).</w:t>
      </w:r>
    </w:p>
    <w:p>
      <w:pPr>
        <w:pStyle w:val="Compact"/>
        <w:numPr>
          <w:ilvl w:val="0"/>
          <w:numId w:val="1001"/>
        </w:numPr>
      </w:pPr>
      <w:r>
        <w:t xml:space="preserve">Chklovski, A., Parks, D. H., Woodcroft, B. J. &amp; Tyson, G. W. CheckM2: a rapid, scalable and accurate tool for assessing microbial genome quality using machine learning.</w:t>
      </w:r>
      <w:r>
        <w:t xml:space="preserve"> </w:t>
      </w:r>
      <w:r>
        <w:rPr>
          <w:i/>
          <w:iCs/>
        </w:rPr>
        <w:t xml:space="preserve">Nat. Methods</w:t>
      </w:r>
      <w:r>
        <w:t xml:space="preserve"> </w:t>
      </w:r>
      <w:r>
        <w:rPr>
          <w:b/>
          <w:bCs/>
        </w:rPr>
        <w:t xml:space="preserve">20</w:t>
      </w:r>
      <w:r>
        <w:t xml:space="preserve">, 1203–1212 (2023).</w:t>
      </w:r>
    </w:p>
    <w:p>
      <w:pPr>
        <w:pStyle w:val="Compact"/>
        <w:numPr>
          <w:ilvl w:val="0"/>
          <w:numId w:val="1001"/>
        </w:numPr>
      </w:pPr>
      <w:r>
        <w:t xml:space="preserve">Li, D., Liu, C.-M., Luo, R., Sadakane, K. &amp; Lam, T.-W. MEGAHIT: an ultra-fast single-node solution for large and complex metagenomics assembly via succinct de Bruijn graph.</w:t>
      </w:r>
      <w:r>
        <w:t xml:space="preserve"> </w:t>
      </w:r>
      <w:r>
        <w:rPr>
          <w:i/>
          <w:iCs/>
        </w:rPr>
        <w:t xml:space="preserve">Bioinformatics</w:t>
      </w:r>
      <w:r>
        <w:t xml:space="preserve"> </w:t>
      </w:r>
      <w:r>
        <w:rPr>
          <w:b/>
          <w:bCs/>
        </w:rPr>
        <w:t xml:space="preserve">31</w:t>
      </w:r>
      <w:r>
        <w:t xml:space="preserve">, 1674–1676 (2015).</w:t>
      </w:r>
    </w:p>
    <w:p>
      <w:pPr>
        <w:pStyle w:val="Compact"/>
        <w:numPr>
          <w:ilvl w:val="0"/>
          <w:numId w:val="1001"/>
        </w:numPr>
      </w:pPr>
      <w:r>
        <w:t xml:space="preserve">Kang, D. D. et al. MetaBAT 2: an adaptive binning algorithm for robust and efficient genome reconstruction from metagenome assemblies.</w:t>
      </w:r>
      <w:r>
        <w:t xml:space="preserve"> </w:t>
      </w:r>
      <w:r>
        <w:rPr>
          <w:i/>
          <w:iCs/>
        </w:rPr>
        <w:t xml:space="preserve">PeerJ</w:t>
      </w:r>
      <w:r>
        <w:t xml:space="preserve"> </w:t>
      </w:r>
      <w:r>
        <w:rPr>
          <w:b/>
          <w:bCs/>
        </w:rPr>
        <w:t xml:space="preserve">7</w:t>
      </w:r>
      <w:r>
        <w:t xml:space="preserve">, e7359 (2019).</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pPr>
        <w:pStyle w:val="Compact"/>
        <w:numPr>
          <w:ilvl w:val="0"/>
          <w:numId w:val="1001"/>
        </w:numPr>
      </w:pPr>
      <w:r>
        <w:t xml:space="preserve">Camacho, C. et al. BLAST+: architecture and applications.</w:t>
      </w:r>
      <w:r>
        <w:t xml:space="preserve"> </w:t>
      </w:r>
      <w:r>
        <w:rPr>
          <w:i/>
          <w:iCs/>
        </w:rPr>
        <w:t xml:space="preserve">BMC Bioinformatics</w:t>
      </w:r>
      <w:r>
        <w:t xml:space="preserve"> </w:t>
      </w:r>
      <w:r>
        <w:rPr>
          <w:b/>
          <w:bCs/>
        </w:rPr>
        <w:t xml:space="preserve">10</w:t>
      </w:r>
      <w:r>
        <w:t xml:space="preserve">, 421 (2009).</w:t>
      </w:r>
    </w:p>
    <w:p>
      <w:pPr>
        <w:pStyle w:val="Compact"/>
        <w:numPr>
          <w:ilvl w:val="0"/>
          <w:numId w:val="1001"/>
        </w:numPr>
      </w:pP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p>
      <w:pPr>
        <w:pStyle w:val="Compact"/>
        <w:numPr>
          <w:ilvl w:val="0"/>
          <w:numId w:val="1001"/>
        </w:numPr>
      </w:pPr>
      <w:r>
        <w:t xml:space="preserve">Eddy, S. R. Accelerated profile HMM searches.</w:t>
      </w:r>
      <w:r>
        <w:t xml:space="preserve"> </w:t>
      </w:r>
      <w:r>
        <w:rPr>
          <w:i/>
          <w:iCs/>
        </w:rPr>
        <w:t xml:space="preserve">PLoS Comput. Biol.</w:t>
      </w:r>
      <w:r>
        <w:t xml:space="preserve"> </w:t>
      </w:r>
      <w:r>
        <w:rPr>
          <w:b/>
          <w:bCs/>
        </w:rPr>
        <w:t xml:space="preserve">7</w:t>
      </w:r>
      <w:r>
        <w:t xml:space="preserve">, e1002195 (2011).</w:t>
      </w:r>
    </w:p>
    <w:p>
      <w:pPr>
        <w:pStyle w:val="Compact"/>
        <w:numPr>
          <w:ilvl w:val="0"/>
          <w:numId w:val="1001"/>
        </w:numPr>
      </w:pPr>
      <w:r>
        <w:t xml:space="preserve">Buchfink, B., Xie, C. &amp; Huson, D. H. Fast and sensitive protein alignment using DIAMOND.</w:t>
      </w:r>
      <w:r>
        <w:t xml:space="preserve"> </w:t>
      </w:r>
      <w:r>
        <w:rPr>
          <w:i/>
          <w:iCs/>
        </w:rPr>
        <w:t xml:space="preserve">Nat. Methods</w:t>
      </w:r>
      <w:r>
        <w:t xml:space="preserve"> </w:t>
      </w:r>
      <w:r>
        <w:rPr>
          <w:b/>
          <w:bCs/>
        </w:rPr>
        <w:t xml:space="preserve">12</w:t>
      </w:r>
      <w:r>
        <w:t xml:space="preserve">, 59–60 (2015).</w:t>
      </w:r>
    </w:p>
    <w:p>
      <w:pPr>
        <w:pStyle w:val="Compact"/>
        <w:numPr>
          <w:ilvl w:val="0"/>
          <w:numId w:val="1001"/>
        </w:numPr>
      </w:pPr>
      <w:r>
        <w:t xml:space="preserve">Hyatt, D. et al. Prodigal: prokaryotic gene recognition and translation initiation site identification.</w:t>
      </w:r>
      <w:r>
        <w:t xml:space="preserve"> </w:t>
      </w:r>
      <w:r>
        <w:rPr>
          <w:i/>
          <w:iCs/>
        </w:rPr>
        <w:t xml:space="preserve">BMC Bioinformatics</w:t>
      </w:r>
      <w:r>
        <w:t xml:space="preserve"> </w:t>
      </w:r>
      <w:r>
        <w:rPr>
          <w:b/>
          <w:bCs/>
        </w:rPr>
        <w:t xml:space="preserve">11</w:t>
      </w:r>
      <w:r>
        <w:t xml:space="preserve">, 119 (2010).</w:t>
      </w:r>
    </w:p>
    <w:p>
      <w:pPr>
        <w:pStyle w:val="Compact"/>
        <w:numPr>
          <w:ilvl w:val="0"/>
          <w:numId w:val="1001"/>
        </w:numPr>
      </w:pPr>
      <w:r>
        <w:t xml:space="preserve">Seemann, T. Prokka: rapid prokaryotic genome annotation.</w:t>
      </w:r>
      <w:r>
        <w:t xml:space="preserve"> </w:t>
      </w:r>
      <w:r>
        <w:rPr>
          <w:i/>
          <w:iCs/>
        </w:rPr>
        <w:t xml:space="preserve">Bioinformatics</w:t>
      </w:r>
      <w:r>
        <w:t xml:space="preserve"> </w:t>
      </w:r>
      <w:r>
        <w:rPr>
          <w:b/>
          <w:bCs/>
        </w:rPr>
        <w:t xml:space="preserve">30</w:t>
      </w:r>
      <w:r>
        <w:t xml:space="preserve">, 2068–2069 (2014).</w:t>
      </w:r>
    </w:p>
    <w:p>
      <w:pPr>
        <w:pStyle w:val="Compact"/>
        <w:numPr>
          <w:ilvl w:val="0"/>
          <w:numId w:val="1001"/>
        </w:numPr>
      </w:pPr>
      <w:r>
        <w:t xml:space="preserve">Wick, R. R., Judd, L. M., Gorrie, C. L. &amp; Holt, K. E. Unicycler: resolving bacterial genome assemblies from short and long sequencing reads.</w:t>
      </w:r>
      <w:r>
        <w:t xml:space="preserve"> </w:t>
      </w:r>
      <w:r>
        <w:rPr>
          <w:i/>
          <w:iCs/>
        </w:rPr>
        <w:t xml:space="preserve">PLoS Comput. Biol.</w:t>
      </w:r>
      <w:r>
        <w:t xml:space="preserve"> </w:t>
      </w:r>
      <w:r>
        <w:rPr>
          <w:b/>
          <w:bCs/>
        </w:rPr>
        <w:t xml:space="preserve">13</w:t>
      </w:r>
      <w:r>
        <w:t xml:space="preserve">, e1005595 (2017).</w:t>
      </w:r>
    </w:p>
    <w:p>
      <w:pPr>
        <w:pStyle w:val="Compact"/>
        <w:numPr>
          <w:ilvl w:val="0"/>
          <w:numId w:val="1001"/>
        </w:numPr>
      </w:pPr>
      <w:r>
        <w:t xml:space="preserve">Bankevich, A. et al. SPAdes: a new genome assembly algorithm and its applications to single-cell sequencing.</w:t>
      </w:r>
      <w:r>
        <w:t xml:space="preserve"> </w:t>
      </w:r>
      <w:r>
        <w:rPr>
          <w:i/>
          <w:iCs/>
        </w:rPr>
        <w:t xml:space="preserve">J. Comput. Biol.</w:t>
      </w:r>
      <w:r>
        <w:t xml:space="preserve"> </w:t>
      </w:r>
      <w:r>
        <w:rPr>
          <w:b/>
          <w:bCs/>
        </w:rPr>
        <w:t xml:space="preserve">19</w:t>
      </w:r>
      <w:r>
        <w:t xml:space="preserve">, 455–477 (2012).</w:t>
      </w:r>
    </w:p>
    <w:p>
      <w:pPr>
        <w:pStyle w:val="Compact"/>
        <w:numPr>
          <w:ilvl w:val="0"/>
          <w:numId w:val="1001"/>
        </w:numPr>
      </w:pPr>
      <w:r>
        <w:t xml:space="preserve">Koren, S. et al. Canu: scalable and accurate long-read assembly via adaptive k-mer weighting and repeat separation.</w:t>
      </w:r>
      <w:r>
        <w:t xml:space="preserve"> </w:t>
      </w:r>
      <w:r>
        <w:rPr>
          <w:i/>
          <w:iCs/>
        </w:rPr>
        <w:t xml:space="preserve">Genome Res.</w:t>
      </w:r>
      <w:r>
        <w:t xml:space="preserve"> </w:t>
      </w:r>
      <w:r>
        <w:rPr>
          <w:b/>
          <w:bCs/>
        </w:rPr>
        <w:t xml:space="preserve">27</w:t>
      </w:r>
      <w:r>
        <w:t xml:space="preserve">, 722–736 (2017).</w:t>
      </w:r>
    </w:p>
    <w:p>
      <w:pPr>
        <w:pStyle w:val="Compact"/>
        <w:numPr>
          <w:ilvl w:val="0"/>
          <w:numId w:val="1001"/>
        </w:numPr>
      </w:pPr>
      <w:r>
        <w:t xml:space="preserve">Chaisson, M. J. &amp; Tesler, G. Mapping single molecule sequencing reads using basic local alignment with successive refinement (BLASR): application and theory.</w:t>
      </w:r>
      <w:r>
        <w:t xml:space="preserve"> </w:t>
      </w:r>
      <w:r>
        <w:rPr>
          <w:i/>
          <w:iCs/>
        </w:rPr>
        <w:t xml:space="preserve">BMC Bioinformatics</w:t>
      </w:r>
      <w:r>
        <w:t xml:space="preserve"> </w:t>
      </w:r>
      <w:r>
        <w:rPr>
          <w:b/>
          <w:bCs/>
        </w:rPr>
        <w:t xml:space="preserve">13</w:t>
      </w:r>
      <w:r>
        <w:t xml:space="preserve">, 238 (2012).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(shihuang@hku.hk)</w:t>
      </w:r>
    </w:p>
    <w:p>
      <w:r>
        <w:pict>
          <v:rect style="width:0;height:1.5pt" o:hralign="center" o:hrstd="t" o:hr="t"/>
        </w:pict>
      </w:r>
    </w:p>
    <w:bookmarkEnd w:id="41"/>
    <w:bookmarkStart w:id="42"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anchor adjacency, SV calls, reliability flag, and</w:t>
      </w:r>
      <w:r>
        <w:t xml:space="preserve"> </w:t>
      </w:r>
      <w:r>
        <w:rPr>
          <w:rStyle w:val="VerbatimChar"/>
        </w:rPr>
        <w:t xml:space="preserve">ani_upper95</w:t>
      </w:r>
      <w:r>
        <w:t xml:space="preserve">. Source:</w:t>
      </w:r>
      <w:r>
        <w:t xml:space="preserve"> </w:t>
      </w:r>
      <w:r>
        <w:rPr>
          <w:rStyle w:val="VerbatimChar"/>
        </w:rPr>
        <w:t xml:space="preserve">paper/figures/main/fig1_algorithm.png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Accessory-content sweep (0–50% shuffled blocks at 95% core ANI): ANI estimate flat,</w:t>
      </w:r>
      <w:r>
        <w:t xml:space="preserve"> </w:t>
      </w:r>
      <w:r>
        <w:rPr>
          <w:rStyle w:val="VerbatimChar"/>
        </w:rPr>
        <w:t xml:space="preserve">af_query</w:t>
      </w:r>
      <w:r>
        <w:t xml:space="preserve"> </w:t>
      </w:r>
      <w:r>
        <w:t xml:space="preserve">tracks true shared fraction. Source:</w:t>
      </w:r>
      <w:r>
        <w:t xml:space="preserve"> </w:t>
      </w:r>
      <w:r>
        <w:rPr>
          <w:rStyle w:val="VerbatimChar"/>
        </w:rPr>
        <w:t xml:space="preserve">paper/figures/main/fig2_simulations.png</w:t>
      </w:r>
      <w:r>
        <w:t xml:space="preserve">; underlying panels archived in</w:t>
      </w:r>
      <w:r>
        <w:t xml:space="preserve"> </w:t>
      </w:r>
      <w:r>
        <w:rPr>
          <w:rStyle w:val="VerbatimChar"/>
        </w:rPr>
        <w:t xml:space="preserve">paper/figures/archive/</w:t>
      </w:r>
      <w:r>
        <w:t xml:space="preserve">.</w:t>
      </w:r>
    </w:p>
    <w:p>
      <w:pPr>
        <w:pStyle w:val="BodyText"/>
      </w:pPr>
      <w:r>
        <w:rPr>
          <w:b/>
          <w:bCs/>
        </w:rPr>
        <w:t xml:space="preserve">Figure 3 | Unified GTDB-R207 80–100% benchmark against ANIm truth.</w:t>
      </w:r>
      <w:r>
        <w:t xml:space="preserve"> </w:t>
      </w:r>
      <w:r>
        <w:t xml:space="preserve">43,334 held-out same-genus pairs plus 727 high-ANI test pairs. (a) Estimated vs ANIm truth for Syn2bANI hybrid (raw ≥98% / calibrated &lt;98%), skani, and FastANI. Raw and v6-calibrated Syn2bANI variants are shown in Supplementary Figs. S2–S3. (b) Per-band MAE. (c) Signed-error distributions. (d) High-ANI zoom. Source:</w:t>
      </w:r>
      <w:r>
        <w:t xml:space="preserve"> </w:t>
      </w:r>
      <w:r>
        <w:rPr>
          <w:rStyle w:val="VerbatimChar"/>
        </w:rPr>
        <w:t xml:space="preserve">paper/figures/main/fig3_gtdb_r207_benchmark.png</w:t>
      </w:r>
      <w:r>
        <w:t xml:space="preserve">; per-band detail in Supplementary Fig. S3.</w:t>
      </w:r>
    </w:p>
    <w:p>
      <w:pPr>
        <w:pStyle w:val="BodyText"/>
      </w:pPr>
      <w:r>
        <w:rPr>
          <w:b/>
          <w:bCs/>
        </w:rPr>
        <w:t xml:space="preserve">Figure 4 | Computational efficiency on small Enterobacteriaceae subsets.</w:t>
      </w:r>
      <w:r>
        <w:t xml:space="preserve"> </w:t>
      </w:r>
      <w:r>
        <w:t xml:space="preserve">(a) All-vs-all ANI wall time versus number of pairs. (b) One-to-all ANI search wall time versus number of reference genomes. (c) Peak memory for all-vs-all comparison. (d) SV-inclusive workflow wall time, comparing dnadiff alone, skani followed by dnadiff, and Syn2bANI (struct alone or combined ANI+SV from FASTA or pre-built sketches). All timings are medians of three replicates on a Mac Studio (M4 Max, 16 cores) for panels a–c and on a 16-core HPC node for panel d. Source:</w:t>
      </w:r>
      <w:r>
        <w:t xml:space="preserve"> </w:t>
      </w:r>
      <w:r>
        <w:rPr>
          <w:rStyle w:val="VerbatimChar"/>
        </w:rPr>
        <w:t xml:space="preserve">paper/figures/main/fig4_efficiency.png</w:t>
      </w:r>
      <w:r>
        <w:t xml:space="preserve">.</w:t>
      </w:r>
    </w:p>
    <w:p>
      <w:pPr>
        <w:pStyle w:val="BodyText"/>
      </w:pPr>
      <w:r>
        <w:rPr>
          <w:b/>
          <w:bCs/>
        </w:rPr>
        <w:t xml:space="preserve">Figure 5 | Structural outputs agree with alignment-based truth and are orders of magnitude faster than alignment-based SV calling.</w:t>
      </w:r>
      <w:r>
        <w:t xml:space="preserve"> </w:t>
      </w:r>
      <w:r>
        <w:t xml:space="preserve">(a) Syn2bANI</w:t>
      </w:r>
      <w:r>
        <w:t xml:space="preserve"> </w:t>
      </w:r>
      <w:r>
        <w:rPr>
          <w:rStyle w:val="VerbatimChar"/>
        </w:rPr>
        <w:t xml:space="preserve">raw_inverted_fraction</w:t>
      </w:r>
      <w:r>
        <w:t xml:space="preserve"> </w:t>
      </w:r>
      <w:r>
        <w:t xml:space="preserve">vs dnadiff inverted fraction across GTDB-R207 pairs (Pearson r = 0.936). (b) High-ANI zoom (ANIm ≥ 97%, r = 0.996, slope = 0.986). (c) Partial correlation of</w:t>
      </w:r>
      <w:r>
        <w:t xml:space="preserve"> </w:t>
      </w:r>
      <w:r>
        <w:rPr>
          <w:rStyle w:val="VerbatimChar"/>
        </w:rPr>
        <w:t xml:space="preserve">breakpoint_count</w:t>
      </w:r>
      <w:r>
        <w:t xml:space="preserve"> </w:t>
      </w:r>
      <w:r>
        <w:t xml:space="preserve">vs dnadiff breakpoints after controlling for ANIm and contig count. (d)</w:t>
      </w:r>
      <w:r>
        <w:t xml:space="preserve"> </w:t>
      </w:r>
      <w:r>
        <w:rPr>
          <w:rStyle w:val="VerbatimChar"/>
        </w:rPr>
        <w:t xml:space="preserve">af_query</w:t>
      </w:r>
      <w:r>
        <w:t xml:space="preserve"> </w:t>
      </w:r>
      <w:r>
        <w:t xml:space="preserve">vs dnadiff aligned fraction. (e) Wall time for SV-only or ANI+SV workflows at n = 22 genomes (484 pairs). (f) Speedup of Syn2bANI (ANI+SV, sketch workflow) over dnadiff across subset sizes. Source:</w:t>
      </w:r>
      <w:r>
        <w:t xml:space="preserve"> </w:t>
      </w:r>
      <w:r>
        <w:rPr>
          <w:rStyle w:val="VerbatimChar"/>
        </w:rPr>
        <w:t xml:space="preserve">paper/figures/main/fig5_sv_validation.png</w:t>
      </w:r>
      <w:r>
        <w:t xml:space="preserve">.</w:t>
      </w:r>
    </w:p>
    <w:p>
      <w:pPr>
        <w:pStyle w:val="BodyText"/>
      </w:pPr>
      <w:r>
        <w:rPr>
          <w:b/>
          <w:bCs/>
        </w:rPr>
        <w:t xml:space="preserve">Figure 6 | Near-clonal ANI can coexist with low synteny in GTDB-R207.</w:t>
      </w:r>
      <w:r>
        <w:t xml:space="preserve"> </w:t>
      </w:r>
      <w:r>
        <w:t xml:space="preserve">(a) Syn2bANI ANI versus anchor adjacency for 336 high-AF same-species pairs (grey); the 20 most discordant pairs (orange) have ANI &gt; 99% yet carry 61–989 SV calls. (b) SV composition of the 10 most discordant pairs, showing that hundreds of inversions and translocations can separate strains with near-identical average sequence. Source:</w:t>
      </w:r>
      <w:r>
        <w:t xml:space="preserve"> </w:t>
      </w:r>
      <w:r>
        <w:rPr>
          <w:rStyle w:val="VerbatimChar"/>
        </w:rPr>
        <w:t xml:space="preserve">paper/figures/main/fig6_ani_sv_discordance.png</w:t>
      </w:r>
      <w:r>
        <w:t xml:space="preserve">.</w:t>
      </w:r>
    </w:p>
    <w:p>
      <w:pPr>
        <w:pStyle w:val="BodyText"/>
      </w:pPr>
      <w:r>
        <w:rPr>
          <w:b/>
          <w:bCs/>
        </w:rPr>
        <w:t xml:space="preserve">Figure 7 | Locus-targeted chain coverage detects a phenotype-associated structural difference invisible to genome-wide ANI.</w:t>
      </w:r>
      <w:r>
        <w:t xml:space="preserve"> </w:t>
      </w:r>
      <w:r>
        <w:t xml:space="preserve">185</w:t>
      </w:r>
      <w:r>
        <w:t xml:space="preserve"> </w:t>
      </w:r>
      <w:r>
        <w:rPr>
          <w:i/>
          <w:iCs/>
        </w:rPr>
        <w:t xml:space="preserve">Bifidobacterium longum</w:t>
      </w:r>
      <w:r>
        <w:t xml:space="preserve"> </w:t>
      </w:r>
      <w:r>
        <w:t xml:space="preserve">isolates stratified by abfA gene-cluster status (complete vs deleted/peripheral-truncated). (a) Syn2bANI chain coverage across the abfA locus (8.5–37.1 kb; core genes 8.8–17.2 kb, peripheral region 17.2–37.1 kb). (b) Periphery coverage boxplot by group. Whole-genome ANI and aligned fraction do not separate the groups, but local chain coverage over the cluster periphery is significantly reduced in the deleted group (MWU p = 1.4 × 10⁻³). Source:</w:t>
      </w:r>
      <w:r>
        <w:t xml:space="preserve"> </w:t>
      </w:r>
      <w:r>
        <w:rPr>
          <w:rStyle w:val="VerbatimChar"/>
        </w:rPr>
        <w:t xml:space="preserve">paper/figures/main/fig7_b_longum_abfa.png</w:t>
      </w:r>
      <w:r>
        <w:t xml:space="preserve">.</w:t>
      </w:r>
    </w:p>
    <w:p>
      <w:pPr>
        <w:pStyle w:val="BodyText"/>
      </w:pPr>
      <w:r>
        <w:rPr>
          <w:b/>
          <w:bCs/>
        </w:rPr>
        <w:t xml:space="preserve">Figure 8 | cagPAI architecture in 528</w:t>
      </w:r>
      <w:r>
        <w:rPr>
          <w:b/>
          <w:bCs/>
        </w:rPr>
        <w:t xml:space="preserve"> </w:t>
      </w:r>
      <w:r>
        <w:rPr>
          <w:b/>
          <w:bCs/>
          <w:i/>
          <w:iCs/>
        </w:rPr>
        <w:t xml:space="preserve">H. pylori</w:t>
      </w:r>
      <w:r>
        <w:rPr>
          <w:b/>
          <w:bCs/>
        </w:rPr>
        <w:t xml:space="preserve"> </w:t>
      </w:r>
      <w:r>
        <w:rPr>
          <w:b/>
          <w:bCs/>
        </w:rPr>
        <w:t xml:space="preserve">isolates tracks lineage and is invisible to ANI.</w:t>
      </w:r>
      <w:r>
        <w:t xml:space="preserve"> </w:t>
      </w:r>
      <w:r>
        <w:t xml:space="preserve">(a) Engineered control validation: wild-type, ΔcagPAI, inversion, translocation, and mutated backgrounds. (b) Extended state classification workflow: marker presence/absence plus</w:t>
      </w:r>
      <w:r>
        <w:t xml:space="preserve"> </w:t>
      </w:r>
      <w:r>
        <w:rPr>
          <w:rStyle w:val="VerbatimChar"/>
        </w:rPr>
        <w:t xml:space="preserve">syn2bani struct</w:t>
      </w:r>
      <w:r>
        <w:t xml:space="preserve"> </w:t>
      </w:r>
      <w:r>
        <w:t xml:space="preserve">calls, with circular-origin filtering. (c) Stacked-bar distribution of extended cagPAI states by FastBAPS lineage. (d) Distribution by Correa’s cascade disease stage. FastBAPS lineage is strongly associated with extended state (χ² = 58.75, df = 12, p = 3.8 × 10⁻⁸), but the disease-stage association is not significant after lineage stratification (CMH p ≥ 0.21). Cross-validation against independent cagA/vacA molecular typing, the assembly-level review of discordant genomes, and lineage-stratified SV–resistance tests are reported in the text with full statistics in Supplementary Table S5 and Supplementary Fig. S13. Source:</w:t>
      </w:r>
      <w:r>
        <w:t xml:space="preserve"> </w:t>
      </w:r>
      <w:r>
        <w:rPr>
          <w:rStyle w:val="VerbatimChar"/>
        </w:rPr>
        <w:t xml:space="preserve">paper/figures/main/fig8_cagpai_h_pylori.png</w:t>
      </w:r>
      <w:r>
        <w:t xml:space="preserve">; country/population breakdown in Supplementary Fig. S11; filtering detail in Supplementary Fig. S12.</w:t>
      </w:r>
    </w:p>
    <w:p>
      <w:pPr>
        <w:pStyle w:val="BodyText"/>
      </w:pPr>
      <w:r>
        <w:rPr>
          <w:b/>
          <w:bCs/>
        </w:rPr>
        <w:t xml:space="preserve">Supplementary Figure S9 | High-ANI</w:t>
      </w:r>
      <w:r>
        <w:rPr>
          <w:b/>
          <w:bCs/>
        </w:rPr>
        <w:t xml:space="preserve"> </w:t>
      </w:r>
      <w:r>
        <w:rPr>
          <w:b/>
          <w:bCs/>
          <w:i/>
          <w:iCs/>
        </w:rPr>
        <w:t xml:space="preserve">E. coli</w:t>
      </w:r>
      <w:r>
        <w:rPr>
          <w:b/>
          <w:bCs/>
        </w:rPr>
        <w:t xml:space="preserve"> </w:t>
      </w:r>
      <w:r>
        <w:rPr>
          <w:b/>
          <w:bCs/>
        </w:rPr>
        <w:t xml:space="preserve">O157:H7 pairs carry hundreds of breakpoints.</w:t>
      </w:r>
      <w:r>
        <w:t xml:space="preserve"> </w:t>
      </w:r>
      <w:r>
        <w:t xml:space="preserve">Seventy-four genomes from Fitzgerald et al. (2021), 2,701 non-self pairs. (a) ANI vs breakpoint count colored by lineage (I/II, II, Ia, Ic). (b) Same data colored by host category (bovine, human, other/unknown). All pairwise ANIs exceed 99.886% yet breakpoints range from 171 to &gt;1,100. Source:</w:t>
      </w:r>
      <w:r>
        <w:t xml:space="preserve"> </w:t>
      </w:r>
      <w:r>
        <w:rPr>
          <w:rStyle w:val="VerbatimChar"/>
        </w:rPr>
        <w:t xml:space="preserve">case_studies/ecoli_o157_fitzgerald_2021/results/</w:t>
      </w:r>
      <w:r>
        <w:t xml:space="preserve">.</w:t>
      </w:r>
    </w:p>
    <w:bookmarkEnd w:id="42"/>
    <w:bookmarkStart w:id="43" w:name="X7e86bd043411c6fe0c1c3c5c9e527294f463d34"/>
    <w:p>
      <w:pPr>
        <w:pStyle w:val="Heading2"/>
      </w:pPr>
      <w:r>
        <w:rPr>
          <w:b/>
          <w:bCs/>
        </w:rPr>
        <w:t xml:space="preserve">Supplementary Figure S10 | High-ANI FDA-ARGOS</w:t>
      </w:r>
      <w:r>
        <w:rPr>
          <w:b/>
          <w:bCs/>
        </w:rPr>
        <w:t xml:space="preserve"> </w:t>
      </w:r>
      <w:r>
        <w:rPr>
          <w:b/>
          <w:bCs/>
          <w:i/>
          <w:iCs/>
        </w:rPr>
        <w:t xml:space="preserve">Staphylococcus aureus</w:t>
      </w:r>
      <w:r>
        <w:rPr>
          <w:b/>
          <w:bCs/>
        </w:rPr>
        <w:t xml:space="preserve"> </w:t>
      </w:r>
      <w:r>
        <w:rPr>
          <w:b/>
          <w:bCs/>
        </w:rPr>
        <w:t xml:space="preserve">pairs show wide breakpoint variation.</w:t>
      </w:r>
      <w:r>
        <w:t xml:space="preserve"> </w:t>
      </w:r>
      <w:r>
        <w:t xml:space="preserve">One hundred and twenty-two genomes, 7,381 refined pairs. (a) ANI vs breakpoint count. (b) Breakpoint count distribution. Pairs at 100% ANI still carry &gt;150 breakpoints. Source:</w:t>
      </w:r>
      <w:r>
        <w:t xml:space="preserve"> </w:t>
      </w:r>
      <w:r>
        <w:rPr>
          <w:rStyle w:val="VerbatimChar"/>
        </w:rPr>
        <w:t xml:space="preserve">case_studies/fda_argos_s_aureus/results/</w:t>
      </w:r>
      <w:r>
        <w:t xml:space="preserve">.</w:t>
      </w:r>
    </w:p>
    <w:bookmarkEnd w:id="43"/>
    <w:bookmarkStart w:id="44"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2,074-pair benchmark with band-holdout cross-validation. Lower panel: strictly held-out 43,334-pair evaluation and unified 80–100% benchmark. Raw rows are post-rescue gated estimates; v5/v6 are ridge calibrations; hybrid uses raw ≥98% ANI and calibrated &lt;98%.</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95–99/95–100</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b/>
          <w:bCs/>
        </w:rPr>
        <w:t xml:space="preserve">Table 3 | Datasets used in this study.</w:t>
      </w:r>
      <w:r>
        <w:t xml:space="preserve"> </w:t>
      </w:r>
      <w:r>
        <w:t xml:space="preserve">Simulated datasets carry exact truth by construction (counted substitutions; Online Methods);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2a,b</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2c</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2d</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Supplementary Fig. S5</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2e</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Supplementary Fig. S6</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Supplementary 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3,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Supplementary analysis</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727 GTDB-R207 non-representative pairs (95–97 / 97–100), training genomes excluded</w:t>
            </w:r>
          </w:p>
        </w:tc>
        <w:tc>
          <w:tcPr/>
          <w:p>
            <w:pPr>
              <w:pStyle w:val="Compact"/>
            </w:pPr>
            <w:r>
              <w:t xml:space="preserve">dnadiff ANIm</w:t>
            </w:r>
          </w:p>
        </w:tc>
        <w:tc>
          <w:tcPr/>
          <w:p>
            <w:pPr>
              <w:pStyle w:val="Compact"/>
            </w:pPr>
            <w:r>
              <w:t xml:space="preserve">Table 1, Fig. 4</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Results</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1</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Fig. 2</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Supplementary Fig. S7</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Fig. 3, Table 1</w:t>
            </w:r>
          </w:p>
        </w:tc>
      </w:tr>
      <w:tr>
        <w:tc>
          <w:tcPr/>
          <w:p>
            <w:pPr>
              <w:pStyle w:val="Compact"/>
            </w:pPr>
            <w:r>
              <w:t xml:space="preserve">18</w:t>
            </w:r>
          </w:p>
        </w:tc>
        <w:tc>
          <w:tcPr/>
          <w:p>
            <w:pPr>
              <w:pStyle w:val="Compact"/>
            </w:pPr>
            <w:r>
              <w:t xml:space="preserve">GTDB 50k SV benchmark</w:t>
            </w:r>
          </w:p>
        </w:tc>
        <w:tc>
          <w:tcPr/>
          <w:p>
            <w:pPr>
              <w:pStyle w:val="Compact"/>
            </w:pPr>
            <w:r>
              <w:t xml:space="preserve">real</w:t>
            </w:r>
          </w:p>
        </w:tc>
        <w:tc>
          <w:tcPr/>
          <w:p>
            <w:pPr>
              <w:pStyle w:val="Compact"/>
            </w:pPr>
            <w:r>
              <w:t xml:space="preserve">same 43,334 pairs as #17</w:t>
            </w:r>
          </w:p>
        </w:tc>
        <w:tc>
          <w:tcPr/>
          <w:p>
            <w:pPr>
              <w:pStyle w:val="Compact"/>
            </w:pPr>
            <w:r>
              <w:t xml:space="preserve">dnadiff structural + minimap2</w:t>
            </w:r>
          </w:p>
        </w:tc>
        <w:tc>
          <w:tcPr/>
          <w:p>
            <w:pPr>
              <w:pStyle w:val="Compact"/>
            </w:pPr>
            <w:r>
              <w:t xml:space="preserve">Results</w:t>
            </w:r>
          </w:p>
        </w:tc>
      </w:tr>
      <w:tr>
        <w:tc>
          <w:tcPr/>
          <w:p>
            <w:pPr>
              <w:pStyle w:val="Compact"/>
            </w:pPr>
            <w:r>
              <w:t xml:space="preserve">19</w:t>
            </w:r>
          </w:p>
        </w:tc>
        <w:tc>
          <w:tcPr/>
          <w:p>
            <w:pPr>
              <w:pStyle w:val="Compact"/>
            </w:pPr>
            <w:r>
              <w:t xml:space="preserve">cagPAI pilot</w:t>
            </w:r>
          </w:p>
        </w:tc>
        <w:tc>
          <w:tcPr/>
          <w:p>
            <w:pPr>
              <w:pStyle w:val="Compact"/>
            </w:pPr>
            <w:r>
              <w:t xml:space="preserve">engineered</w:t>
            </w:r>
          </w:p>
        </w:tc>
        <w:tc>
          <w:tcPr/>
          <w:p>
            <w:pPr>
              <w:pStyle w:val="Compact"/>
            </w:pPr>
            <w:r>
              <w:t xml:space="preserve">8</w:t>
            </w:r>
            <w:r>
              <w:t xml:space="preserve"> </w:t>
            </w:r>
            <w:r>
              <w:rPr>
                <w:i/>
                <w:iCs/>
              </w:rPr>
              <w:t xml:space="preserve">H. pylori</w:t>
            </w:r>
            <w:r>
              <w:t xml:space="preserve"> </w:t>
            </w:r>
            <w:r>
              <w:t xml:space="preserve">26695-derived genomes (wild-type, ΔcagPAI, inversion, translocation, and mutated backgrounds)</w:t>
            </w:r>
          </w:p>
        </w:tc>
        <w:tc>
          <w:tcPr/>
          <w:p>
            <w:pPr>
              <w:pStyle w:val="Compact"/>
            </w:pPr>
            <w:r>
              <w:t xml:space="preserve">designed event sizes</w:t>
            </w:r>
          </w:p>
        </w:tc>
        <w:tc>
          <w:tcPr/>
          <w:p>
            <w:pPr>
              <w:pStyle w:val="Compact"/>
            </w:pPr>
            <w:r>
              <w:t xml:space="preserve">Fig. 8a</w:t>
            </w:r>
          </w:p>
        </w:tc>
      </w:tr>
      <w:tr>
        <w:tc>
          <w:tcPr/>
          <w:p>
            <w:pPr>
              <w:pStyle w:val="Compact"/>
            </w:pPr>
            <w:r>
              <w:t xml:space="preserve">20</w:t>
            </w:r>
          </w:p>
        </w:tc>
        <w:tc>
          <w:tcPr/>
          <w:p>
            <w:pPr>
              <w:pStyle w:val="Compact"/>
            </w:pPr>
            <w:r>
              <w:rPr>
                <w:i/>
                <w:iCs/>
              </w:rPr>
              <w:t xml:space="preserve">H. pylori</w:t>
            </w:r>
            <w:r>
              <w:t xml:space="preserve"> </w:t>
            </w:r>
            <w:r>
              <w:t xml:space="preserve">cagPAI cohort</w:t>
            </w:r>
          </w:p>
        </w:tc>
        <w:tc>
          <w:tcPr/>
          <w:p>
            <w:pPr>
              <w:pStyle w:val="Compact"/>
            </w:pPr>
            <w:r>
              <w:t xml:space="preserve">real</w:t>
            </w:r>
          </w:p>
        </w:tc>
        <w:tc>
          <w:tcPr/>
          <w:p>
            <w:pPr>
              <w:pStyle w:val="Compact"/>
            </w:pPr>
            <w:r>
              <w:t xml:space="preserve">528 genomes from Song et al. (2026); marker + struct state vs 26695</w:t>
            </w:r>
          </w:p>
        </w:tc>
        <w:tc>
          <w:tcPr/>
          <w:p>
            <w:pPr>
              <w:pStyle w:val="Compact"/>
            </w:pPr>
            <w:r>
              <w:t xml:space="preserve">disease stage, FastBAPS, country, population; collaborator metadata: cagA EPIYA typing, vacA typing, CARD resistance genotype</w:t>
            </w:r>
          </w:p>
        </w:tc>
        <w:tc>
          <w:tcPr/>
          <w:p>
            <w:pPr>
              <w:pStyle w:val="Compact"/>
            </w:pPr>
            <w:r>
              <w:t xml:space="preserve">Fig. 8</w:t>
            </w:r>
          </w:p>
        </w:tc>
      </w:tr>
      <w:tr>
        <w:tc>
          <w:tcPr/>
          <w:p>
            <w:pPr>
              <w:pStyle w:val="Compact"/>
            </w:pPr>
            <w:r>
              <w:t xml:space="preserve">21</w:t>
            </w:r>
          </w:p>
        </w:tc>
        <w:tc>
          <w:tcPr/>
          <w:p>
            <w:pPr>
              <w:pStyle w:val="Compact"/>
            </w:pPr>
            <w:r>
              <w:rPr>
                <w:i/>
                <w:iCs/>
              </w:rPr>
              <w:t xml:space="preserve">E. coli</w:t>
            </w:r>
            <w:r>
              <w:t xml:space="preserve"> </w:t>
            </w:r>
            <w:r>
              <w:t xml:space="preserve">O157:H7 collection</w:t>
            </w:r>
          </w:p>
        </w:tc>
        <w:tc>
          <w:tcPr/>
          <w:p>
            <w:pPr>
              <w:pStyle w:val="Compact"/>
            </w:pPr>
            <w:r>
              <w:t xml:space="preserve">real</w:t>
            </w:r>
          </w:p>
        </w:tc>
        <w:tc>
          <w:tcPr/>
          <w:p>
            <w:pPr>
              <w:pStyle w:val="Compact"/>
            </w:pPr>
            <w:r>
              <w:t xml:space="preserve">74 genomes from Fitzgerald et al. (2021); 2,701 pairs</w:t>
            </w:r>
          </w:p>
        </w:tc>
        <w:tc>
          <w:tcPr/>
          <w:p>
            <w:pPr>
              <w:pStyle w:val="Compact"/>
            </w:pPr>
            <w:r>
              <w:t xml:space="preserve">lineage, host source</w:t>
            </w:r>
          </w:p>
        </w:tc>
        <w:tc>
          <w:tcPr/>
          <w:p>
            <w:pPr>
              <w:pStyle w:val="Compact"/>
            </w:pPr>
            <w:r>
              <w:t xml:space="preserve">Supplementary Fig. S9</w:t>
            </w:r>
          </w:p>
        </w:tc>
      </w:tr>
      <w:tr>
        <w:tc>
          <w:tcPr/>
          <w:p>
            <w:pPr>
              <w:pStyle w:val="Compact"/>
            </w:pPr>
            <w:r>
              <w:t xml:space="preserve">22</w:t>
            </w:r>
          </w:p>
        </w:tc>
        <w:tc>
          <w:tcPr/>
          <w:p>
            <w:pPr>
              <w:pStyle w:val="Compact"/>
            </w:pPr>
            <w:r>
              <w:t xml:space="preserve">FDA-ARGOS</w:t>
            </w:r>
            <w:r>
              <w:t xml:space="preserve"> </w:t>
            </w:r>
            <w:r>
              <w:rPr>
                <w:i/>
                <w:iCs/>
              </w:rPr>
              <w:t xml:space="preserve">S. aureus</w:t>
            </w:r>
          </w:p>
        </w:tc>
        <w:tc>
          <w:tcPr/>
          <w:p>
            <w:pPr>
              <w:pStyle w:val="Compact"/>
            </w:pPr>
            <w:r>
              <w:t xml:space="preserve">real</w:t>
            </w:r>
          </w:p>
        </w:tc>
        <w:tc>
          <w:tcPr/>
          <w:p>
            <w:pPr>
              <w:pStyle w:val="Compact"/>
            </w:pPr>
            <w:r>
              <w:t xml:space="preserve">122 genomes; 7,381 refined pairs</w:t>
            </w:r>
          </w:p>
        </w:tc>
        <w:tc>
          <w:tcPr/>
          <w:p>
            <w:pPr>
              <w:pStyle w:val="Compact"/>
            </w:pPr>
            <w:r>
              <w:t xml:space="preserve">country, isolation source</w:t>
            </w:r>
          </w:p>
        </w:tc>
        <w:tc>
          <w:tcPr/>
          <w:p>
            <w:pPr>
              <w:pStyle w:val="Compact"/>
            </w:pPr>
            <w:r>
              <w:t xml:space="preserve">Supplementary Fig. S10</w:t>
            </w:r>
          </w:p>
        </w:tc>
      </w:tr>
      <w:tr>
        <w:tc>
          <w:tcPr/>
          <w:p>
            <w:pPr>
              <w:pStyle w:val="Compact"/>
            </w:pPr>
            <w:r>
              <w:t xml:space="preserve">23</w:t>
            </w:r>
          </w:p>
        </w:tc>
        <w:tc>
          <w:tcPr/>
          <w:p>
            <w:pPr>
              <w:pStyle w:val="Compact"/>
            </w:pPr>
            <w:r>
              <w:rPr>
                <w:i/>
                <w:iCs/>
              </w:rPr>
              <w:t xml:space="preserve">B. longum</w:t>
            </w:r>
            <w:r>
              <w:t xml:space="preserve"> </w:t>
            </w:r>
            <w:r>
              <w:t xml:space="preserve">abfA collection</w:t>
            </w:r>
          </w:p>
        </w:tc>
        <w:tc>
          <w:tcPr/>
          <w:p>
            <w:pPr>
              <w:pStyle w:val="Compact"/>
            </w:pPr>
            <w:r>
              <w:t xml:space="preserve">real</w:t>
            </w:r>
          </w:p>
        </w:tc>
        <w:tc>
          <w:tcPr/>
          <w:p>
            <w:pPr>
              <w:pStyle w:val="Compact"/>
            </w:pPr>
            <w:r>
              <w:t xml:space="preserve">185 JNU isolates; 17,020 pairs</w:t>
            </w:r>
          </w:p>
        </w:tc>
        <w:tc>
          <w:tcPr/>
          <w:p>
            <w:pPr>
              <w:pStyle w:val="Compact"/>
            </w:pPr>
            <w:r>
              <w:t xml:space="preserve">curated abfA cluster status</w:t>
            </w:r>
          </w:p>
        </w:tc>
        <w:tc>
          <w:tcPr/>
          <w:p>
            <w:pPr>
              <w:pStyle w:val="Compact"/>
            </w:pPr>
            <w:r>
              <w:t xml:space="preserve">Fig. 7</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2026-09-11T14:00:29Z</dcterms:created>
  <dcterms:modified xsi:type="dcterms:W3CDTF">2026-09-11T14:00:29Z</dcterms:modified>
</cp:coreProperties>
</file>

<file path=docProps/custom.xml><?xml version="1.0" encoding="utf-8"?>
<Properties xmlns="http://schemas.openxmlformats.org/officeDocument/2006/custom-properties" xmlns:vt="http://schemas.openxmlformats.org/officeDocument/2006/docPropsVTypes"/>
</file>