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080ad52f407784fcf8f62ded372cb9342db152"/>
    <w:p>
      <w:pPr>
        <w:pStyle w:val="Heading1"/>
      </w:pPr>
      <w:r>
        <w:t xml:space="preserve">Syn2b-ANI: Strain-level ANI estimation and structural comparison via fixed restriction-site anchors</w:t>
      </w:r>
    </w:p>
    <w:bookmarkStart w:id="9" w:name="authors"/>
    <w:p>
      <w:pPr>
        <w:pStyle w:val="Heading2"/>
      </w:pPr>
      <w:r>
        <w:t xml:space="preserve">Authors</w:t>
      </w:r>
    </w:p>
    <w:p>
      <w:pPr>
        <w:pStyle w:val="FirstParagraph"/>
      </w:pPr>
      <w:r>
        <w:t xml:space="preserve">[To be determined]</w:t>
      </w:r>
    </w:p>
    <w:p>
      <w:pPr>
        <w:pStyle w:val="BodyText"/>
      </w:pPr>
      <w:r>
        <w:rPr>
          <w:b/>
          <w:bCs/>
        </w:rPr>
        <w:t xml:space="preserve">Affiliations</w:t>
      </w:r>
      <w:r>
        <w:t xml:space="preserve"> </w:t>
      </w:r>
      <w:r>
        <w:t xml:space="preserve">1. State Key Laboratory of Crop Genetics and Germplasm Enhancement, Nanjing Agricultural University, Nanjing, China</w:t>
      </w:r>
      <w:r>
        <w:t xml:space="preserve"> </w:t>
      </w:r>
      <w:r>
        <w:t xml:space="preserve">2. [Additional affiliations as needed]</w:t>
      </w:r>
    </w:p>
    <w:p>
      <w:pPr>
        <w:pStyle w:val="BodyText"/>
      </w:pPr>
      <w:r>
        <w:rPr>
          <w:b/>
          <w:bCs/>
        </w:rPr>
        <w:t xml:space="preserve">Corresponding author</w:t>
      </w:r>
      <w:r>
        <w:t xml:space="preserve"> </w:t>
      </w:r>
      <w:r>
        <w:t xml:space="preserve">Shi Huang — huangshi@njau.edu.cn</w:t>
      </w:r>
    </w:p>
    <w:p>
      <w:r>
        <w:pict>
          <v:rect style="width:0;height:1.5pt" o:hralign="center" o:hrstd="t" o:hr="t"/>
        </w:pict>
      </w:r>
    </w:p>
    <w:bookmarkEnd w:id="9"/>
    <w:bookmarkStart w:id="10" w:name="abstract"/>
    <w:p>
      <w:pPr>
        <w:pStyle w:val="Heading2"/>
      </w:pPr>
      <w:r>
        <w:t xml:space="preserve">Abstract</w:t>
      </w:r>
    </w:p>
    <w:p>
      <w:pPr>
        <w:pStyle w:val="FirstParagraph"/>
      </w:pPr>
      <w:r>
        <w:t xml:space="preserve">Average Nucleotide Identity (ANI) estimation underpins species delineation and strain tracking, but the dominant alignment-free tools reduce a genome comparison to a single scalar, discarding the synteny and structural information the comparison itself contains. We present</w:t>
      </w:r>
      <w:r>
        <w:t xml:space="preserve"> </w:t>
      </w:r>
      <w:r>
        <w:rPr>
          <w:b/>
          <w:bCs/>
        </w:rPr>
        <w:t xml:space="preserve">Syn2bANI</w:t>
      </w:r>
      <w:r>
        <w:t xml:space="preserve">, which performs in-silico digestion with Type IIB restriction enzymes and uses the resulting short (~32 bp) tags as fixed positional anchors: matched anchors are chained along the genome, and ANI is estimated by maximum likelihood only from tags inside trusted chains, so divergence and shared content are measured separately. The estimator fits a single-rate model or a gamma rate-heterogeneity model chosen per pair by an effect-size gate, reports a calibrated one-sided upper bound for pairs below the detection floor, and carries an embedded ridge calibration trained on alignment-based (ANIm) truth. Because anchors carry genomic coordinates, one computational pass additionally returns aligned fraction, a synteny score, and structural-variant calls — outputs that k-mer tools such as skani and FastANI do not provide. On simulations with exactly known truth, Syn2bANI estimates ANI with a mean absolute error (MAE) of 0.073% versus 0.377% (skani) and 0.742% (FastANI), and remains accurate under insertions/deletions, accessory-content variation, GC contents from 27% to 72%, and fragmentation down to N50 10 kb. On 2,520 GTDB-R207 genome pairs with ANIm truth, band-holdout cross-validation of the calibrated estimator attains MAE 0.731% (bias +0.05, r = 0.963) — ahead of skani (0.906%) — On a strictly held-out set of 43,334 GTDB-R207 pairs disjoint from the calibration training genomes, the calibrated estimator attains MAE 0.619% versus skani 0.957% on the same pairs, and generalizes to independent oral/gut (MAE 0.497%) and mid-ANI (0.806%) benchmarks. On real genome pairs it localizes the endpoints of a documented ~780 kb inversion to within 5.5 kb and recovers indels with a median size ratio of 1.000 against dnadiff, in ~50 ms per pair. Syn2bANI sketches are fivefold smaller than skani’s; skani remains faster at database scale, a trade-off we quantify openly. Syn2bANI is freely available at https://github.com/HuangShiLab/Syn2bANI.</w:t>
      </w:r>
    </w:p>
    <w:p>
      <w:pPr>
        <w:pStyle w:val="BodyText"/>
      </w:pPr>
      <w:r>
        <w:rPr>
          <w:b/>
          <w:bCs/>
        </w:rPr>
        <w:t xml:space="preserve">Keywords</w:t>
      </w:r>
      <w:r>
        <w:t xml:space="preserve">: ANI, restriction-site anchors, 2bRAD, structural variation, synteny, maximum likelihood, metagenome-assembled genomes, bioinformatics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Average Nucleotide Identity (ANI) — the mean nucleotide identity of the orthologous regions shared by two genomes — is the operational basis of prokaryotic species delineation and the standard metric for strain-level relatedness [1,2]. It is computed at massive scale in dereplication pipelines [16], outbreak investigations, and metagenomic surveys, and it increasingly has to be computed on metagenome-assembled genomes (MAGs), which are fragmented by construction: under the MIMAG standard, a</w:t>
      </w:r>
      <w:r>
        <w:t xml:space="preserve"> </w:t>
      </w:r>
      <w:r>
        <w:t xml:space="preserve">“high-quality”</w:t>
      </w:r>
      <w:r>
        <w:t xml:space="preserve"> </w:t>
      </w:r>
      <w:r>
        <w:t xml:space="preserve">MAG may still be a draft with an N50 well below chromosome scale, and medium-quality drafts can have N50 values of a few kilobases [3].</w:t>
      </w:r>
    </w:p>
    <w:p>
      <w:pPr>
        <w:pStyle w:val="BodyText"/>
      </w:pPr>
      <w:r>
        <w:t xml:space="preserve">Three families of tools dominate ANI computation. Alignment-based methods (ANIm/ANIb, implemented in the MUMmer/nucmer ecosystem [4,5]) are the most direct realization of the definition but are too slow for all-vs-all comparison at database scale. FastANI [2] popularized an alignment-free approximation built on 20-mer seed matches and fragment-level chaining; skani [6] replaced the seeding with sparse k-mer sketches and a regressed chain statistic, gaining orders of magnitude in speed. Both k-mer tools are excellent at what they are designed for, but both reduce the comparison to essentially one number: ANI, plus an aligned-fraction estimate. Neither reports</w:t>
      </w:r>
      <w:r>
        <w:t xml:space="preserve"> </w:t>
      </w:r>
      <w:r>
        <w:rPr>
          <w:i/>
          <w:iCs/>
        </w:rPr>
        <w:t xml:space="preserve">where</w:t>
      </w:r>
      <w:r>
        <w:t xml:space="preserve"> </w:t>
      </w:r>
      <w:r>
        <w:t xml:space="preserve">the two genomes agree — which regions are collinear, where inversions or translocations sit, which blocks are insertions or deletions — even though producing that structural information is a prerequisite of their own internal chaining step. The structural content of the comparison is computed and then discarded.</w:t>
      </w:r>
    </w:p>
    <w:p>
      <w:pPr>
        <w:pStyle w:val="BodyText"/>
      </w:pPr>
      <w:r>
        <w:t xml:space="preserve">A separate line of work, from experimental genomics rather than sequence comparison, suggests a different anchoring scheme. Type IIB restriction enzymes cleave DNA at fixed offsets from a short recognition sequence, producing short tags of fixed length whose genomic positions are completely determined by the recognition motif. The 2bRAD family of reduced-representation sequencing methods exploits exactly this property [7], and its microbiome adaptation, 2bRAD-M, has shown that these tags support species- and strain-level resolution in real sequencing data [8]. Computationally, Type IIB tags are attractive anchors for a different reason than k-mers: they are sparse (one per ~0.5–1.5 kb), long enough that a match is almost certainly homologous, and — crucially — the</w:t>
      </w:r>
      <w:r>
        <w:t xml:space="preserve"> </w:t>
      </w:r>
      <w:r>
        <w:rPr>
          <w:i/>
          <w:iCs/>
        </w:rPr>
        <w:t xml:space="preserve">absence</w:t>
      </w:r>
      <w:r>
        <w:t xml:space="preserve"> </w:t>
      </w:r>
      <w:r>
        <w:t xml:space="preserve">of a tag at a homologous position is itself informative, because it implies a mutation inside the recognition site or the tag body. That last observation turns tag matching from a similarity heuristic into a statistical estimation problem with a tractable likelihood.</w:t>
      </w:r>
    </w:p>
    <w:p>
      <w:pPr>
        <w:pStyle w:val="BodyText"/>
      </w:pPr>
      <w:r>
        <w:t xml:space="preserve">Here we present Syn2bANI, a tool that builds ANI estimation on this fixed-anchor substrate. The estimator digests both genomes in silico with a small panel of Type IIB enzymes, anchors shared tags by pigeonhole-seeded tolerant matching, chains the anchors with a gap-penalized collinear dynamic program whose chain-break threshold adapts to the fitted divergence, and then estimates ANI by maximum likelihood from the per-enzyme mismatch histograms and miss counts</w:t>
      </w:r>
      <w:r>
        <w:t xml:space="preserve"> </w:t>
      </w:r>
      <w:r>
        <w:rPr>
          <w:i/>
          <w:iCs/>
        </w:rPr>
        <w:t xml:space="preserve">inside chains only</w:t>
      </w:r>
      <w:r>
        <w:t xml:space="preserve">. Restricting the likelihood to chained regions is what separates the two quantities that k-mer containment conflates: ANI measures divergence of the shared genome, while aligned fraction (AF) separately measures how much genome is shared. Because the anchors carry coordinates, the same pass yields synteny blocks and structural-variant (SV) calls — inversions, translocations, and indels ≥ 1 kb — at no additional modeling cost.</w:t>
      </w:r>
    </w:p>
    <w:p>
      <w:pPr>
        <w:pStyle w:val="BodyText"/>
      </w:pPr>
      <w:r>
        <w:t xml:space="preserve">We validate the estimator in two deliberately different regimes. Simulations with exactly known truth (ANI is known by construction, because mutations are counted, not inferred) establish that the raw estimator is essentially unbiased (MAE 0.073% over 85–99.9% true ANI) and quantify its robustness to indels, fragmentation, accessory content, and GC. Real genome pairs scored against ANIm alignment truth then expose what the simulations cannot: regional rate heterogeneity in real genomes biases the raw estimator upward by about two ANI points at divergent bands, a bias we show to be systematic, mechanistically characterized, and removable by a transparent ridge calibration on the tool’s own internal features, validated by holding out entire ANI bands during training. The development history itself is part of the methods contribution: a simulation paradigm failed to predict behavior on real fragmented assemblies, the failure was diagnosed to a specific structural cause, and the fix was validated on real drafts — we report this arc because it defines the boundaries of what simulation-based validation can certify.</w:t>
      </w:r>
    </w:p>
    <w:p>
      <w:pPr>
        <w:pStyle w:val="BodyText"/>
      </w:pPr>
      <w:r>
        <w:t xml:space="preserve">Syn2bANI is implemented in Rust with a skani-compatible command-line interface (</w:t>
      </w:r>
      <w:r>
        <w:rPr>
          <w:rStyle w:val="VerbatimChar"/>
        </w:rPr>
        <w:t xml:space="preserve">ani</w:t>
      </w:r>
      <w:r>
        <w:t xml:space="preserve">,</w:t>
      </w:r>
      <w:r>
        <w:t xml:space="preserve">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sketch</w:t>
      </w:r>
      <w:r>
        <w:t xml:space="preserve">,</w:t>
      </w:r>
      <w:r>
        <w:t xml:space="preserve"> </w:t>
      </w:r>
      <w:r>
        <w:rPr>
          <w:rStyle w:val="VerbatimChar"/>
        </w:rPr>
        <w:t xml:space="preserve">triangle</w:t>
      </w:r>
      <w:r>
        <w:t xml:space="preserve">,</w:t>
      </w:r>
      <w:r>
        <w:t xml:space="preserve"> </w:t>
      </w:r>
      <w:r>
        <w:rPr>
          <w:rStyle w:val="VerbatimChar"/>
        </w:rPr>
        <w:t xml:space="preserve">db</w:t>
      </w:r>
      <w:r>
        <w:t xml:space="preserve">,</w:t>
      </w:r>
      <w:r>
        <w:t xml:space="preserve"> </w:t>
      </w:r>
      <w:r>
        <w:rPr>
          <w:rStyle w:val="VerbatimChar"/>
        </w:rPr>
        <w:t xml:space="preserve">struct</w:t>
      </w:r>
      <w:r>
        <w:t xml:space="preserve">), uses a compact sketch format roughly fivefold smaller than skani’s, and runs database-scale screens of thousands of genomes in minutes on a 32-core node. It is not the fastest ANI tool at scale — skani remains ~50× faster on all-vs-all triangle workloads — and we state that trade-off plainly alongside the accuracy and structural outputs that the per-pair cost buys.</w:t>
      </w:r>
    </w:p>
    <w:p>
      <w:r>
        <w:pict>
          <v:rect style="width:0;height:1.5pt" o:hralign="center" o:hrstd="t" o:hr="t"/>
        </w:pict>
      </w:r>
    </w:p>
    <w:bookmarkEnd w:id="11"/>
    <w:bookmarkStart w:id="22" w:name="results"/>
    <w:p>
      <w:pPr>
        <w:pStyle w:val="Heading2"/>
      </w:pPr>
      <w:r>
        <w:t xml:space="preserve">2. Results</w:t>
      </w:r>
    </w:p>
    <w:bookmarkStart w:id="12" w:name="Xa1792d8478b715e54a82844f2cfce0e923bbfe6"/>
    <w:p>
      <w:pPr>
        <w:pStyle w:val="Heading3"/>
      </w:pPr>
      <w:r>
        <w:t xml:space="preserve">2.1 The Syn2bANI estimator: chain-restricted maximum likelihood on fixed anchors</w:t>
      </w:r>
    </w:p>
    <w:p>
      <w:pPr>
        <w:pStyle w:val="FirstParagraph"/>
      </w:pPr>
      <w:r>
        <w:t xml:space="preserve">Syn2bANI compares two genomes in four stages (Fig. 1; Fig. 9a shows the resulting chains on a real rearranged pair). First, both genomes are digested in silico with a panel of Type IIB restriction enzymes (default: BcgI, AlfI, AloI, FalI; ~27–32 bp tags), and every tag is recorded with its sequence and genomic coordinate. Second, tags shared between the genomes — exact or within a mismatch budget of 2 — become</w:t>
      </w:r>
      <w:r>
        <w:t xml:space="preserve"> </w:t>
      </w:r>
      <w:r>
        <w:rPr>
          <w:i/>
          <w:iCs/>
        </w:rPr>
        <w:t xml:space="preserve">anchors</w:t>
      </w:r>
      <w:r>
        <w:t xml:space="preserve">; seeding uses the pigeonhole principle (a tag split into</w:t>
      </w:r>
      <w:r>
        <w:t xml:space="preserve"> </w:t>
      </w:r>
      <w:r>
        <w:rPr>
          <w:rStyle w:val="VerbatimChar"/>
        </w:rPr>
        <w:t xml:space="preserve">tol + 1</w:t>
      </w:r>
      <w:r>
        <w:t xml:space="preserve"> </w:t>
      </w:r>
      <w:r>
        <w:t xml:space="preserve">parts must share at least one part exactly), so tolerant anchor recovery costs no whole-genome scan. Third, anchors are grouped by (query contig, reference contig, orientation) and chained by gap-penalized collinear dynamic programming, in two passes: a permissive first pass fits a provisional divergence, and the second pass re-chains with a chain-break threshold derived from that fit (Methods 4.2). Fourth, per-enzyme counts of tag outcomes</w:t>
      </w:r>
      <w:r>
        <w:t xml:space="preserve"> </w:t>
      </w:r>
      <w:r>
        <w:rPr>
          <w:i/>
          <w:iCs/>
        </w:rPr>
        <w:t xml:space="preserve">inside chains</w:t>
      </w:r>
      <w:r>
        <w:t xml:space="preserve"> </w:t>
      </w:r>
      <w:r>
        <w:t xml:space="preserve">— matched with 0, 1, or 2 mismatches, or not found — enter a maximum-likelihood estimator of the per-base divergence (Methods 4.3).</w:t>
      </w:r>
    </w:p>
    <w:p>
      <w:pPr>
        <w:pStyle w:val="BodyText"/>
      </w:pPr>
      <w:r>
        <w:t xml:space="preserve">The likelihood treats a Type IIB tag as what it biologically is: a tag contains its own recognition site, so the tag exists in the query only if that site survived. A mutation in the site deletes the tag entirely (contributing to the miss rate but never to the mismatch histogram), while mutations in the tag body are observable as mismatches up to the budget. The two data streams — the mismatch histogram and the loss rate — are two moments of the same divergence parameter, and the likelihood combines them with weights set by Fisher information rather than by a trained model. Two nested models are fitted: a uniform single-rate model, and a gamma model in which regional substitution rates vary as r ~ Gamma(α, α) in the style of Yang’s discrete-rates treatment [9], which turns the per-tag mismatch count negative-binomial. An effect-size gate chooses between them per pair (Methods 4.3), and two diagnostics accompany every estimate: a consistency flag (</w:t>
      </w:r>
      <w:r>
        <w:rPr>
          <w:rStyle w:val="VerbatimChar"/>
        </w:rPr>
        <w:t xml:space="preserve">ok</w:t>
      </w:r>
      <w:r>
        <w:t xml:space="preserve"> </w:t>
      </w:r>
      <w:r>
        <w:t xml:space="preserve">/</w:t>
      </w:r>
      <w:r>
        <w:t xml:space="preserve"> </w:t>
      </w:r>
      <w:r>
        <w:rPr>
          <w:rStyle w:val="VerbatimChar"/>
        </w:rPr>
        <w:t xml:space="preserve">INCONSISTENT</w:t>
      </w:r>
      <w:r>
        <w:t xml:space="preserve"> </w:t>
      </w:r>
      <w:r>
        <w:t xml:space="preserve">/</w:t>
      </w:r>
      <w:r>
        <w:t xml:space="preserve"> </w:t>
      </w:r>
      <w:r>
        <w:rPr>
          <w:rStyle w:val="VerbatimChar"/>
        </w:rPr>
        <w:t xml:space="preserve">BELOW_DETECTION</w:t>
      </w:r>
      <w:r>
        <w:t xml:space="preserve">) and, for pairs too divergent to estimate, a one-sided 95% upper confidence bound on ANI (Results 2.9).</w:t>
      </w:r>
    </w:p>
    <w:p>
      <w:pPr>
        <w:pStyle w:val="BodyText"/>
      </w:pPr>
      <w:r>
        <w:t xml:space="preserve">The design decouples ANI from aligned fraction by construction. Because counts come only from inside chains, accessory (non-homologous) content is excluded from the ANI denominator, and AF reports the shared fraction independently. This stands in contrast to genome-wide containment statistics, where observed containment is approximately (1 − F)·ANI^k — divergence and shared content multiplied together, so that any correction for one is a hidden assumption about the other.</w:t>
      </w:r>
    </w:p>
    <w:bookmarkEnd w:id="12"/>
    <w:bookmarkStart w:id="13" w:name="accuracy-against-exact-truth-fig.-2"/>
    <w:p>
      <w:pPr>
        <w:pStyle w:val="Heading3"/>
      </w:pPr>
      <w:r>
        <w:t xml:space="preserve">2.2 Accuracy against exact truth (Fig. 2)</w:t>
      </w:r>
    </w:p>
    <w:p>
      <w:pPr>
        <w:pStyle w:val="FirstParagraph"/>
      </w:pPr>
      <w:r>
        <w:t xml:space="preserve">We first validated the estimator on simulations in which the true ANI is known</w:t>
      </w:r>
      <w:r>
        <w:t xml:space="preserve"> </w:t>
      </w:r>
      <w:r>
        <w:rPr>
          <w:i/>
          <w:iCs/>
        </w:rPr>
        <w:t xml:space="preserve">exactly</w:t>
      </w:r>
      <w:r>
        <w:t xml:space="preserve">: query genomes are evolved from the</w:t>
      </w:r>
      <w:r>
        <w:t xml:space="preserve"> </w:t>
      </w:r>
      <w:r>
        <w:rPr>
          <w:i/>
          <w:iCs/>
        </w:rPr>
        <w:t xml:space="preserve">Escherichia coli</w:t>
      </w:r>
      <w:r>
        <w:t xml:space="preserve"> </w:t>
      </w:r>
      <w:r>
        <w:t xml:space="preserve">K-12 MG1655 reference (ENA U00096.3) by applying a counted number of substitutions, so true ANI = 1 − n_subs/L regardless of how mutations are distributed (Methods 4.9). Every ladder genome additionally carries a 400 kb inversion, forcing each method to work across an orientation flip, and ~46 deletions of 200–2,000 bp each, exercising gap arithmetic inside chains. Digestion is never simulated away: the released binary itself extracts tags from the evolved FASTA, so the full digest → anchor → chain → likelihood path is exercised end to end.</w:t>
      </w:r>
    </w:p>
    <w:p>
      <w:pPr>
        <w:pStyle w:val="BodyText"/>
      </w:pPr>
      <w:r>
        <w:t xml:space="preserve">Over twelve pairs spanning true ANI 85.0–99.9%, Syn2bANI attains MAE</w:t>
      </w:r>
      <w:r>
        <w:t xml:space="preserve"> </w:t>
      </w:r>
      <w:r>
        <w:rPr>
          <w:b/>
          <w:bCs/>
        </w:rPr>
        <w:t xml:space="preserve">0.073</w:t>
      </w:r>
      <w:r>
        <w:t xml:space="preserve"> </w:t>
      </w:r>
      <w:r>
        <w:t xml:space="preserve">ANI points (uniform and gamma estimates are numerically identical on this ladder — the heterogeneity gate correctly declines the second parameter on uniform-rate data), against</w:t>
      </w:r>
      <w:r>
        <w:t xml:space="preserve"> </w:t>
      </w:r>
      <w:r>
        <w:rPr>
          <w:b/>
          <w:bCs/>
        </w:rPr>
        <w:t xml:space="preserve">0.377</w:t>
      </w:r>
      <w:r>
        <w:t xml:space="preserve"> </w:t>
      </w:r>
      <w:r>
        <w:t xml:space="preserve">for skani (bias −0.377) and</w:t>
      </w:r>
      <w:r>
        <w:t xml:space="preserve"> </w:t>
      </w:r>
      <w:r>
        <w:rPr>
          <w:b/>
          <w:bCs/>
        </w:rPr>
        <w:t xml:space="preserve">0.742</w:t>
      </w:r>
      <w:r>
        <w:t xml:space="preserve"> </w:t>
      </w:r>
      <w:r>
        <w:t xml:space="preserve">for FastANI (bias −0.742) (Fig. 2). Both comparators underestimate systematically, increasingly toward low ANI (FastANI is 2.05 points low at true ANI 85%), consistent with their known compression against alignment truth in this range. A no-indel control ladder scores MAE 0.053–0.074, so the indel load costs at most ~0.02 points. The 85% rung — where only 10% of tags are retained — is flagged</w:t>
      </w:r>
      <w:r>
        <w:t xml:space="preserve"> </w:t>
      </w:r>
      <w:r>
        <w:rPr>
          <w:rStyle w:val="VerbatimChar"/>
        </w:rPr>
        <w:t xml:space="preserve">BELOW_DETECTION</w:t>
      </w:r>
      <w:r>
        <w:t xml:space="preserve"> </w:t>
      </w:r>
      <w:r>
        <w:t xml:space="preserve">rather than reported as a confident number, by design. These estimates use no training data, no calibration model, and no empirical offset.</w:t>
      </w:r>
    </w:p>
    <w:bookmarkEnd w:id="13"/>
    <w:bookmarkStart w:id="14" w:name="Xac150d6fa283fe2cd5249c158e6c07131270ef8"/>
    <w:p>
      <w:pPr>
        <w:pStyle w:val="Heading3"/>
      </w:pPr>
      <w:r>
        <w:t xml:space="preserve">2.3 Robustness: indels, GC, accessory content — and the fragmentation lesson (Fig. 3)</w:t>
      </w:r>
    </w:p>
    <w:p>
      <w:pPr>
        <w:pStyle w:val="FirstParagraph"/>
      </w:pPr>
      <w:r>
        <w:t xml:space="preserve">Four further exact-truth families isolate specific confounders (Fig. 3). (a) At true ANI fixed to 95.000 with 0–4 deletions per 100 kb (up to 4.3% of the genome removed), errors stay between +0.032 and +0.184 (MAE 0.081) with no monotone drift; deletions of this size are bridged by the chain gap arithmetic and remain inside chain spans. (b) Simulated fragmentation into 20–201 contigs — ~50% reverse-complemented, order shuffled, no sequence lost — yields errors of +0.018 to +0.179 (MAE 0.093): random contig orientation causes no additional tag loss, confirming the strand-canonical hashing. (c) Ladders evolved on five real template genomes spanning GC 27.2–72.1% give MAE 0.074–0.356,</w:t>
      </w:r>
      <w:r>
        <w:t xml:space="preserve"> </w:t>
      </w:r>
      <w:r>
        <w:rPr>
          <w:i/>
          <w:iCs/>
        </w:rPr>
        <w:t xml:space="preserve">not</w:t>
      </w:r>
      <w:r>
        <w:t xml:space="preserve"> </w:t>
      </w:r>
      <w:r>
        <w:t xml:space="preserve">monotone in GC; the per-genome errors are systematic offsets (MAE ≈ bias per genome), not scatter — an observation that becomes important in Results 2.4. (d) With core ANI fixed at 95.000 and 0–50% of the genome replaced by composition-preserving but homology-destroying shuffled blocks (a stand-in for accessory content), the estimate stays flat (+0.044 to +0.250, MAE 0.114, not monotone in the accessory fraction) while</w:t>
      </w:r>
      <w:r>
        <w:t xml:space="preserve"> </w:t>
      </w:r>
      <w:r>
        <w:rPr>
          <w:rStyle w:val="VerbatimChar"/>
        </w:rPr>
        <w:t xml:space="preserve">af_query</w:t>
      </w:r>
      <w:r>
        <w:t xml:space="preserve"> </w:t>
      </w:r>
      <w:r>
        <w:t xml:space="preserve">tracks the true shared fraction to within 0.004. The two signals are decoupled as designed; a residual uniform bias of ~+0.1 point is unexplained and disclosed (chain-boundary censoring was excluded as its cause by a block-count control experiment).</w:t>
      </w:r>
    </w:p>
    <w:p>
      <w:pPr>
        <w:pStyle w:val="BodyText"/>
      </w:pPr>
      <w:r>
        <w:rPr>
          <w:b/>
          <w:bCs/>
        </w:rPr>
        <w:t xml:space="preserve">The fragmentation claim had to be earned twice.</w:t>
      </w:r>
      <w:r>
        <w:t xml:space="preserve"> </w:t>
      </w:r>
      <w:r>
        <w:t xml:space="preserve">Simulated fragmentation says Syn2bANI is robust at any contig count, because simulated cuts preserve every base at random boundaries. Real assemblies do not: they lose sequence at repeat boundaries and have coverage-driven contig-length distributions. Fragmenting the real</w:t>
      </w:r>
      <w:r>
        <w:t xml:space="preserve"> </w:t>
      </w:r>
      <w:r>
        <w:rPr>
          <w:i/>
          <w:iCs/>
        </w:rPr>
        <w:t xml:space="preserve">E. coli</w:t>
      </w:r>
      <w:r>
        <w:t xml:space="preserve"> </w:t>
      </w:r>
      <w:r>
        <w:t xml:space="preserve">O157:H7 Sakai assembly against K-12 (true ANI constant by construction at 98.0535) drifted the pre-fix estimate</w:t>
      </w:r>
      <w:r>
        <w:t xml:space="preserve"> </w:t>
      </w:r>
      <w:r>
        <w:rPr>
          <w:b/>
          <w:bCs/>
        </w:rPr>
        <w:t xml:space="preserve">+0.65 points at N50 5 kb</w:t>
      </w:r>
      <w:r>
        <w:t xml:space="preserve"> </w:t>
      </w:r>
      <w:r>
        <w:t xml:space="preserve">— worse, in the wrong direction, than skani and FastANI on the same files, and in direct contradiction of the simulation. The cause was structural: a chain requires ≥ 4 anchors within one contig, a 5 kb contig holds ~7 tags, and contigs that cannot form a chain were dropped from the likelihood entirely. Because diverged tags anchor poorly, the dropped contigs are disproportionately divergent — the miss count erodes faster than the hit count and the estimate drifts high (a miss-count selection, not a chain-acceptance problem per se).</w:t>
      </w:r>
    </w:p>
    <w:p>
      <w:pPr>
        <w:pStyle w:val="BodyText"/>
      </w:pPr>
      <w:r>
        <w:t xml:space="preserve">The fix is a short-contig rescue pass (Methods 4.4): a short contig with no accepted chain but a collinear group of ≥ 2 unique anchors is folded into the likelihood under exactly the counting rule pass-2 chaining would apply on the intact genome — interior tags counted, tails counted only while a bracketing anchor follows within the adaptive skip distance. Contigs with 0–1 placeable anchors remain dropped (the genuinely accessory fraction, which AF keeps reporting), and complete or high-N50 assemblies take a bit-identical path. On the Sakai ladder the drift becomes</w:t>
      </w:r>
      <w:r>
        <w:t xml:space="preserve"> </w:t>
      </w:r>
      <w:r>
        <w:rPr>
          <w:b/>
          <w:bCs/>
        </w:rPr>
        <w:t xml:space="preserve">−0.032 at N50 20 kb, −0.017 at N50 10 kb, and +0.200 at N50 5 kb</w:t>
      </w:r>
      <w:r>
        <w:t xml:space="preserve"> </w:t>
      </w:r>
      <w:r>
        <w:t xml:space="preserve">(was +0.283/+0.491/+0.654), versus skani −0.24 and FastANI −0.64 on the same 5 kb file; AF simultaneously recovers from 0.434 to 0.580 at N50 5 kb. On eight real ENA draft</w:t>
      </w:r>
      <w:r>
        <w:t xml:space="preserve"> </w:t>
      </w:r>
      <w:r>
        <w:rPr>
          <w:i/>
          <w:iCs/>
        </w:rPr>
        <w:t xml:space="preserve">E. coli</w:t>
      </w:r>
      <w:r>
        <w:t xml:space="preserve"> </w:t>
      </w:r>
      <w:r>
        <w:t xml:space="preserve">assemblies (88–8,025 contigs), reverse-complement self-controls return 99.9999 before and after the fix, and the worst-case bias against skani (the 8,025-contig contaminated assembly) shrinks from +0.91 to</w:t>
      </w:r>
      <w:r>
        <w:t xml:space="preserve"> </w:t>
      </w:r>
      <w:r>
        <w:rPr>
          <w:b/>
          <w:bCs/>
        </w:rPr>
        <w:t xml:space="preserve">+0.36</w:t>
      </w:r>
      <w:r>
        <w:t xml:space="preserve">. The same exercise also caught, historically, a strand-asymmetric tag-packing bug that same-orientation simulation could not in principle detect; reverse-complement controls and real drafts are now standard validation fixtures. The honest statement of robustness is therefore bounded: drift ≤ 0.03 down to N50 10 kb, ≤ 0.20 at N50 5 kb — tighter than both k-mer tools on the same files — with AF honestly reporting the unplaceable remainder.</w:t>
      </w:r>
    </w:p>
    <w:bookmarkEnd w:id="14"/>
    <w:bookmarkStart w:id="15" w:name="Xf7f92f1123574536615e9e394fa878e033ac6f5"/>
    <w:p>
      <w:pPr>
        <w:pStyle w:val="Heading3"/>
      </w:pPr>
      <w:r>
        <w:t xml:space="preserve">2.4 The enzyme panel is the estimator’s only free design choice (Fig. 4)</w:t>
      </w:r>
    </w:p>
    <w:p>
      <w:pPr>
        <w:pStyle w:val="FirstParagraph"/>
      </w:pPr>
      <w:r>
        <w:t xml:space="preserve">Everything in the likelihood is fixed by the tag geometry except which enzymes are digested, so we treated panel selection as a measurement problem (Fig. 4). (a) On ten replicate genomes evolved to exactly 95% ANI under uniform per-site divergence — where no enzyme has a legitimate reason to disagree — per-enzyme estimates disagree anyway and</w:t>
      </w:r>
      <w:r>
        <w:t xml:space="preserve"> </w:t>
      </w:r>
      <w:r>
        <w:rPr>
          <w:i/>
          <w:iCs/>
        </w:rPr>
        <w:t xml:space="preserve">systematically</w:t>
      </w:r>
      <w:r>
        <w:t xml:space="preserve">: AlfI reads +0.273 high (9.0σ), FalI −0.586 low (8.8σ), while BcgI (+0.095, 2.9σ) and AloI (+0.011, 0.2σ) are consistent with zero. Bookkeeping, IUPAC degeneracy, tag overlap, and packing artifacts were excluded as causes by measurement. The standing mechanistic hypothesis is</w:t>
      </w:r>
      <w:r>
        <w:t xml:space="preserve"> </w:t>
      </w:r>
      <w:r>
        <w:rPr>
          <w:b/>
          <w:bCs/>
        </w:rPr>
        <w:t xml:space="preserve">site turnover</w:t>
      </w:r>
      <w:r>
        <w:t xml:space="preserve">: mutation not only destroys recognition sites but creates them (+31% new BslFI sites at 5% divergence in one measurement), and motifs underrepresented in the genome gain more sites than they lose, so their tags read low while overrepresented motifs read high — the direction matches the observed per-enzyme signs. The likelihood currently models destruction only. (b) Larger panels help simulated precision and AF but hurt real-genome agreement: against skani on complete enteric genomes the 4-enzyme default scores MAE 0.094, an 8-enzyme panel with the low-specificity CjeI/CjePI pair (5 specified bases, cutting every ~512 bp, swamping the tag pool 3.3×) scores 0.290, and an 11-enzyme panel including the degenerate-site enzyme HaeIV degrades on every metric at once (0.670) — the latter traced to IUPAC degenerate positions violating the site-geometry the likelihood assumed, since fixed by parsing degenerate anchor classes into the likelihood (Methods 4.1). A 15-enzyme panel did not finish one pair in ten minutes: a practical ceiling. (c) Because Type IIB motifs are GC-biased, the enzyme</w:t>
      </w:r>
      <w:r>
        <w:t xml:space="preserve"> </w:t>
      </w:r>
      <w:r>
        <w:rPr>
          <w:i/>
          <w:iCs/>
        </w:rPr>
        <w:t xml:space="preserve">composition</w:t>
      </w:r>
      <w:r>
        <w:t xml:space="preserve"> </w:t>
      </w:r>
      <w:r>
        <w:t xml:space="preserve">of the tag pool shifts with genome GC (FalI supplies 78% of tags at GC 27.2%; BcgI alone 56% at GC 60.1%), so every genome pair hands the pooled likelihood a compositionally different sample — the proximal cause of the per-genome offsets seen in Fig. 3c. The consequence adopted throughout this paper: the default panel is</w:t>
      </w:r>
      <w:r>
        <w:t xml:space="preserve"> </w:t>
      </w:r>
      <w:r>
        <w:rPr>
          <w:b/>
          <w:bCs/>
        </w:rPr>
        <w:t xml:space="preserve">BcgI, AlfI, AloI, FalI</w:t>
      </w:r>
      <w:r>
        <w:t xml:space="preserve"> </w:t>
      </w:r>
      <w:r>
        <w:t xml:space="preserve">(all fully specific sites), and the deployed calibration model was trained on this panel’s feature distribution.</w:t>
      </w:r>
    </w:p>
    <w:bookmarkEnd w:id="15"/>
    <w:bookmarkStart w:id="16" w:name="X56a4384729d09e1bc5503da2512f80b11e52fe5"/>
    <w:p>
      <w:pPr>
        <w:pStyle w:val="Heading3"/>
      </w:pPr>
      <w:r>
        <w:t xml:space="preserve">2.5 Independent-truth benchmark: GTDB-R207 against ANIm, and calibration (Fig. 8, Fig. 6)</w:t>
      </w:r>
    </w:p>
    <w:p>
      <w:pPr>
        <w:pStyle w:val="FirstParagraph"/>
      </w:pPr>
      <w:r>
        <w:t xml:space="preserve">The main accuracy result against independent truth uses 2,074 GTDB-R207 genome pairs with ANIm (dnadiff 1-to-1) as the reference, stratified across ANI bands (80–85%, n = 475; 85–90, n = 837; 90–95, n = 690; 95–99, n = 72) and across phyla, plus a targeted expansion described below (Fig. 8).</w:t>
      </w:r>
    </w:p>
    <w:p>
      <w:pPr>
        <w:pStyle w:val="BodyText"/>
      </w:pPr>
      <w:r>
        <w:t xml:space="preserve">The raw estimator on real genomes tells an honest two-part story. Post-rescue, the raw gamma estimate scores MAE 2.35 (bias +2.02, r = 0.763) against ANIm: it</w:t>
      </w:r>
      <w:r>
        <w:t xml:space="preserve"> </w:t>
      </w:r>
      <w:r>
        <w:rPr>
          <w:i/>
          <w:iCs/>
        </w:rPr>
        <w:t xml:space="preserve">overestimates</w:t>
      </w:r>
      <w:r>
        <w:t xml:space="preserve"> </w:t>
      </w:r>
      <w:r>
        <w:t xml:space="preserve">divergent pairs, worst in the 80–85% band (MAE 3.21). The same sign pattern appears at larger scale: on 45,000 GTDB pairs of which FastANI reports 672, raw Syn2bANI reads +3.0 (gamma) to +4.2 (uniform) high against FastANI (Fig. 6) — and decomposing that gap against ANIm shows about three quarters of it is Syn2bANI’s overestimation and one quarter FastANI reading ~1 point low; neither tool is the truth. Mosaic simulations with exact truth establish the mechanism: real genome pairs mix a conserved core with far more divergent regions, tags survive preferentially in conserved regions, and any single-rate fit lands between the two signals and reads high. The gamma model captures roughly 43% of this bias on mosaic simulations (gamma MAE 1.711 vs uniform 2.975, where uniform-rate simulations score 0.06–0.36) and a similar partial correction on real pairs.</w:t>
      </w:r>
    </w:p>
    <w:p>
      <w:pPr>
        <w:pStyle w:val="BodyText"/>
      </w:pPr>
      <w:r>
        <w:t xml:space="preserve">A mechanistic fix was attempted and produced a rigorous negative result (Methods 4.7; full analysis in the project record). The bias decomposes into two additive terms: an in-chain distributional term (even with infinite in-chain data the parametric families misplace tail mass; a capped nonparametric fit would fix at most ~0.1–0.2 GTDB MAE) and a coverage term (the unchained fraction’s divergence is</w:t>
      </w:r>
      <w:r>
        <w:t xml:space="preserve"> </w:t>
      </w:r>
      <w:r>
        <w:rPr>
          <w:i/>
          <w:iCs/>
        </w:rPr>
        <w:t xml:space="preserve">not identifiable</w:t>
      </w:r>
      <w:r>
        <w:t xml:space="preserve"> </w:t>
      </w:r>
      <w:r>
        <w:t xml:space="preserve">from tag data at 4-enzyme density — an oracle told the exact mean identity of the chained sample still errs by MAE 1.36 against whole-genome truth on mosaics). On GTDB the unchained mass is accessory-dominated, and the residual error tracks AF at r ≈ −0.75 within every band while truth is flat in AF. The raw estimator is therefore at its identifiability floor at current tag density, and the correct correction layer is calibration on exactly the signal-strength features the tool already reports.</w:t>
      </w:r>
    </w:p>
    <w:p>
      <w:pPr>
        <w:pStyle w:val="BodyText"/>
      </w:pPr>
      <w:r>
        <w:t xml:space="preserve">The deployed correction is a ridge regression on nine Syn2bANI-internal features (gated ANI, uniform ANI, both AFs, standard error, retention, anchor/chain/tag counts — no external-tool features), trained on 2,520 ANIm-truth pairs and validated by</w:t>
      </w:r>
      <w:r>
        <w:t xml:space="preserve"> </w:t>
      </w:r>
      <w:r>
        <w:rPr>
          <w:b/>
          <w:bCs/>
        </w:rPr>
        <w:t xml:space="preserve">band-holdout cross-validation</w:t>
      </w:r>
      <w:r>
        <w:t xml:space="preserve">: each ANI band is predicted by a model trained only on the other three bands, so the model cannot memorize a regime (Methods 4.6). Two features dominate the learned correction — retention and reference AF — precisely the quantities the rate-heterogeneity artifact acts through. Because the original 95–99% band was underpowered by construction (n = 72, the only pairs GTDB offers there), we screened all 2.26 M same-genus GTDB-R207 pairs with skani and ran dnadiff/ANIm truth on 650 selected candidates, yielding 467 new truth pairs at 95.0–99.15% ANIm (607 species, 26 phyla including archaea, zero overlap with the original set) and raising top-band training n from 72 to 539.</w:t>
      </w:r>
    </w:p>
    <w:p>
      <w:pPr>
        <w:pStyle w:val="BodyText"/>
      </w:pPr>
      <w:r>
        <w:t xml:space="preserve">The deployed model (calibration v5, trained on post-rescue feature matrices) attains band-holdout CV MAE</w:t>
      </w:r>
      <w:r>
        <w:t xml:space="preserve"> </w:t>
      </w:r>
      <w:r>
        <w:rPr>
          <w:b/>
          <w:bCs/>
        </w:rPr>
        <w:t xml:space="preserve">0.731</w:t>
      </w:r>
      <w:r>
        <w:t xml:space="preserve"> </w:t>
      </w:r>
      <w:r>
        <w:t xml:space="preserve">(bias +0.05, r = 0.963; per-band 0.82 / 0.77 / 0.64 / 0.71 for 80–85 / 85–90 / 90–95 / 95–99), ahead of skani’s 0.906 (bias −0.65, r = 0.969) and FastANI’s 1.056 (bias −0.98, 363-pair subset) on the same truth (Fig. 8; Table 1). A learning-curve analysis shows the linear model plateaus at ~1,500 training pairs in-distribution, so further GTDB data alone buy little; the gains came from targeting the weak band. We state the residual asymmetry plainly: skani still correlates with truth slightly better (r 0.969 vs 0.963) — Syn2bANI’s advantage here is calibration-driven, not correlation-driven. The raw estimate remains the reference output on clean simulated data, where the calibrated model slightly underestimates (it learned real-data associations absent in uniform-rate simulations), and it returns no extrapolated value on below-detection pairs by design.</w:t>
      </w:r>
    </w:p>
    <w:p>
      <w:pPr>
        <w:pStyle w:val="BodyText"/>
      </w:pPr>
      <w:r>
        <w:t xml:space="preserve">A strictly held-out evaluation closes the two residual concerns of cross-validation — proximity between training and test genomes, and the gate’s design history — at once. We sampled 43,334 same-genus pairs from GTDB R207 (24,831 representative genomes, 74 phyla; stratified 80–85 / 85–90 / 90–95 / 95–100% by skani pre-screen), excluded in both directions every genome appearing in the calibration training set, and computed dnadiff/ANIm truth for all 43,334 pairs (Methods 4.10;</w:t>
      </w:r>
      <w:r>
        <w:t xml:space="preserve"> </w:t>
      </w:r>
      <w:r>
        <w:rPr>
          <w:rStyle w:val="VerbatimChar"/>
        </w:rPr>
        <w:t xml:space="preserve">results/gtdb50k/</w:t>
      </w:r>
      <w:r>
        <w:t xml:space="preserve">). The gate, the consistency flag, and calibration v5 were all frozen before this evaluation, so — unlike the mid-ANI set of Results 2.6 — these pairs validate the entire pipeline, gate included. On the 39,903 pairs with a calibrated score (7.9% flagged</w:t>
      </w:r>
      <w:r>
        <w:t xml:space="preserve"> </w:t>
      </w:r>
      <w:r>
        <w:rPr>
          <w:rStyle w:val="VerbatimChar"/>
        </w:rPr>
        <w:t xml:space="preserve">BELOW_DETECTION</w:t>
      </w:r>
      <w:r>
        <w:t xml:space="preserve"> </w:t>
      </w:r>
      <w:r>
        <w:t xml:space="preserve">and unscored by design), the calibrated estimator attains MAE</w:t>
      </w:r>
      <w:r>
        <w:t xml:space="preserve"> </w:t>
      </w:r>
      <w:r>
        <w:rPr>
          <w:b/>
          <w:bCs/>
        </w:rPr>
        <w:t xml:space="preserve">0.619</w:t>
      </w:r>
      <w:r>
        <w:t xml:space="preserve"> </w:t>
      </w:r>
      <w:r>
        <w:t xml:space="preserve">(bias −0.12, r = 0.962) against skani’s 0.957 (bias −0.80, r = 0.973) and FastANI’s 0.977 (bias −0.91, r = 0.980) on the same pairs (Table 1). The advantage is largest where it matters most: in the 80–85% band the calibrated estimator errs 0.72 against skani’s 1.98 and FastANI’s 1.83 (skani/FastANI error there is an almost pure ~1.9 downward bias), and 0.64 vs 0.89/1.00 at 85–90%; skani remains slightly more accurate in the 90–95% (0.43 vs 0.54) and 95–100% (0.32 vs 0.44) bands. Two further observations bound the method honestly. First, held-out MAE is</w:t>
      </w:r>
      <w:r>
        <w:t xml:space="preserve"> </w:t>
      </w:r>
      <w:r>
        <w:rPr>
          <w:i/>
          <w:iCs/>
        </w:rPr>
        <w:t xml:space="preserve">better</w:t>
      </w:r>
      <w:r>
        <w:t xml:space="preserve"> </w:t>
      </w:r>
      <w:r>
        <w:t xml:space="preserve">than the band-holdout CV estimate (0.619 vs 0.731) — the training set was deliberately enriched for hard bands — so the CV figure is a conservative bound and there is no evidence of overfitting to the training distribution. Second, the one-sided upper bound covers the ANIm truth on 99.4% of all 43,334 pairs, and no calibrated score exceeds 100 (Fig. S2).</w:t>
      </w:r>
    </w:p>
    <w:bookmarkEnd w:id="16"/>
    <w:bookmarkStart w:id="17" w:name="Xb29671b16a48753d9bb35e953eb0e0d6ba9bbc7"/>
    <w:p>
      <w:pPr>
        <w:pStyle w:val="Heading3"/>
      </w:pPr>
      <w:r>
        <w:t xml:space="preserve">2.6 External validation on independent genome sets (Fig. 5)</w:t>
      </w:r>
    </w:p>
    <w:p>
      <w:pPr>
        <w:pStyle w:val="FirstParagraph"/>
      </w:pPr>
      <w:r>
        <w:t xml:space="preserve">Three external sets probe generalization beyond the GTDB training distribution.</w:t>
      </w:r>
    </w:p>
    <w:p>
      <w:pPr>
        <w:pStyle w:val="BodyText"/>
      </w:pPr>
      <w:r>
        <w:rPr>
          <w:b/>
          <w:bCs/>
        </w:rPr>
        <w:t xml:space="preserve">Complete Enterobacteriaceae chromosomes</w:t>
      </w:r>
      <w:r>
        <w:t xml:space="preserve"> </w:t>
      </w:r>
      <w:r>
        <w:t xml:space="preserve">(13 strains versus K-12 MG1655). On the 8 pairs skani also reports, the raw gamma estimate agrees with skani at MAE</w:t>
      </w:r>
      <w:r>
        <w:t xml:space="preserve"> </w:t>
      </w:r>
      <w:r>
        <w:rPr>
          <w:b/>
          <w:bCs/>
        </w:rPr>
        <w:t xml:space="preserve">0.094</w:t>
      </w:r>
      <w:r>
        <w:t xml:space="preserve"> </w:t>
      </w:r>
      <w:r>
        <w:t xml:space="preserve">(bias −0.049) and with FastANI at 0.207, versus 0.707 for the uniform fit — on real mosaic genomes the gamma correction is what buys agreement. The remaining 5 pairs (retention 0.13–0.20) are flagged</w:t>
      </w:r>
      <w:r>
        <w:t xml:space="preserve"> </w:t>
      </w:r>
      <w:r>
        <w:rPr>
          <w:rStyle w:val="VerbatimChar"/>
        </w:rPr>
        <w:t xml:space="preserve">BELOW_DETECTION</w:t>
      </w:r>
      <w:r>
        <w:t xml:space="preserve"> </w:t>
      </w:r>
      <w:r>
        <w:t xml:space="preserve">— exactly the 5 pairs skani declines to report.</w:t>
      </w:r>
    </w:p>
    <w:p>
      <w:pPr>
        <w:pStyle w:val="BodyText"/>
      </w:pPr>
      <w:r>
        <w:rPr>
          <w:b/>
          <w:bCs/>
        </w:rPr>
        <w:t xml:space="preserve">Oral/gut same-species pairs.</w:t>
      </w:r>
      <w:r>
        <w:t xml:space="preserve"> </w:t>
      </w:r>
      <w:r>
        <w:t xml:space="preserve">On 100 same-species pairs from a 50-species oral/gut genome collection (FastANI as reference), the calibrated v5 model scores MAE</w:t>
      </w:r>
      <w:r>
        <w:t xml:space="preserve"> </w:t>
      </w:r>
      <w:r>
        <w:rPr>
          <w:b/>
          <w:bCs/>
        </w:rPr>
        <w:t xml:space="preserve">0.497</w:t>
      </w:r>
      <w:r>
        <w:t xml:space="preserve"> </w:t>
      </w:r>
      <w:r>
        <w:t xml:space="preserve">(raw gated 0.552; skani 0.169 on the same pairs — skani is strongest in this near-clonal regime, and we do not claim otherwise). The recalibrated consistency flag marks 1/100 pairs; flagged pairs are reliably worse, though not all bad pairs are flagged.</w:t>
      </w:r>
    </w:p>
    <w:p>
      <w:pPr>
        <w:pStyle w:val="BodyText"/>
      </w:pPr>
      <w:r>
        <w:rPr>
          <w:b/>
          <w:bCs/>
        </w:rPr>
        <w:t xml:space="preserve">Mid-ANI pairs against ANIm</w:t>
      </w:r>
      <w:r>
        <w:t xml:space="preserve"> </w:t>
      </w:r>
      <w:r>
        <w:t xml:space="preserve">(15 pairs,</w:t>
      </w:r>
      <w:r>
        <w:t xml:space="preserve"> </w:t>
      </w:r>
      <w:r>
        <w:rPr>
          <w:i/>
          <w:iCs/>
        </w:rPr>
        <w:t xml:space="preserve">Bifidobacterium longum × B. breve</w:t>
      </w:r>
      <w:r>
        <w:t xml:space="preserve"> </w:t>
      </w:r>
      <w:r>
        <w:t xml:space="preserve">and</w:t>
      </w:r>
      <w:r>
        <w:t xml:space="preserve"> </w:t>
      </w:r>
      <w:r>
        <w:rPr>
          <w:i/>
          <w:iCs/>
        </w:rPr>
        <w:t xml:space="preserve">Veillonella parvula × V. dispar</w:t>
      </w:r>
      <w:r>
        <w:t xml:space="preserve">, truth 87.6–90.2%; Fig. 5). This regime is hard for every method, and the truth itself is partial: ANIm aligns only 46–72% of these genomes. The raw gamma fit fails badly here (MAE 4.48, overshooting</w:t>
      </w:r>
      <w:r>
        <w:t xml:space="preserve"> </w:t>
      </w:r>
      <w:r>
        <w:rPr>
          <w:i/>
          <w:iCs/>
        </w:rPr>
        <w:t xml:space="preserve">low</w:t>
      </w:r>
      <w:r>
        <w:t xml:space="preserve"> </w:t>
      </w:r>
      <w:r>
        <w:t xml:space="preserve">by 4–10 points — the gamma shape and mean couple at the identifiability boundary when only a few hundred tags survive); the effect-size gate falls back to the homogeneous fit on 12/15 pairs, giving gated MAE</w:t>
      </w:r>
      <w:r>
        <w:t xml:space="preserve"> </w:t>
      </w:r>
      <w:r>
        <w:rPr>
          <w:b/>
          <w:bCs/>
        </w:rPr>
        <w:t xml:space="preserve">0.959</w:t>
      </w:r>
      <w:r>
        <w:t xml:space="preserve">, and calibration v5 improves this further to</w:t>
      </w:r>
      <w:r>
        <w:t xml:space="preserve"> </w:t>
      </w:r>
      <w:r>
        <w:rPr>
          <w:b/>
          <w:bCs/>
        </w:rPr>
        <w:t xml:space="preserve">0.806</w:t>
      </w:r>
      <w:r>
        <w:t xml:space="preserve"> </w:t>
      </w:r>
      <w:r>
        <w:t xml:space="preserve">(bias −0.43), versus skani 1.396 and FastANI 1.864. Before gating existed, all 15/15 pairs were already caught by the consistency flag — the diagnostic, not the point estimate, was the safeguard. One circularity caveat is disclosed: the gate’s threshold was designed with this regime in view, so this set validates the calibration fairly but not the gate itself (the gate is validated on the frozen-pipeline held-out set of Results 2.5).</w:t>
      </w:r>
    </w:p>
    <w:p>
      <w:pPr>
        <w:pStyle w:val="BodyText"/>
      </w:pPr>
      <w:r>
        <w:t xml:space="preserve">We also replicated the synteny–ANI relationship analysis of SynTracker [10] on 132 isolates of four species: the Spearman correlation between ANI and Syn2bANI’s synteny score reproduces the expected evolutionary modes (e.g. SNP-driven</w:t>
      </w:r>
      <w:r>
        <w:t xml:space="preserve"> </w:t>
      </w:r>
      <w:r>
        <w:rPr>
          <w:i/>
          <w:iCs/>
        </w:rPr>
        <w:t xml:space="preserve">E. coli</w:t>
      </w:r>
      <w:r>
        <w:t xml:space="preserve"> </w:t>
      </w:r>
      <w:r>
        <w:t xml:space="preserve">hypermutator, ρ = 0.062 with synteny flat ~0.76; SV-driven</w:t>
      </w:r>
      <w:r>
        <w:t xml:space="preserve"> </w:t>
      </w:r>
      <w:r>
        <w:rPr>
          <w:i/>
          <w:iCs/>
        </w:rPr>
        <w:t xml:space="preserve">Streptomyces rimosus</w:t>
      </w:r>
      <w:r>
        <w:t xml:space="preserve">, ANI pinned at 99.98–100 while synteny varies 0.89–0.955), confirming that the synteny score carries biologically meaningful signal orthogonal to ANI.</w:t>
      </w:r>
    </w:p>
    <w:bookmarkEnd w:id="17"/>
    <w:bookmarkStart w:id="18" w:name="X9bf187f8b3e8a48c7240ee60dac742934575bc8"/>
    <w:p>
      <w:pPr>
        <w:pStyle w:val="Heading3"/>
      </w:pPr>
      <w:r>
        <w:t xml:space="preserve">2.7 Computational efficiency and database scale (Fig. 7)</w:t>
      </w:r>
    </w:p>
    <w:p>
      <w:pPr>
        <w:pStyle w:val="FirstParagraph"/>
      </w:pPr>
      <w:r>
        <w:t xml:space="preserve">Benchmarks were run on a Mac Studio (Apple M4 Max, 16 cores, 128 GB RAM) for per-pair costs and a 32-thread HPC node for database scale (Methods 4.10). On all-vs-all comparison of nested genome sets (14 complete Enterobacteriaceae plus 8 real draft</w:t>
      </w:r>
      <w:r>
        <w:t xml:space="preserve"> </w:t>
      </w:r>
      <w:r>
        <w:rPr>
          <w:i/>
          <w:iCs/>
        </w:rPr>
        <w:t xml:space="preserve">E. coli</w:t>
      </w:r>
      <w:r>
        <w:t xml:space="preserve">; n² pairs including self), Syn2bANI computes all 484 pairs at n = 22 in</w:t>
      </w:r>
      <w:r>
        <w:t xml:space="preserve"> </w:t>
      </w:r>
      <w:r>
        <w:rPr>
          <w:b/>
          <w:bCs/>
        </w:rPr>
        <w:t xml:space="preserve">3.73 s</w:t>
      </w:r>
      <w:r>
        <w:t xml:space="preserve"> </w:t>
      </w:r>
      <w:r>
        <w:t xml:space="preserve">from FASTA or</w:t>
      </w:r>
      <w:r>
        <w:t xml:space="preserve"> </w:t>
      </w:r>
      <w:r>
        <w:rPr>
          <w:b/>
          <w:bCs/>
        </w:rPr>
        <w:t xml:space="preserve">2.79 s</w:t>
      </w:r>
      <w:r>
        <w:t xml:space="preserve"> </w:t>
      </w:r>
      <w:r>
        <w:t xml:space="preserve">reusing sketches (one-time sketch cost 0.50 s, breaking even on the second run), against 17.7 s for FastANI (Fig. 7a). skani’s 0.15 s on the same set is not like-for-like: it reported only 302/484 pairs because of its minimum-AF filter, and its time excludes sketching. Peak memory at n = 22 is 58 MB with sketch reuse versus 185 MB (skani) and 912 MB (FastANI) (Fig. 7b), and the sketch store is ~5× smaller than skani’s (4.0 MB vs 21.6 MB at n = 22; Fig. 7c): tags are 2-bit packed and only ~5,000 are kept per genome.</w:t>
      </w:r>
    </w:p>
    <w:p>
      <w:pPr>
        <w:pStyle w:val="BodyText"/>
      </w:pPr>
      <w:r>
        <w:t xml:space="preserve">At database scale, all batch subcommands run a two-stage pipeline (Methods 4.5): a recall-first containment screen on strand-canonical 18 bp tag-window keys (a pair passes with ≥ 3 shared keys and ≥ 0.1% containment; calibrated to false-reject 0/500 validated ≥ 80% ANI pairs while rejecting ~83% of random GTDB pairs) feeds the identical chain-restricted MLE used by the pairwise</w:t>
      </w:r>
      <w:r>
        <w:t xml:space="preserve"> </w:t>
      </w:r>
      <w:r>
        <w:rPr>
          <w:rStyle w:val="VerbatimChar"/>
        </w:rPr>
        <w:t xml:space="preserve">ani</w:t>
      </w:r>
      <w:r>
        <w:t xml:space="preserve"> </w:t>
      </w:r>
      <w:r>
        <w:t xml:space="preserve">command, so database output is byte-identical to pairwise output on the same pairs. On GTDB-R207 sketches (32 threads), all-vs-all</w:t>
      </w:r>
      <w:r>
        <w:t xml:space="preserve"> </w:t>
      </w:r>
      <w:r>
        <w:rPr>
          <w:rStyle w:val="VerbatimChar"/>
        </w:rPr>
        <w:t xml:space="preserve">triangle</w:t>
      </w:r>
      <w:r>
        <w:t xml:space="preserve"> </w:t>
      </w:r>
      <w:r>
        <w:t xml:space="preserve">completes n = 5,000 genomes (12.5 M pairs) in</w:t>
      </w:r>
      <w:r>
        <w:t xml:space="preserve"> </w:t>
      </w:r>
      <w:r>
        <w:rPr>
          <w:b/>
          <w:bCs/>
        </w:rPr>
        <w:t xml:space="preserve">406.7 s at 4.1 GB RSS</w:t>
      </w:r>
      <w:r>
        <w:t xml:space="preserve">, and</w:t>
      </w:r>
      <w:r>
        <w:t xml:space="preserve"> </w:t>
      </w:r>
      <w:r>
        <w:rPr>
          <w:rStyle w:val="VerbatimChar"/>
        </w:rPr>
        <w:t xml:space="preserve">search</w:t>
      </w:r>
      <w:r>
        <w:t xml:space="preserve"> </w:t>
      </w:r>
      <w:r>
        <w:t xml:space="preserve">of 100 queries against 5,000 genomes takes</w:t>
      </w:r>
      <w:r>
        <w:t xml:space="preserve"> </w:t>
      </w:r>
      <w:r>
        <w:rPr>
          <w:b/>
          <w:bCs/>
        </w:rPr>
        <w:t xml:space="preserve">22.0 s</w:t>
      </w:r>
      <w:r>
        <w:t xml:space="preserve">, recovering 12/12 pairs skani reports and matching independent MLE truth exactly on all truth-validated pairs. The screen’s measured false-reject rate on estimator-reportable pairs is 1/844 (0.12%). skani remains ~50× faster on triangle and ~7× faster on search — its per-pair cost is lower by design, and we do not claim performance parity; Syn2bANI’s per-pair cost is the price of running a chaining MLE with per-pair diagnostics (AF, standard error, consistency flag, upper bound) on every surviving pair.</w:t>
      </w:r>
    </w:p>
    <w:bookmarkEnd w:id="18"/>
    <w:bookmarkStart w:id="19" w:name="X1259386a779ca81ba2080ed7424b4adc3141ae2"/>
    <w:p>
      <w:pPr>
        <w:pStyle w:val="Heading3"/>
      </w:pPr>
      <w:r>
        <w:t xml:space="preserve">2.8 Structural variation from the same pass (Fig. 9)</w:t>
      </w:r>
    </w:p>
    <w:p>
      <w:pPr>
        <w:pStyle w:val="FirstParagraph"/>
      </w:pPr>
      <w:r>
        <w:t xml:space="preserve">Because anchors carry coordinates, chain geometry yields SV calls directly: orientation flips mark inversions, between-chain coordinate gaps mark indels (≥ 1 kb), and chains violating global reference order mark translocations. We validated the</w:t>
      </w:r>
      <w:r>
        <w:t xml:space="preserve"> </w:t>
      </w:r>
      <w:r>
        <w:rPr>
          <w:rStyle w:val="VerbatimChar"/>
        </w:rPr>
        <w:t xml:space="preserve">struct</w:t>
      </w:r>
      <w:r>
        <w:t xml:space="preserve"> </w:t>
      </w:r>
      <w:r>
        <w:t xml:space="preserve">subcommand against dnadiff (MUMmer 3.23) on three real Enterobacteriaceae chromosome pairs chosen to span the structural spectrum (Fig. 9).</w:t>
      </w:r>
    </w:p>
    <w:p>
      <w:pPr>
        <w:pStyle w:val="BodyText"/>
      </w:pPr>
      <w:r>
        <w:rPr>
          <w:i/>
          <w:iCs/>
        </w:rPr>
        <w:t xml:space="preserve">E. coli</w:t>
      </w:r>
      <w:r>
        <w:t xml:space="preserve"> </w:t>
      </w:r>
      <w:r>
        <w:t xml:space="preserve">K-12 MG1655 vs W3110 (ANI 99.99) carries the documented ~780 kb rrnD–rrnE inversion: Syn2bANI calls it at 778,620 bp versus the dnadiff cluster’s 789,503 bp, with endpoints 5.4–5.5 kb inside the truth span — the resolution limit of the method, since the junctions lie in near-identical rrn repeat arms where no tag anchor can phase uniquely. All 10 indel calls on this pair are correct (0 false positives), including a 6,790 bp MG1655-specific island matched to the exact base. Against O157:H7 Sakai (ANI 98.13), Syn2bANI correctly calls</w:t>
      </w:r>
      <w:r>
        <w:t xml:space="preserve"> </w:t>
      </w:r>
      <w:r>
        <w:rPr>
          <w:i/>
          <w:iCs/>
        </w:rPr>
        <w:t xml:space="preserve">no</w:t>
      </w:r>
      <w:r>
        <w:t xml:space="preserve"> </w:t>
      </w:r>
      <w:r>
        <w:t xml:space="preserve">inversions (dnadiff’s 14 reported</w:t>
      </w:r>
      <w:r>
        <w:t xml:space="preserve"> </w:t>
      </w:r>
      <w:r>
        <w:t xml:space="preserve">“inversions”</w:t>
      </w:r>
      <w:r>
        <w:t xml:space="preserve"> </w:t>
      </w:r>
      <w:r>
        <w:t xml:space="preserve">are all ≤ 2 kb inverted-repeat alignment fragments, below the 4-anchor chain minimum), one verified 12.5 kb translocation, and 112 true-positive indels against 9 calls that overlap dnadiff relocation-junction features (classification disagreements, not fabricated events). The heavily rearranged</w:t>
      </w:r>
      <w:r>
        <w:t xml:space="preserve"> </w:t>
      </w:r>
      <w:r>
        <w:rPr>
          <w:i/>
          <w:iCs/>
        </w:rPr>
        <w:t xml:space="preserve">Salmonella</w:t>
      </w:r>
      <w:r>
        <w:t xml:space="preserve"> </w:t>
      </w:r>
      <w:r>
        <w:t xml:space="preserve">Typhi CT18 vs Typhimurium LT2 pair (ANI 98.48) yields 8 inversions and 4 translocations, every one falling inside the two rearranged regions nucmer reports, with subdivision into nested events consistent with the documented history of this pair.</w:t>
      </w:r>
    </w:p>
    <w:p>
      <w:pPr>
        <w:pStyle w:val="BodyText"/>
      </w:pPr>
      <w:r>
        <w:t xml:space="preserve">Across the three pairs, 184 of 201 calls (91.5%) have a dnadiff counterpart, and all 17 without one overlap relocation junctions; 80.9% of dnadiff’s ≥ 1 kb events are covered, with the 60 misses concentrated in anchor-poor accessory regions whose flanking chains drop below the 4-anchor minimum (42 of the 60 are &lt; 5 kb). On the 128 one-to-one matched indels the median size ratio is</w:t>
      </w:r>
      <w:r>
        <w:t xml:space="preserve"> </w:t>
      </w:r>
      <w:r>
        <w:rPr>
          <w:b/>
          <w:bCs/>
        </w:rPr>
        <w:t xml:space="preserve">1.000</w:t>
      </w:r>
      <w:r>
        <w:t xml:space="preserve">, with 94.5% within ±25% (10th–90th percentile 0.997–1.086). End-to-end,</w:t>
      </w:r>
      <w:r>
        <w:t xml:space="preserve"> </w:t>
      </w:r>
      <w:r>
        <w:rPr>
          <w:rStyle w:val="VerbatimChar"/>
        </w:rPr>
        <w:t xml:space="preserve">struct</w:t>
      </w:r>
      <w:r>
        <w:t xml:space="preserve"> </w:t>
      </w:r>
      <w:r>
        <w:t xml:space="preserve">runs in 48–54 ms per pair against dnadiff’s 8.2–9.6 s (~170×; different machines, but the gap dwarfs any hardware effect). Known blind spots, stated plainly: equal-length homologous (e.g. HGT) replacements keep tags phased and are invisible by design, and events whose flanking chains have &lt; 4 anchors are not called.</w:t>
      </w:r>
    </w:p>
    <w:p>
      <w:pPr>
        <w:pStyle w:val="BodyText"/>
      </w:pPr>
      <w:r>
        <w:t xml:space="preserve">Two complementary checks bound the synteny statistics quantitatively (Supplementary Fig. S1). First, an exact-truth inversion ladder — MG1655 evolved to ANI 95/98 with 0–32 counted, non-overlapping inversions — shows</w:t>
      </w:r>
      <w:r>
        <w:t xml:space="preserve"> </w:t>
      </w:r>
      <w:r>
        <w:rPr>
          <w:b/>
          <w:bCs/>
        </w:rPr>
        <w:t xml:space="preserve">perfect breakpoint recall</w:t>
      </w:r>
      <w:r>
        <w:t xml:space="preserve">:</w:t>
      </w:r>
      <w:r>
        <w:t xml:space="preserve"> </w:t>
      </w:r>
      <w:r>
        <w:rPr>
          <w:rStyle w:val="VerbatimChar"/>
        </w:rPr>
        <w:t xml:space="preserve">breakpoint_count</w:t>
      </w:r>
      <w:r>
        <w:t xml:space="preserve"> </w:t>
      </w:r>
      <w:r>
        <w:t xml:space="preserve">equals the true 2·n_inversions on all 14 rungs (0–64, no misses, no false positives),</w:t>
      </w:r>
      <w:r>
        <w:t xml:space="preserve"> </w:t>
      </w:r>
      <w:r>
        <w:rPr>
          <w:rStyle w:val="VerbatimChar"/>
        </w:rPr>
        <w:t xml:space="preserve">synteny_score</w:t>
      </w:r>
      <w:r>
        <w:t xml:space="preserve"> </w:t>
      </w:r>
      <w:r>
        <w:t xml:space="preserve">declines monotonically from 1.0000 to 0.9835, and the ANI estimate itself is SV-invariant (94.95–95.00 at true 95.00 across the whole ladder), because reordering blocks does not change the chain-restricted likelihood denominator. Second, a specificity check at scale: on all 695 CAMI2 MAG–anchor pairs, a dnadiff-derived breakpoint count finds essentially no rearrangements (median 0, max 5 — bins derive from their anchor strain), and Syn2bANI likewise stays quiet (median synteny_score 0.9997, no structurally flagged pair); the residual Syn2bANI-only breaks concentrate in low-N50 bins, where they reflect chain fragmentation across assembly gaps rather than rearrangements. The whole synteny report is a by-product of the ANI pass (50–70 ms per pair), so these statistics cost nothing extra to compute.</w:t>
      </w:r>
    </w:p>
    <w:bookmarkEnd w:id="19"/>
    <w:bookmarkStart w:id="20" w:name="Xbefc83449acb417b42fde5751bc088dd4449eeb"/>
    <w:p>
      <w:pPr>
        <w:pStyle w:val="Heading3"/>
      </w:pPr>
      <w:r>
        <w:t xml:space="preserve">2.9 Pairs below the detection floor still get an answer:</w:t>
      </w:r>
      <w:r>
        <w:t xml:space="preserve"> </w:t>
      </w:r>
      <w:r>
        <w:rPr>
          <w:rStyle w:val="VerbatimChar"/>
        </w:rPr>
        <w:t xml:space="preserve">ani_upper95</w:t>
      </w:r>
    </w:p>
    <w:p>
      <w:pPr>
        <w:pStyle w:val="FirstParagraph"/>
      </w:pPr>
      <w:r>
        <w:t xml:space="preserve">At ~83% ANI and below, shared Type IIB sites become too sparse to chain (a hard ceiling: recognition-site survival bounds tag retention at ~a^s, i.e. ~0.72 at 95% ANI and ~0.50 at 90%), and Syn2bANI declines to emit a point estimate. But</w:t>
      </w:r>
      <w:r>
        <w:t xml:space="preserve"> </w:t>
      </w:r>
      <w:r>
        <w:t xml:space="preserve">“no estimate”</w:t>
      </w:r>
      <w:r>
        <w:t xml:space="preserve"> </w:t>
      </w:r>
      <w:r>
        <w:t xml:space="preserve">is itself dereplication-actionable information if it is quantified: every</w:t>
      </w:r>
      <w:r>
        <w:t xml:space="preserve"> </w:t>
      </w:r>
      <w:r>
        <w:rPr>
          <w:rStyle w:val="VerbatimChar"/>
        </w:rPr>
        <w:t xml:space="preserve">BELOW_DETECTION</w:t>
      </w:r>
      <w:r>
        <w:t xml:space="preserve"> </w:t>
      </w:r>
      <w:r>
        <w:t xml:space="preserve">pair therefore carries</w:t>
      </w:r>
      <w:r>
        <w:t xml:space="preserve"> </w:t>
      </w:r>
      <w:r>
        <w:rPr>
          <w:b/>
          <w:bCs/>
        </w:rPr>
        <w:t xml:space="preserve">ani_upper95</w:t>
      </w:r>
      <w:r>
        <w:t xml:space="preserve">, a one-sided 95% upper confidence bound on ANI — a Clopper–Pearson upper limit [17] on the found-tag fraction, inverted through the homogeneous retention curve (the conservative direction, since gamma mixing would only tighten it). Against ANIm truth on the 105 below-detection pairs of the GTDB benchmark, the bound covers the truth for</w:t>
      </w:r>
      <w:r>
        <w:t xml:space="preserve"> </w:t>
      </w:r>
      <w:r>
        <w:rPr>
          <w:b/>
          <w:bCs/>
        </w:rPr>
        <w:t xml:space="preserve">83 of 84</w:t>
      </w:r>
      <w:r>
        <w:t xml:space="preserve"> </w:t>
      </w:r>
      <w:r>
        <w:t xml:space="preserve">chained pairs (98.8%, nominal 95%; bounds span 84.4–90.9, median 87.4). For the 21 pairs with no chains at all the whole-genome denominator conflates shared fraction with identity, so the value is heuristic rather than calibrated — but it lands below the 95% species threshold on all 21 (maximum bound 83.7 against maximum truth 92.2), so the actionable reading</w:t>
      </w:r>
      <w:r>
        <w:t xml:space="preserve"> </w:t>
      </w:r>
      <w:r>
        <w:t xml:space="preserve">“definitely not the same species”</w:t>
      </w:r>
      <w:r>
        <w:t xml:space="preserve"> </w:t>
      </w:r>
      <w:r>
        <w:t xml:space="preserve">survives for all 105. skani and FastANI report nothing at all for these pairs.</w:t>
      </w:r>
    </w:p>
    <w:bookmarkEnd w:id="20"/>
    <w:bookmarkStart w:id="21" w:name="Xeb088dc8229eebc5edda68352f2fd4568b62e1c"/>
    <w:p>
      <w:pPr>
        <w:pStyle w:val="Heading3"/>
      </w:pPr>
      <w:r>
        <w:t xml:space="preserve">2.10 Accuracy on binned metagenomes (MAGs) (Fig. 10)</w:t>
      </w:r>
    </w:p>
    <w:p>
      <w:pPr>
        <w:pStyle w:val="FirstParagraph"/>
      </w:pPr>
      <w:r>
        <w:t xml:space="preserve">All validation above uses isolate genomes; the realistic input for a dereplication tool is a binned, fragmented, possibly contaminated MAG. We therefore assembled and binned 35 CAMI2 short-read samples (25 strain-madness, 10 marine) with MEGAHIT and MetaBAT2, quality-scored the 695 bins ≥ 100 kbp with CheckM2, assigned contigs to their source genomes using the CAMI2 ground truth, and paired each bin with its dominant source genome (</w:t>
      </w:r>
      <w:r>
        <w:t xml:space="preserve">“anchor”</w:t>
      </w:r>
      <w:r>
        <w:t xml:space="preserve">; Methods 4.10). Truth is dnadiff ANIm on the bin against the anchor reference — a hard test, because the MAG, not a clean isolate, is the query.</w:t>
      </w:r>
    </w:p>
    <w:p>
      <w:pPr>
        <w:pStyle w:val="BodyText"/>
      </w:pPr>
      <w:r>
        <w:t xml:space="preserve">Overall MAE against ANIm is</w:t>
      </w:r>
      <w:r>
        <w:t xml:space="preserve"> </w:t>
      </w:r>
      <w:r>
        <w:rPr>
          <w:b/>
          <w:bCs/>
        </w:rPr>
        <w:t xml:space="preserve">0.163</w:t>
      </w:r>
      <w:r>
        <w:t xml:space="preserve"> </w:t>
      </w:r>
      <w:r>
        <w:t xml:space="preserve">for Syn2bANI (median |error| 0.092; 94.2% of bins within 0.5 points), versus 0.092 for skani and 0.203 for FastANI (which additionally returns no estimate at all for 62 low-alignment pairs) (Fig. 10a,b). The error is structured, not noisy. By CheckM2 tier, Syn2bANI’s MAE is</w:t>
      </w:r>
      <w:r>
        <w:t xml:space="preserve"> </w:t>
      </w:r>
      <w:r>
        <w:rPr>
          <w:b/>
          <w:bCs/>
        </w:rPr>
        <w:t xml:space="preserve">0.041 on high-quality bins</w:t>
      </w:r>
      <w:r>
        <w:t xml:space="preserve"> </w:t>
      </w:r>
      <w:r>
        <w:t xml:space="preserve">(n = 200; 92.5% within 0.1, 100% within 0.5), 0.105 on medium-quality, and 0.291 on low-quality bins, and |error| tracks contig N50 at Spearman ρ = −0.68 (Fig. 10c) — the fragmentation mechanism of Results 2.3, now on real assemblies. By contamination class, Syn2bANI is the most robust tool on cross-species bins (MAE 0.326 vs skani 0.196 and FastANI 0.656, the latter underestimating by −0.60 on average), while skani is more accurate on clean (0.030 vs 0.084) and strain-mixed bins (0.111 vs 0.170). The estimates here are the raw gated output, and deliberately so: applying the deployed GTDB-trained v5 calibration to these MAGs degrades accuracy sharply (MAE 1.26, bias −1.24), because the correction the model learned on complete genomes (+2.02 raw bias there vs +0.16 on MAGs) overshoots in this regime — the calibration is input-regime-specific, which is precisely why calibrated output is a separate labelled column rather than a silent replacement. Two diagnostics transfer cleanly to real MAGs: the upper95 bound covers the ANIm truth for</w:t>
      </w:r>
      <w:r>
        <w:t xml:space="preserve"> </w:t>
      </w:r>
      <w:r>
        <w:rPr>
          <w:b/>
          <w:bCs/>
        </w:rPr>
        <w:t xml:space="preserve">98.4%</w:t>
      </w:r>
      <w:r>
        <w:t xml:space="preserve"> </w:t>
      </w:r>
      <w:r>
        <w:t xml:space="preserve">of pairs (nominal 95%) with a median bound width of only 0.042 points, and the reliability flag correctly stays quiet on all 695 same-species pairs — it is designed for the low-ANI regime, so contamination-specific flagging remains an open gap we state plainly.</w:t>
      </w:r>
    </w:p>
    <w:p>
      <w:r>
        <w:pict>
          <v:rect style="width:0;height:1.5pt" o:hralign="center" o:hrstd="t" o:hr="t"/>
        </w:pict>
      </w:r>
    </w:p>
    <w:bookmarkEnd w:id="21"/>
    <w:bookmarkEnd w:id="22"/>
    <w:bookmarkStart w:id="23" w:name="discussion"/>
    <w:p>
      <w:pPr>
        <w:pStyle w:val="Heading2"/>
      </w:pPr>
      <w:r>
        <w:t xml:space="preserve">3. Discussion</w:t>
      </w:r>
    </w:p>
    <w:p>
      <w:pPr>
        <w:pStyle w:val="FirstParagraph"/>
      </w:pPr>
      <w:r>
        <w:rPr>
          <w:b/>
          <w:bCs/>
        </w:rPr>
        <w:t xml:space="preserve">Fixed anchors buy structure, not just speed.</w:t>
      </w:r>
      <w:r>
        <w:t xml:space="preserve"> </w:t>
      </w:r>
      <w:r>
        <w:t xml:space="preserve">The central architectural choice of Syn2bANI is to anchor comparisons on Type IIB restriction-site tags rather than random k-mers. Because a Type IIB tag contains its own recognition site, tag outcome is a function of per-base divergence with a tractable likelihood, and because tags carry fixed coordinates, chaining them yields synteny and structural variants in the same pass as ANI. The consequence is a qualitative broadening of what an ANI tool returns: a point estimate with a standard error, an aligned fraction decoupled from it, a synteny score, SV calls at ~kilobase resolution, a per-pair reliability flag, and a calibrated upper bound when no estimate is responsible. On the benchmarks where ground truth is exact, this estimator is 5–10× more accurate than the k-mer tools; on the ANIm-anchored GTDB benchmark, the calibrated estimator edges past skani on MAE with near-zero bias. We regard the structural output as the larger long-term contribution: it converts ANI from a screening scalar into a lightweight whole-genome comparison.</w:t>
      </w:r>
    </w:p>
    <w:p>
      <w:pPr>
        <w:pStyle w:val="BodyText"/>
      </w:pPr>
      <w:r>
        <w:rPr>
          <w:b/>
          <w:bCs/>
        </w:rPr>
        <w:t xml:space="preserve">The failure of the simulation paradigm is part of the result.</w:t>
      </w:r>
      <w:r>
        <w:t xml:space="preserve"> </w:t>
      </w:r>
      <w:r>
        <w:t xml:space="preserve">Our initial fragmentation claim — robustness down to N50 500 bp — was produced by simulations and was wrong. Simulated cuts preserve every base at random boundaries; real assemblies lose sequence at repeats and have coverage-shaped contig-length distributions, and that difference was load-bearing: unchainable contigs selected for conserved sequence and inflated the estimate. The mechanism (miss-count selection on unchainable contigs) was identified only on a real ladder, fixed by the short-contig rescue pass, and the fix was validated on real drafts rather than on the paradigm that missed the problem. The same pattern recurred elsewhere: a strand-asymmetric packing bug invisible to same-orientation simulation, and the rate-heterogeneity bias invisible to uniform-rate simulation. The methodological lesson generalizes beyond this tool: simulation with exact truth is unmatched for verifying that an estimator computes what it claims, but validation of</w:t>
      </w:r>
      <w:r>
        <w:t xml:space="preserve"> </w:t>
      </w:r>
      <w:r>
        <w:rPr>
          <w:i/>
          <w:iCs/>
        </w:rPr>
        <w:t xml:space="preserve">robustness</w:t>
      </w:r>
      <w:r>
        <w:t xml:space="preserve"> </w:t>
      </w:r>
      <w:r>
        <w:t xml:space="preserve">claims requires real assemblies, reverse-complement controls, and alignment-based truth.</w:t>
      </w:r>
    </w:p>
    <w:p>
      <w:pPr>
        <w:pStyle w:val="BodyText"/>
      </w:pPr>
      <w:r>
        <w:rPr>
          <w:b/>
          <w:bCs/>
        </w:rPr>
        <w:t xml:space="preserve">Why calibration, and why it is acceptable here.</w:t>
      </w:r>
      <w:r>
        <w:t xml:space="preserve"> </w:t>
      </w:r>
      <w:r>
        <w:t xml:space="preserve">A pure likelihood route out of the real-data bias was explored to a rigorous negative result: the dominant error term lives in the unchained genome fraction, whose divergence is not identifiable from tag statistics at the current tag density. What remains is a statistical correction, and the ridge calibration is deliberately kept transparent — nine internal features, linear, band-holdout cross-validation so no ANI regime is predicted from itself, training data and scripts released. The calibration removes a bias that is systematic and predictable (r = 0.963), but it is a dependence on GTDB-ANIm training data that a purely mechanistic estimator would not have, and we label calibrated output as a separate column rather than silently replacing the raw estimate. Users working on clean simulated data or well outside GTDB’s taxonomic spread should read the raw (gated) column; the calibrated model slightly underestimates on uniform-rate simulations because the real-data association it encodes is absent there.</w:t>
      </w:r>
    </w:p>
    <w:p>
      <w:pPr>
        <w:pStyle w:val="BodyText"/>
      </w:pPr>
      <w:r>
        <w:rPr>
          <w:b/>
          <w:bCs/>
        </w:rPr>
        <w:t xml:space="preserve">Limitations.</w:t>
      </w:r>
      <w:r>
        <w:t xml:space="preserve"> </w:t>
      </w:r>
      <w:r>
        <w:t xml:space="preserve">Several boundaries deserve emphasis. (i)</w:t>
      </w:r>
      <w:r>
        <w:t xml:space="preserve"> </w:t>
      </w:r>
      <w:r>
        <w:rPr>
          <w:i/>
          <w:iCs/>
        </w:rPr>
        <w:t xml:space="preserve">Detection floor.</w:t>
      </w:r>
      <w:r>
        <w:t xml:space="preserve"> </w:t>
      </w:r>
      <w:r>
        <w:t xml:space="preserve">Below ~83% ANI, shared sites are too sparse to chain; Syn2bANI reports an upper bound, not a point estimate, and users needing genus-level comparison should use Mash [15], skani, or FastANI. (ii)</w:t>
      </w:r>
      <w:r>
        <w:t xml:space="preserve"> </w:t>
      </w:r>
      <w:r>
        <w:rPr>
          <w:i/>
          <w:iCs/>
        </w:rPr>
        <w:t xml:space="preserve">Speed at scale.</w:t>
      </w:r>
      <w:r>
        <w:t xml:space="preserve"> </w:t>
      </w:r>
      <w:r>
        <w:t xml:space="preserve">skani remains ~50× faster on all-vs-all triangle workloads; Syn2bANI’s per-pair MLE is the cost of its diagnostics, and we do not recommend it as a drop-in replacement where throughput is the only criterion. (iii)</w:t>
      </w:r>
      <w:r>
        <w:t xml:space="preserve"> </w:t>
      </w:r>
      <w:r>
        <w:rPr>
          <w:i/>
          <w:iCs/>
        </w:rPr>
        <w:t xml:space="preserve">Correlation.</w:t>
      </w:r>
      <w:r>
        <w:t xml:space="preserve"> </w:t>
      </w:r>
      <w:r>
        <w:t xml:space="preserve">On the GTDB-ANIm benchmark skani correlates with truth slightly better (r 0.969 vs 0.963); Syn2bANI’s MAE advantage is calibration-driven. (iv)</w:t>
      </w:r>
      <w:r>
        <w:t xml:space="preserve"> </w:t>
      </w:r>
      <w:r>
        <w:rPr>
          <w:i/>
          <w:iCs/>
        </w:rPr>
        <w:t xml:space="preserve">Truth noise floor.</w:t>
      </w:r>
      <w:r>
        <w:t xml:space="preserve"> </w:t>
      </w:r>
      <w:r>
        <w:t xml:space="preserve">ANIm covers only 46–72% of genome length at divergent bands, so part of every tool’s residual error there is error in the truth. (v)</w:t>
      </w:r>
      <w:r>
        <w:t xml:space="preserve"> </w:t>
      </w:r>
      <w:r>
        <w:rPr>
          <w:i/>
          <w:iCs/>
        </w:rPr>
        <w:t xml:space="preserve">Mosaic residual bias.</w:t>
      </w:r>
      <w:r>
        <w:t xml:space="preserve"> </w:t>
      </w:r>
      <w:r>
        <w:t xml:space="preserve">On misspecified rate heterogeneity (bimodal blocks), biases up to several points survive per-pair detection — the consistency flag does not fire because the bias is systematic, and this regime is bounded by calibration rather than eliminated. (vi)</w:t>
      </w:r>
      <w:r>
        <w:t xml:space="preserve"> </w:t>
      </w:r>
      <w:r>
        <w:rPr>
          <w:i/>
          <w:iCs/>
        </w:rPr>
        <w:t xml:space="preserve">Flag sensitivity trade-off.</w:t>
      </w:r>
      <w:r>
        <w:t xml:space="preserve"> </w:t>
      </w:r>
      <w:r>
        <w:t xml:space="preserve">The recalibrated flag never inverts its ranking on any validation set, but it is less sensitive on near-clonal pairs than the superseded significance-based flag was (oral/gut kept-set MAE 0.514 vs 0.293) — the old mechanism could not be kept because no threshold of it transfers to GTDB without inverting. (vii)</w:t>
      </w:r>
      <w:r>
        <w:t xml:space="preserve"> </w:t>
      </w:r>
      <w:r>
        <w:rPr>
          <w:i/>
          <w:iCs/>
        </w:rPr>
        <w:t xml:space="preserve">Simulation base.</w:t>
      </w:r>
      <w:r>
        <w:t xml:space="preserve"> </w:t>
      </w:r>
      <w:r>
        <w:t xml:space="preserve">All exact-truth families except the GC sweep evolve a single</w:t>
      </w:r>
      <w:r>
        <w:t xml:space="preserve"> </w:t>
      </w:r>
      <w:r>
        <w:rPr>
          <w:i/>
          <w:iCs/>
        </w:rPr>
        <w:t xml:space="preserve">E. coli</w:t>
      </w:r>
      <w:r>
        <w:t xml:space="preserve"> </w:t>
      </w:r>
      <w:r>
        <w:t xml:space="preserve">reference, and accessory blocks are shuffles rather than real gene structure; conversely the MAG benchmark (Results 2.10), which does contain real binning error and cross-species contamination, inherits CAMI2’s strain-madness/marine composition rather than spanning environments.</w:t>
      </w:r>
    </w:p>
    <w:p>
      <w:pPr>
        <w:pStyle w:val="BodyText"/>
      </w:pPr>
      <w:r>
        <w:rPr>
          <w:b/>
          <w:bCs/>
        </w:rPr>
        <w:t xml:space="preserve">Future directions.</w:t>
      </w:r>
      <w:r>
        <w:t xml:space="preserve"> </w:t>
      </w:r>
      <w:r>
        <w:t xml:space="preserve">Three are concrete. First, experimental verification: the estimator uses tags only and never needs raw contig sequence, so it applies in principle to real 2bRAD-M sequencing data [8] directly, and predicted tags can be checked against observed 2bRAD-M libraries — a feedback loop between in-silico prediction and experiment unique among ANI tools. Second, the IUPAC-aware site geometry now in the likelihood (Methods 4.1) unblocks wider enzyme panels including degenerate-site enzymes; deeper tag retention would make the divergent tail directly observable in-chain and justify revisiting the nonparametric in-chain fit that is currently not worth its cost. Third, modeling site turnover — a creation term alongside the existing destruction term — would address the per-enzyme systematic biases of Fig. 4a at their root.</w:t>
      </w:r>
    </w:p>
    <w:p>
      <w:r>
        <w:pict>
          <v:rect style="width:0;height:1.5pt" o:hralign="center" o:hrstd="t" o:hr="t"/>
        </w:pict>
      </w:r>
    </w:p>
    <w:bookmarkEnd w:id="23"/>
    <w:bookmarkStart w:id="35" w:name="methods"/>
    <w:p>
      <w:pPr>
        <w:pStyle w:val="Heading2"/>
      </w:pPr>
      <w:r>
        <w:t xml:space="preserve">4. Methods</w:t>
      </w:r>
    </w:p>
    <w:bookmarkStart w:id="24" w:name="X585a6a8b67378bd6645996598d95979c15b1236"/>
    <w:p>
      <w:pPr>
        <w:pStyle w:val="Heading3"/>
      </w:pPr>
      <w:r>
        <w:t xml:space="preserve">4.1 In-silico digestion and IUPAC-aware tag geometry</w:t>
      </w:r>
    </w:p>
    <w:p>
      <w:pPr>
        <w:pStyle w:val="FirstParagraph"/>
      </w:pPr>
      <w:r>
        <w:t xml:space="preserve">Each genome is digested in silico with every enzyme in the panel (default BcgI, AlfI, AloI, FalI; all 16 Type IIB enzymes of the 2bRAD-M panel are supported [8,19]). Recognition patterns are decomposed into fixed anchor bases and IUPAC degenerate positions; matching uses precomputed 4-bit base masks so each degenerate check is one load and one bitwise AND. The digestion enforces the</w:t>
      </w:r>
      <w:r>
        <w:t xml:space="preserve"> </w:t>
      </w:r>
      <w:r>
        <w:rPr>
          <w:i/>
          <w:iCs/>
        </w:rPr>
        <w:t xml:space="preserve">complete</w:t>
      </w:r>
      <w:r>
        <w:t xml:space="preserve"> </w:t>
      </w:r>
      <w:r>
        <w:t xml:space="preserve">biological site on both strands — during validation we found that the patterns for HaeIV, Hin4I, and BaeI had silently dropped the trailing fixed anchor bases of the degenerate-containing right anchor (~16× excess tag density for HaeIV), and this was fixed alongside the likelihood geometry. Tags longer than 32 bp (CspCI, 33 bp) exceed the 2-bit packing width and are refused with a warning rather than silently mismatched — a policy instituted after a truncation asymmetry was found to destroy 91% of reverse-strand anchors for such enzymes.</w:t>
      </w:r>
    </w:p>
    <w:p>
      <w:pPr>
        <w:pStyle w:val="BodyText"/>
      </w:pPr>
      <w:r>
        <w:t xml:space="preserve">For the likelihood, each enzyme carries a site geometry</w:t>
      </w:r>
      <w:r>
        <w:t xml:space="preserve"> </w:t>
      </w:r>
      <w:r>
        <w:rPr>
          <w:rStyle w:val="VerbatimChar"/>
        </w:rPr>
        <w:t xml:space="preserve">{tag_len, exact_site, d2, d3}</w:t>
      </w:r>
      <w:r>
        <w:t xml:space="preserve"> </w:t>
      </w:r>
      <w:r>
        <w:t xml:space="preserve">parsed from its IUPAC anchor string:</w:t>
      </w:r>
      <w:r>
        <w:t xml:space="preserve"> </w:t>
      </w:r>
      <w:r>
        <w:rPr>
          <w:rStyle w:val="VerbatimChar"/>
        </w:rPr>
        <w:t xml:space="preserve">exact_site</w:t>
      </w:r>
      <w:r>
        <w:t xml:space="preserve"> </w:t>
      </w:r>
      <w:r>
        <w:t xml:space="preserve">fully specified positions (a mutation deletes the tag),</w:t>
      </w:r>
      <w:r>
        <w:t xml:space="preserve"> </w:t>
      </w:r>
      <w:r>
        <w:rPr>
          <w:rStyle w:val="VerbatimChar"/>
        </w:rPr>
        <w:t xml:space="preserve">d2</w:t>
      </w:r>
      <w:r>
        <w:t xml:space="preserve"> </w:t>
      </w:r>
      <w:r>
        <w:t xml:space="preserve">two-of-four degenerate positions (survive a mutation with probability a + (1−a)/3),</w:t>
      </w:r>
      <w:r>
        <w:t xml:space="preserve"> </w:t>
      </w:r>
      <w:r>
        <w:rPr>
          <w:rStyle w:val="VerbatimChar"/>
        </w:rPr>
        <w:t xml:space="preserve">d3</w:t>
      </w:r>
      <w:r>
        <w:t xml:space="preserve"> </w:t>
      </w:r>
      <w:r>
        <w:t xml:space="preserve">three-of-four positions. The homogeneous likelihood uses the exact convolution over degenerate classes; the heterogeneous likelihood uses a negative binomial with effective body b + d2/3 + 2·d3/3 plus a closed-form survival factor. With the fully specific default panel (d2 = d3 = 0) both paths are bit-identical to the pre-fix code. Tags are stored strand-canonically (the lexicographically smaller of a tag and its reverse complement), so contig orientation is immaterial; reverse-complement self-controls on real drafts return 99.9999.</w:t>
      </w:r>
    </w:p>
    <w:bookmarkEnd w:id="24"/>
    <w:bookmarkStart w:id="25" w:name="Xd100f60785764278c40c45b7debf06888935c47"/>
    <w:p>
      <w:pPr>
        <w:pStyle w:val="Heading3"/>
      </w:pPr>
      <w:r>
        <w:t xml:space="preserve">4.2 Anchoring, chaining, and the adaptive chain-break test</w:t>
      </w:r>
    </w:p>
    <w:p>
      <w:pPr>
        <w:pStyle w:val="FirstParagraph"/>
      </w:pPr>
      <w:r>
        <w:t xml:space="preserve">Reference tags are indexed by packed sequence; sequences occurring more than</w:t>
      </w:r>
      <w:r>
        <w:t xml:space="preserve"> </w:t>
      </w:r>
      <w:r>
        <w:rPr>
          <w:rStyle w:val="VerbatimChar"/>
        </w:rPr>
        <w:t xml:space="preserve">max_occurrence</w:t>
      </w:r>
      <w:r>
        <w:t xml:space="preserve"> </w:t>
      </w:r>
      <w:r>
        <w:t xml:space="preserve">(default 5) times in either genome are dropped as repeats/paralogs. Tolerant seeding (mismatch budget</w:t>
      </w:r>
      <w:r>
        <w:t xml:space="preserve"> </w:t>
      </w:r>
      <w:r>
        <w:rPr>
          <w:rStyle w:val="VerbatimChar"/>
        </w:rPr>
        <w:t xml:space="preserve">tol</w:t>
      </w:r>
      <w:r>
        <w:t xml:space="preserve"> </w:t>
      </w:r>
      <w:r>
        <w:t xml:space="preserve">= 2 by default) uses the pigeonhole principle: each tag is split into</w:t>
      </w:r>
      <w:r>
        <w:t xml:space="preserve"> </w:t>
      </w:r>
      <w:r>
        <w:rPr>
          <w:rStyle w:val="VerbatimChar"/>
        </w:rPr>
        <w:t xml:space="preserve">tol + 1</w:t>
      </w:r>
      <w:r>
        <w:t xml:space="preserve"> </w:t>
      </w:r>
      <w:r>
        <w:t xml:space="preserve">parts and any pair within</w:t>
      </w:r>
      <w:r>
        <w:t xml:space="preserve"> </w:t>
      </w:r>
      <w:r>
        <w:rPr>
          <w:rStyle w:val="VerbatimChar"/>
        </w:rPr>
        <w:t xml:space="preserve">tol</w:t>
      </w:r>
      <w:r>
        <w:t xml:space="preserve"> </w:t>
      </w:r>
      <w:r>
        <w:t xml:space="preserve">mismatches shares at least one part exactly, so seed recovery needs no whole-genome scan. The 2-mismatch budget is what keeps the method alive below ~93% ANI — at 90% ANI a 32 bp tag matches exactly only 3.4% of the time.</w:t>
      </w:r>
    </w:p>
    <w:p>
      <w:pPr>
        <w:pStyle w:val="BodyText"/>
      </w:pPr>
      <w:r>
        <w:t xml:space="preserve">Anchors are grouped by (query contig, reference contig, orientation) — never across contigs, since an inter-contig</w:t>
      </w:r>
      <w:r>
        <w:t xml:space="preserve"> </w:t>
      </w:r>
      <w:r>
        <w:t xml:space="preserve">“gap”</w:t>
      </w:r>
      <w:r>
        <w:t xml:space="preserve"> </w:t>
      </w:r>
      <w:r>
        <w:t xml:space="preserve">joins unlinked sequences — and chained by gap-penalized collinear DP with a bounded predecessor window. The chain-break test counts</w:t>
      </w:r>
      <w:r>
        <w:t xml:space="preserve"> </w:t>
      </w:r>
      <w:r>
        <w:rPr>
          <w:i/>
          <w:iCs/>
        </w:rPr>
        <w:t xml:space="preserve">skipped query tag positions</w:t>
      </w:r>
      <w:r>
        <w:t xml:space="preserve">, not base pairs, because a fixed bp threshold provably cannot work across the ANI range: at 95% ANI a tag anchors with probability ~0.79 (nine consecutive failures are already implausible, ~6 kb), while at 85% the probability is ~0.12 (a hundred consecutive failures are ordinary, ~78 kb). Measured on exact-truth sweeps, a permissive 50 kb bp-limit lets chains bridge accessory blocks (ANI biased down 0.74 points, AF inflated), while a strict 10 kb limit fragments chains and drops poorly anchored regions (ANI biased up to +3.07 at 85% ANI). Counting skipped tag positions is scale-free and separates the two events a bp limit conflates: a deletion removes reference tags while surviving query tags stay adjacent (zero skipped positions, no break), whereas a length-preserving non-homologous replacement skips every query position inside it (break). The threshold is j* = ln(α)/ln(1−p) with α = 1e−6, floored at 5 because repeat-masked tags and panel coverage gaps occupy tag positions without being anchors. Pass 1 chains permissively and fits a provisional divergence; pass 2 re-chains at j* and re-fits. Inside each chain, query→reference coordinates are interpolated from the chain’s own anchors and tolerant matching is attempted only within</w:t>
      </w:r>
      <w:r>
        <w:t xml:space="preserve"> </w:t>
      </w:r>
      <w:r>
        <w:rPr>
          <w:rStyle w:val="VerbatimChar"/>
        </w:rPr>
        <w:t xml:space="preserve">local_window</w:t>
      </w:r>
      <w:r>
        <w:t xml:space="preserve"> </w:t>
      </w:r>
      <w:r>
        <w:t xml:space="preserve">bp of the predicted position — seed-and-extend, which cannot invent matches between positionally unrelated tags. Chains are processed largest-first and each query tag is counted at most once.</w:t>
      </w:r>
    </w:p>
    <w:bookmarkEnd w:id="25"/>
    <w:bookmarkStart w:id="26" w:name="Xc84f212d8323a8f017575d3d7a92fc22fb23227"/>
    <w:p>
      <w:pPr>
        <w:pStyle w:val="Heading3"/>
      </w:pPr>
      <w:r>
        <w:t xml:space="preserve">4.3 Chain-restricted stratified MLE, gating, and flags</w:t>
      </w:r>
    </w:p>
    <w:p>
      <w:pPr>
        <w:pStyle w:val="FirstParagraph"/>
      </w:pPr>
      <w:r>
        <w:t xml:space="preserve">For a query tag inside a chained region, with tag length k, recognition-site length s, mutable body b = k − s, and mismatch budget tol, the outcome probabilities under per-base identity a are: found with m body mismatches, P_m(a) = C(b, m)·(1−a)</w:t>
      </w:r>
      <w:r>
        <w:rPr>
          <w:vertAlign w:val="superscript"/>
        </w:rPr>
        <w:t xml:space="preserve">m·a</w:t>
      </w:r>
      <w:r>
        <w:t xml:space="preserve">(k−m) for m ≤ tol; not found, P_miss(a) = 1 − Σ P_m(a). Mismatches are observable only in the body — a site mutation deletes the tag — so the site contributes a^s but never appears in the histogram; this also sets a hard retention ceiling (~0.72 at 95% ANI, ~0.50 at 90%). The log-likelihood is summed over per-enzyme strata (each with its own k and b) and maximized over the scalar a by golden-section search. Two partial estimators —</w:t>
      </w:r>
      <w:r>
        <w:t xml:space="preserve"> </w:t>
      </w:r>
      <w:r>
        <w:rPr>
          <w:rStyle w:val="VerbatimChar"/>
        </w:rPr>
        <w:t xml:space="preserve">ani_from_loss</w:t>
      </w:r>
      <w:r>
        <w:t xml:space="preserve"> </w:t>
      </w:r>
      <w:r>
        <w:t xml:space="preserve">(miss rate only) and</w:t>
      </w:r>
      <w:r>
        <w:t xml:space="preserve"> </w:t>
      </w:r>
      <w:r>
        <w:rPr>
          <w:rStyle w:val="VerbatimChar"/>
        </w:rPr>
        <w:t xml:space="preserve">ani_from_hist</w:t>
      </w:r>
      <w:r>
        <w:t xml:space="preserve"> </w:t>
      </w:r>
      <w:r>
        <w:t xml:space="preserve">(histogram only, renormalized by P(found)) — are independent estimates of the same quantity and power the diagnostics.</w:t>
      </w:r>
    </w:p>
    <w:p>
      <w:pPr>
        <w:pStyle w:val="BodyText"/>
      </w:pPr>
      <w:r>
        <w:t xml:space="preserve">The heterogeneous model gives each region a rate multiplier r ~ Gamma(α, α); because rate variation acts at kilobase scale while a tag is ~30 bp, all sites in a tag share one r, and integrating r out turns the mismatch count negative binomial with two parameters (mean divergence d, shape α) identifiable from the three histogram degrees of freedom plus the miss count. Guardrails: the second parameter is spent only when the likelihood-ratio statistic exceeds 3.841, and α is clamped to [0.1, 200]. Because the gamma shape and mean couple at the identifiability boundary when few tags survive (overshoots of 4–10 ANI points at mid-ANI), the shipped point estimate is</w:t>
      </w:r>
      <w:r>
        <w:t xml:space="preserve"> </w:t>
      </w:r>
      <w:r>
        <w:rPr>
          <w:b/>
          <w:bCs/>
        </w:rPr>
        <w:t xml:space="preserve">gated</w:t>
      </w:r>
      <w:r>
        <w:t xml:space="preserve">: report the homogeneous fit when |ani_from_loss − ani_from_hist| &gt; 5 ANI points, else the gamma fit. The threshold is an effect size, not a significance level — significance-scaled variants invert their error ranking on GTDB — and was chosen at the flat optimum (4.5–6 points) of a threshold sweep on the GTDB-ANIm matrix. It fires on 5.5% of GTDB pairs (MAE 2.819 vs 2.881 always-gamma; per-pair oracle bound 2.788), 12/15 mid-ANI pairs (4.482 → 0.959), and never on uniform-rate sims, mosaic sims, or oral/gut same-species pairs, preserving gamma’s advantage exactly where it is real. The</w:t>
      </w:r>
      <w:r>
        <w:t xml:space="preserve"> </w:t>
      </w:r>
      <w:r>
        <w:rPr>
          <w:rStyle w:val="VerbatimChar"/>
        </w:rPr>
        <w:t xml:space="preserve">flag</w:t>
      </w:r>
      <w:r>
        <w:t xml:space="preserve"> </w:t>
      </w:r>
      <w:r>
        <w:t xml:space="preserve">column reports</w:t>
      </w:r>
      <w:r>
        <w:t xml:space="preserve"> </w:t>
      </w:r>
      <w:r>
        <w:rPr>
          <w:rStyle w:val="VerbatimChar"/>
        </w:rPr>
        <w:t xml:space="preserve">BELOW_DETECTION</w:t>
      </w:r>
      <w:r>
        <w:t xml:space="preserve"> </w:t>
      </w:r>
      <w:r>
        <w:t xml:space="preserve">(expected retention &lt; 0.20; precedence),</w:t>
      </w:r>
      <w:r>
        <w:t xml:space="preserve"> </w:t>
      </w:r>
      <w:r>
        <w:rPr>
          <w:rStyle w:val="VerbatimChar"/>
        </w:rPr>
        <w:t xml:space="preserve">INCONSISTENT</w:t>
      </w:r>
      <w:r>
        <w:t xml:space="preserve"> </w:t>
      </w:r>
      <w:r>
        <w:t xml:space="preserve">(the gate fell back, or the chains carry &gt; 0.5 rearrangement breakpoints per anchor — a structural statistic that does not share the chain-restricted likelihood denominator), else</w:t>
      </w:r>
      <w:r>
        <w:t xml:space="preserve"> </w:t>
      </w:r>
      <w:r>
        <w:rPr>
          <w:rStyle w:val="VerbatimChar"/>
        </w:rPr>
        <w:t xml:space="preserve">ok</w:t>
      </w:r>
      <w:r>
        <w:t xml:space="preserve">. The recalibrated flag never inverts its error ranking on any validation set (kept vs flagged MAE: GTDB-ANIm 2.415 vs 4.153; oral/gut 0.514 vs 4.269; mid-ANI 0.343 vs 1.113), at a disclosed cost in near-clonal sensitivity.</w:t>
      </w:r>
    </w:p>
    <w:bookmarkEnd w:id="26"/>
    <w:bookmarkStart w:id="27" w:name="short-contig-rescue-pass"/>
    <w:p>
      <w:pPr>
        <w:pStyle w:val="Heading3"/>
      </w:pPr>
      <w:r>
        <w:t xml:space="preserve">4.4 Short-contig rescue pass</w:t>
      </w:r>
    </w:p>
    <w:p>
      <w:pPr>
        <w:pStyle w:val="FirstParagraph"/>
      </w:pPr>
      <w:r>
        <w:t xml:space="preserve">A query contig with &lt; 8 ×</w:t>
      </w:r>
      <w:r>
        <w:t xml:space="preserve"> </w:t>
      </w:r>
      <w:r>
        <w:rPr>
          <w:rStyle w:val="VerbatimChar"/>
        </w:rPr>
        <w:t xml:space="preserve">min_chain_anchors</w:t>
      </w:r>
      <w:r>
        <w:t xml:space="preserve"> </w:t>
      </w:r>
      <w:r>
        <w:t xml:space="preserve">in-panel tags (~25 kb with the default panel) and no accepted chain is folded into the likelihood without chaining if it carries a collinear group of ≥ 2 unique anchors (unique = occurring once in each genome; at least one anchor with ≤ 1 mismatch, since a solely-2-mismatch basis can be a paralog; ties break on total mismatch count). Counting replicates exactly what pass-2 chaining would count on the intact genome: tags between the outer basis anchors are counted (hits to the histogram, no match to the miss count), and a tail tag beyond an outer anchor is counted only while a bracketing anchor from any contig follows within (</w:t>
      </w:r>
      <w:r>
        <w:rPr>
          <w:rStyle w:val="VerbatimChar"/>
        </w:rPr>
        <w:t xml:space="preserve">max_skip</w:t>
      </w:r>
      <w:r>
        <w:t xml:space="preserve"> </w:t>
      </w:r>
      <w:r>
        <w:t xml:space="preserve">+ 1) × mean tag spacing along the reference. Rescued contigs contribute AF spans with the same half-median-gap extension rule as chains but create no chains, so synteny and SV outputs are untouched. The pass is gated on contig tag count, so complete and high-N50 assemblies take a bit-identical path. The residual +0.20 drift at N50 5 kb comes from contigs with 0–1 placeable anchors (~1.3 Mb on the Sakai ladder), which carry no positional evidence; rescuing them would require guessing homology.</w:t>
      </w:r>
    </w:p>
    <w:bookmarkEnd w:id="27"/>
    <w:bookmarkStart w:id="28" w:name="database-scale-screen"/>
    <w:p>
      <w:pPr>
        <w:pStyle w:val="Heading3"/>
      </w:pPr>
      <w:r>
        <w:t xml:space="preserve">4.5 Database-scale screen</w:t>
      </w:r>
    </w:p>
    <w:p>
      <w:pPr>
        <w:pStyle w:val="FirstParagraph"/>
      </w:pPr>
      <w:r>
        <w:t xml:space="preserve">Batch subcommands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triangle</w:t>
      </w:r>
      <w:r>
        <w:t xml:space="preserve">,</w:t>
      </w:r>
      <w:r>
        <w:t xml:space="preserve"> </w:t>
      </w:r>
      <w:r>
        <w:rPr>
          <w:rStyle w:val="VerbatimChar"/>
        </w:rPr>
        <w:t xml:space="preserve">db search</w:t>
      </w:r>
      <w:r>
        <w:t xml:space="preserve">) run a two-stage pipeline. Stage 1 reduces each tag to one strand-canonical key — its centered 18 bp packed window — per enzyme; a pair passes iff shared keys ≥ 3 AND shared/min(smaller key set) ≥ 0.001. At 18 bp, generic background homology (shared genes at 65–75% identity) no longer saturates key containment, and the gate was calibrated on GTDB-R207 to false-reject 0/500 validated ≥ 80% ANI pairs while rejecting ~83% of random pairs (measured false-reject rate on estimator-reportable pairs at n = 2,000: 1/844). In the FRR-critical 80–85% band the weakest validated true pair clears the floors by 10×/6×. Stage 2 refines survivors with the identical</w:t>
      </w:r>
      <w:r>
        <w:t xml:space="preserve"> </w:t>
      </w:r>
      <w:r>
        <w:rPr>
          <w:rStyle w:val="VerbatimChar"/>
        </w:rPr>
        <w:t xml:space="preserve">chain_ani</w:t>
      </w:r>
      <w:r>
        <w:t xml:space="preserve"> </w:t>
      </w:r>
      <w:r>
        <w:t xml:space="preserve">code path and row formatter as the pairwise</w:t>
      </w:r>
      <w:r>
        <w:t xml:space="preserve"> </w:t>
      </w:r>
      <w:r>
        <w:rPr>
          <w:rStyle w:val="VerbatimChar"/>
        </w:rPr>
        <w:t xml:space="preserve">ani</w:t>
      </w:r>
      <w:r>
        <w:t xml:space="preserve"> </w:t>
      </w:r>
      <w:r>
        <w:t xml:space="preserve">command, so database output is byte-identical to pairwise output on the same pairs. Screen thresholds are panel-specific and exposed as flags.</w:t>
      </w:r>
    </w:p>
    <w:bookmarkEnd w:id="28"/>
    <w:bookmarkStart w:id="29" w:name="ridge-calibration-protocol"/>
    <w:p>
      <w:pPr>
        <w:pStyle w:val="Heading3"/>
      </w:pPr>
      <w:r>
        <w:t xml:space="preserve">4.6 Ridge calibration protocol</w:t>
      </w:r>
    </w:p>
    <w:p>
      <w:pPr>
        <w:pStyle w:val="FirstParagraph"/>
      </w:pPr>
      <w:r>
        <w:t xml:space="preserve">The calibration model is ridge regression on nine Syn2bANI-internal features —</w:t>
      </w:r>
      <w:r>
        <w:t xml:space="preserve"> </w:t>
      </w:r>
      <w:r>
        <w:rPr>
          <w:rStyle w:val="VerbatimChar"/>
        </w:rPr>
        <w:t xml:space="preserve">ani_gated</w:t>
      </w:r>
      <w:r>
        <w:t xml:space="preserve">,</w:t>
      </w:r>
      <w:r>
        <w:t xml:space="preserve"> </w:t>
      </w:r>
      <w:r>
        <w:rPr>
          <w:rStyle w:val="VerbatimChar"/>
        </w:rPr>
        <w:t xml:space="preserve">ani_uniform</w:t>
      </w:r>
      <w:r>
        <w:t xml:space="preserve">,</w:t>
      </w:r>
      <w:r>
        <w:t xml:space="preserve"> </w:t>
      </w:r>
      <w:r>
        <w:rPr>
          <w:rStyle w:val="VerbatimChar"/>
        </w:rPr>
        <w:t xml:space="preserve">af_query</w:t>
      </w:r>
      <w:r>
        <w:t xml:space="preserve">,</w:t>
      </w:r>
      <w:r>
        <w:t xml:space="preserve"> </w:t>
      </w:r>
      <w:r>
        <w:rPr>
          <w:rStyle w:val="VerbatimChar"/>
        </w:rPr>
        <w:t xml:space="preserve">af_reference</w:t>
      </w:r>
      <w:r>
        <w:t xml:space="preserve">,</w:t>
      </w:r>
      <w:r>
        <w:t xml:space="preserve"> </w:t>
      </w:r>
      <w:r>
        <w:rPr>
          <w:rStyle w:val="VerbatimChar"/>
        </w:rPr>
        <w:t xml:space="preserve">std_err</w:t>
      </w:r>
      <w:r>
        <w:t xml:space="preserve">,</w:t>
      </w:r>
      <w:r>
        <w:t xml:space="preserve"> </w:t>
      </w:r>
      <w:r>
        <w:rPr>
          <w:rStyle w:val="VerbatimChar"/>
        </w:rPr>
        <w:t xml:space="preserve">retention</w:t>
      </w:r>
      <w:r>
        <w:t xml:space="preserve">,</w:t>
      </w:r>
      <w:r>
        <w:t xml:space="preserve"> </w:t>
      </w:r>
      <w:r>
        <w:rPr>
          <w:rStyle w:val="VerbatimChar"/>
        </w:rPr>
        <w:t xml:space="preserve">n_anchors</w:t>
      </w:r>
      <w:r>
        <w:t xml:space="preserve">,</w:t>
      </w:r>
      <w:r>
        <w:t xml:space="preserve"> </w:t>
      </w:r>
      <w:r>
        <w:rPr>
          <w:rStyle w:val="VerbatimChar"/>
        </w:rPr>
        <w:t xml:space="preserve">n_chains</w:t>
      </w:r>
      <w:r>
        <w:t xml:space="preserve">,</w:t>
      </w:r>
      <w:r>
        <w:t xml:space="preserve"> </w:t>
      </w:r>
      <w:r>
        <w:rPr>
          <w:rStyle w:val="VerbatimChar"/>
        </w:rPr>
        <w:t xml:space="preserve">n_tags_in_chains</w:t>
      </w:r>
      <w:r>
        <w:t xml:space="preserve"> </w:t>
      </w:r>
      <w:r>
        <w:t xml:space="preserve">— with median imputation and standardization, regularization α = 10 selected by inner cross-validation (scikit-learn [18]), trained on 2,520 ANIm-truth pairs (2,053 finite pairs from the stratified 2,074-pair GTDB benchmark plus 467 targeted 95.0–99.15% ANIm pairs from a skani screen of all 2.26 M same-genus GTDB-R207 pairs followed by dnadiff on 650 selected candidates; 607 species, 26 phyla, zero overlap with the existing set). Validation is</w:t>
      </w:r>
      <w:r>
        <w:t xml:space="preserve"> </w:t>
      </w:r>
      <w:r>
        <w:rPr>
          <w:b/>
          <w:bCs/>
        </w:rPr>
        <w:t xml:space="preserve">band-holdout</w:t>
      </w:r>
      <w:r>
        <w:t xml:space="preserve">: each of the four ANI bands (80–85, 85–90, 90–95, 95–99) is predicted by a model trained on the other three only. Training rows are shuffled with a fixed seed before CV (the inner KFold of the ridge CV is order-sensitive); seed spread over 5 seeds is ≤ 0.0015 MAE. An expanded 18-feature variant and a gradient-boosted model on the same features were evaluated and rejected (nonlinearity buys nothing at n ≈ 2,500, and the expanded set degrades out-of-distribution on near-clonal pairs). A learning-curve analysis (492/984/1,476/1,969 training pairs → CV MAE 0.952/0.902/0.887/0.893) shows the linear model plateaus at ~1,500 pairs. The model ships as a versioned JSON swapped into the binary; all feature matrices were re-run with the post-rescue binary before training, so there is no version skew between the shipped estimator and the deployed model. Calibrated output is a separate column (</w:t>
      </w:r>
      <w:r>
        <w:rPr>
          <w:rStyle w:val="VerbatimChar"/>
        </w:rPr>
        <w:t xml:space="preserve">--calibrate</w:t>
      </w:r>
      <w:r>
        <w:t xml:space="preserve">); it returns no value on</w:t>
      </w:r>
      <w:r>
        <w:t xml:space="preserve"> </w:t>
      </w:r>
      <w:r>
        <w:rPr>
          <w:rStyle w:val="VerbatimChar"/>
        </w:rPr>
        <w:t xml:space="preserve">BELOW_DETECTION</w:t>
      </w:r>
      <w:r>
        <w:t xml:space="preserve"> </w:t>
      </w:r>
      <w:r>
        <w:t xml:space="preserve">pairs rather than extrapolating.</w:t>
      </w:r>
    </w:p>
    <w:bookmarkEnd w:id="29"/>
    <w:bookmarkStart w:id="30" w:name="Xd3b37ce8f62a83dd9d52f682daa388ffbd3bd4e"/>
    <w:p>
      <w:pPr>
        <w:pStyle w:val="Heading3"/>
      </w:pPr>
      <w:r>
        <w:t xml:space="preserve">4.7 The spatial-model negative result (identifiability analysis)</w:t>
      </w:r>
    </w:p>
    <w:p>
      <w:pPr>
        <w:pStyle w:val="FirstParagraph"/>
      </w:pPr>
      <w:r>
        <w:t xml:space="preserve">The mechanistic alternative to calibration was evaluated in full (prototype in Python against 19 exact-truth mosaic simulations, then the GTDB-ANIm matrix). The bias decomposes into an in-chain distribution-family term — asymptotic in-chain MAE 2.25 for gamma, 1.25 for a capped grid NPMLE, so a nonparametric fit fixes at most ~0.1–0.2 GTDB MAE — and a coverage term: the divergence of the unchained fraction is not identifiable from tag data, since the out-of-chain anchor residual is ≈ 0 within multi-match noise whether the unchained mass is saturated-divergent or accessory, and an oracle given the exact identity of the chained sample still errs by MAE 1.36 against whole-genome truth. No candidate (AF-weighted mixtures, discrete mixtures, ascertainment-aware tilts, capped NPMLE with and without LRT gating, model averaging) beats the gated baseline while holding all simulation gates. The raw estimator is therefore at its identifiability floor at 4-enzyme tag density; this analysis is why calibration, not a new likelihood, is the deployed correction layer.</w:t>
      </w:r>
    </w:p>
    <w:bookmarkEnd w:id="30"/>
    <w:bookmarkStart w:id="31" w:name="structural-variant-calling"/>
    <w:p>
      <w:pPr>
        <w:pStyle w:val="Heading3"/>
      </w:pPr>
      <w:r>
        <w:t xml:space="preserve">4.8 Structural-variant calling</w:t>
      </w:r>
    </w:p>
    <w:p>
      <w:pPr>
        <w:pStyle w:val="FirstParagraph"/>
      </w:pPr>
      <w:r>
        <w:t xml:space="preserve">The</w:t>
      </w:r>
      <w:r>
        <w:t xml:space="preserve"> </w:t>
      </w:r>
      <w:r>
        <w:rPr>
          <w:rStyle w:val="VerbatimChar"/>
        </w:rPr>
        <w:t xml:space="preserve">struct</w:t>
      </w:r>
      <w:r>
        <w:t xml:space="preserve"> </w:t>
      </w:r>
      <w:r>
        <w:t xml:space="preserve">subcommand consumes the chains and anchors of a pairwise comparison. Inversions are orientation flips between consecutive chains; indels are coordinate gaps between consecutive chains exceeding</w:t>
      </w:r>
      <w:r>
        <w:t xml:space="preserve"> </w:t>
      </w:r>
      <w:r>
        <w:rPr>
          <w:rStyle w:val="VerbatimChar"/>
        </w:rPr>
        <w:t xml:space="preserve">indel_min</w:t>
      </w:r>
      <w:r>
        <w:t xml:space="preserve"> </w:t>
      </w:r>
      <w:r>
        <w:t xml:space="preserve">(default 1 kb), with a guard requiring that no third chain anchors inside the spanned reference interval (without it, a small relocated block sandwiched between collinear chains is misreported as a deletion sized by the reference jump — observed as spurious 42–961 kb calls before the guard); translocations are chains violating global reference order. Resolution is limited by tag spacing and by unphaseable repeats at junctions (observed endpoint offset ≤ 5.5 kb on the 779 kb W3110 inversion); events whose flanking chains have &lt; 4 anchors are not called, and equal-length homologous replacements that keep tags phased are invisible by design. Validation against dnadiff used span-based one-to-many matching because dnadiff fragments large accessory regions into many small events while Syn2bANI calls each junction once.</w:t>
      </w:r>
    </w:p>
    <w:bookmarkEnd w:id="31"/>
    <w:bookmarkStart w:id="32" w:name="simulation-framework-with-exact-truth"/>
    <w:p>
      <w:pPr>
        <w:pStyle w:val="Heading3"/>
      </w:pPr>
      <w:r>
        <w:t xml:space="preserve">4.9 Simulation framework with exact truth</w:t>
      </w:r>
    </w:p>
    <w:p>
      <w:pPr>
        <w:pStyle w:val="FirstParagraph"/>
      </w:pPr>
      <w:r>
        <w:t xml:space="preserve">All exact-truth simulators evolve sequence from a public reference (</w:t>
      </w:r>
      <w:r>
        <w:rPr>
          <w:i/>
          <w:iCs/>
        </w:rPr>
        <w:t xml:space="preserve">E. coli</w:t>
      </w:r>
      <w:r>
        <w:t xml:space="preserve"> </w:t>
      </w:r>
      <w:r>
        <w:t xml:space="preserve">K-12 MG1655, ENA U00096.3, 4,641,652 bp) by applying a counted number of substitutions, so true ANI = 1 − n_subs/L exactly. Families: an ANI ladder (12 levels, 85–99.9%, each with a 400 kb inversion, with and without ~46 deletions of 200–2,000 bp); an indel sweep (true ANI 95.000; 0–4 deletions/100 kb); fragmentation (20–201 contigs, no sequence lost, ~50% reverse-complemented, order shuffled); accessory confounds (core ANI 95.000; 0–50% of the genome replaced by composition-preserving shuffled blocks, plus a block-count control at fixed total fraction); mosaic/rate-heterogeneity cases (per-block rates ~ Gamma(α, α), α = 0.5/1/2, mean ANI 90–98, plus deliberately misspecified bimodal cases); and GC coverage (ladders on five real template genomes, GC 27.2–72.1%). Deletions do not change true ANI (counted substitutions over reference length), so the deleted fraction doubles as AF ground truth. Substitutions are uniform over the three alternative bases with no GC-biased mutation model, transition/transversion ratio, codon structure, or selection — a deliberate simplification justified by the finding that GC does not explain the real-data degradation and that site turnover emerges from uniform substitution on a real genome without any special mechanism. Enzyme digestion is never simulated; the released binary extracts tags itself.</w:t>
      </w:r>
    </w:p>
    <w:bookmarkEnd w:id="32"/>
    <w:bookmarkStart w:id="33" w:name="benchmark-datasets-truth-and-tools"/>
    <w:p>
      <w:pPr>
        <w:pStyle w:val="Heading3"/>
      </w:pPr>
      <w:r>
        <w:t xml:space="preserve">4.10 Benchmark datasets, truth, and tools</w:t>
      </w:r>
    </w:p>
    <w:p>
      <w:pPr>
        <w:pStyle w:val="FirstParagraph"/>
      </w:pPr>
      <w:r>
        <w:t xml:space="preserve">All datasets used in this study, their composition, ground truth, and the analyses they support are summarized in Table 3; the generation framework for the simulated families is Methods 4.9.</w:t>
      </w:r>
    </w:p>
    <w:p>
      <w:pPr>
        <w:pStyle w:val="BodyText"/>
      </w:pPr>
      <w:r>
        <w:rPr>
          <w:b/>
          <w:bCs/>
        </w:rPr>
        <w:t xml:space="preserve">Simulated datasets (exact truth by construction).</w:t>
      </w:r>
      <w:r>
        <w:t xml:space="preserve"> </w:t>
      </w:r>
      <w:r>
        <w:t xml:space="preserve">Seven families, all evolved from</w:t>
      </w:r>
      <w:r>
        <w:t xml:space="preserve"> </w:t>
      </w:r>
      <w:r>
        <w:rPr>
          <w:i/>
          <w:iCs/>
        </w:rPr>
        <w:t xml:space="preserve">E. coli</w:t>
      </w:r>
      <w:r>
        <w:t xml:space="preserve"> </w:t>
      </w:r>
      <w:r>
        <w:t xml:space="preserve">K-12 MG1655 except the GC ladders: (i) the</w:t>
      </w:r>
      <w:r>
        <w:t xml:space="preserve"> </w:t>
      </w:r>
      <w:r>
        <w:rPr>
          <w:b/>
          <w:bCs/>
        </w:rPr>
        <w:t xml:space="preserve">ANI ladder</w:t>
      </w:r>
      <w:r>
        <w:t xml:space="preserve"> </w:t>
      </w:r>
      <w:r>
        <w:t xml:space="preserve">— 12 levels, 85–99.9%, each genome carrying a 400 kb inversion, generated with and without ~46 deletions of 200–2,000 bp; (ii) the</w:t>
      </w:r>
      <w:r>
        <w:t xml:space="preserve"> </w:t>
      </w:r>
      <w:r>
        <w:rPr>
          <w:b/>
          <w:bCs/>
        </w:rPr>
        <w:t xml:space="preserve">indel sweep</w:t>
      </w:r>
      <w:r>
        <w:t xml:space="preserve"> </w:t>
      </w:r>
      <w:r>
        <w:t xml:space="preserve">— ANI 95.000, 0–4 deletions per 100 kb; (iii) the</w:t>
      </w:r>
      <w:r>
        <w:t xml:space="preserve"> </w:t>
      </w:r>
      <w:r>
        <w:rPr>
          <w:b/>
          <w:bCs/>
        </w:rPr>
        <w:t xml:space="preserve">fragmentation ladder</w:t>
      </w:r>
      <w:r>
        <w:t xml:space="preserve"> </w:t>
      </w:r>
      <w:r>
        <w:t xml:space="preserve">— 20–201 contigs, ~50% reverse-complemented, order shuffled, no sequence lost; (iv) the</w:t>
      </w:r>
      <w:r>
        <w:t xml:space="preserve"> </w:t>
      </w:r>
      <w:r>
        <w:rPr>
          <w:b/>
          <w:bCs/>
        </w:rPr>
        <w:t xml:space="preserve">accessory-fraction sweep</w:t>
      </w:r>
      <w:r>
        <w:t xml:space="preserve"> </w:t>
      </w:r>
      <w:r>
        <w:t xml:space="preserve">— core ANI 95.000 with 0–50% of the genome replaced by composition-preserving shuffled blocks, plus a block-count control at fixed total fraction; (v) the</w:t>
      </w:r>
      <w:r>
        <w:t xml:space="preserve"> </w:t>
      </w:r>
      <w:r>
        <w:rPr>
          <w:b/>
          <w:bCs/>
        </w:rPr>
        <w:t xml:space="preserve">mosaic/rate-heterogeneity family</w:t>
      </w:r>
      <w:r>
        <w:t xml:space="preserve"> </w:t>
      </w:r>
      <w:r>
        <w:t xml:space="preserve">— per-block rates ~ Gamma(α, α), α = 0.5/1/2, mean ANI 90–98, plus deliberately misspecified bimodal cases (19 used in the identifiability analysis of Methods 4.7); (vi) the</w:t>
      </w:r>
      <w:r>
        <w:t xml:space="preserve"> </w:t>
      </w:r>
      <w:r>
        <w:rPr>
          <w:b/>
          <w:bCs/>
        </w:rPr>
        <w:t xml:space="preserve">GC ladders</w:t>
      </w:r>
      <w:r>
        <w:t xml:space="preserve"> </w:t>
      </w:r>
      <w:r>
        <w:t xml:space="preserve">— substitution ladders on five real template genomes spanning GC 27.2–72.1%; and (vii) the</w:t>
      </w:r>
      <w:r>
        <w:t xml:space="preserve"> </w:t>
      </w:r>
      <w:r>
        <w:rPr>
          <w:b/>
          <w:bCs/>
        </w:rPr>
        <w:t xml:space="preserve">inversion ladder</w:t>
      </w:r>
      <w:r>
        <w:t xml:space="preserve"> </w:t>
      </w:r>
      <w:r>
        <w:t xml:space="preserve">for synteny validation — ANI 95.00/98.00 with 0–32 non-overlapping inversions of 100–400 kb (2 exact breakpoints each;</w:t>
      </w:r>
      <w:r>
        <w:t xml:space="preserve"> </w:t>
      </w:r>
      <w:r>
        <w:rPr>
          <w:rStyle w:val="VerbatimChar"/>
        </w:rPr>
        <w:t xml:space="preserve">scripts/synteny_bench/</w:t>
      </w:r>
      <w:r>
        <w:t xml:space="preserve">).</w:t>
      </w:r>
    </w:p>
    <w:p>
      <w:pPr>
        <w:pStyle w:val="BodyText"/>
      </w:pPr>
      <w:r>
        <w:rPr>
          <w:b/>
          <w:bCs/>
        </w:rPr>
        <w:t xml:space="preserve">Real-genome datasets. (1) GTDB-ANIm benchmark.</w:t>
      </w:r>
      <w:r>
        <w:t xml:space="preserve"> </w:t>
      </w:r>
      <w:r>
        <w:t xml:space="preserve">2,074 genome pairs from GTDB release R207 representatives [11,12], stratified across ANI bands and phyla (band sizes 475/837/690/72 for 80–85/85–90/90–95/95–99); truth is ANIm computed as dnadiff (MUMmer 3.23) 1-to-1.</w:t>
      </w:r>
      <w:r>
        <w:t xml:space="preserve"> </w:t>
      </w:r>
      <w:r>
        <w:rPr>
          <w:b/>
          <w:bCs/>
        </w:rPr>
        <w:t xml:space="preserve">(2) 95–99.5% ANIm expansion.</w:t>
      </w:r>
      <w:r>
        <w:t xml:space="preserve"> </w:t>
      </w:r>
      <w:r>
        <w:t xml:space="preserve">These 467 pairs (607 species, 26 phyla, no overlap with the benchmark set) were selected by screening all 2.26 M same-genus pairs with skani and running dnadiff on 650 candidates; together with the benchmark set they form the 2,520-pair calibration training matrix.</w:t>
      </w:r>
      <w:r>
        <w:t xml:space="preserve"> </w:t>
      </w:r>
      <w:r>
        <w:rPr>
          <w:b/>
          <w:bCs/>
        </w:rPr>
        <w:t xml:space="preserve">(3) GTDB scale set.</w:t>
      </w:r>
      <w:r>
        <w:t xml:space="preserve"> </w:t>
      </w:r>
      <w:r>
        <w:t xml:space="preserve">45,000 pairs sampled from GTDB-R207 metadata with stratification by taxonomic level (intra-species / intra-genus / intra-family / random;</w:t>
      </w:r>
      <w:r>
        <w:t xml:space="preserve"> </w:t>
      </w:r>
      <w:r>
        <w:rPr>
          <w:rStyle w:val="VerbatimChar"/>
        </w:rPr>
        <w:t xml:space="preserve">scripts/sample_gtdb_pairs.py</w:t>
      </w:r>
      <w:r>
        <w:t xml:space="preserve">, seed-fixed); used for the large-scale FastANI comparison, of which FastANI reports 672 pairs.</w:t>
      </w:r>
      <w:r>
        <w:t xml:space="preserve"> </w:t>
      </w:r>
      <w:r>
        <w:rPr>
          <w:b/>
          <w:bCs/>
        </w:rPr>
        <w:t xml:space="preserve">(4) Mid-ANI set.</w:t>
      </w:r>
      <w:r>
        <w:t xml:space="preserve"> </w:t>
      </w:r>
      <w:r>
        <w:t xml:space="preserve">15 pairs (</w:t>
      </w:r>
      <w:r>
        <w:rPr>
          <w:i/>
          <w:iCs/>
        </w:rPr>
        <w:t xml:space="preserve">B. longum × B. breve</w:t>
      </w:r>
      <w:r>
        <w:t xml:space="preserve">,</w:t>
      </w:r>
      <w:r>
        <w:t xml:space="preserve"> </w:t>
      </w:r>
      <w:r>
        <w:rPr>
          <w:i/>
          <w:iCs/>
        </w:rPr>
        <w:t xml:space="preserve">V. parvula × V. dispar</w:t>
      </w:r>
      <w:r>
        <w:t xml:space="preserve">), ANIm truth 87.6–90.2%; ANIm alignment coverage is only 46–72% of these genomes.</w:t>
      </w:r>
      <w:r>
        <w:t xml:space="preserve"> </w:t>
      </w:r>
      <w:r>
        <w:rPr>
          <w:b/>
          <w:bCs/>
        </w:rPr>
        <w:t xml:space="preserve">(5) Oral/gut set.</w:t>
      </w:r>
      <w:r>
        <w:t xml:space="preserve"> </w:t>
      </w:r>
      <w:r>
        <w:t xml:space="preserve">50 isolate genomes from 10 species — 5 oral (</w:t>
      </w:r>
      <w:r>
        <w:rPr>
          <w:i/>
          <w:iCs/>
        </w:rPr>
        <w:t xml:space="preserve">A. actinomycetemcomitans</w:t>
      </w:r>
      <w:r>
        <w:t xml:space="preserve">,</w:t>
      </w:r>
      <w:r>
        <w:t xml:space="preserve"> </w:t>
      </w:r>
      <w:r>
        <w:rPr>
          <w:i/>
          <w:iCs/>
        </w:rPr>
        <w:t xml:space="preserve">F. nucleatum</w:t>
      </w:r>
      <w:r>
        <w:t xml:space="preserve">,</w:t>
      </w:r>
      <w:r>
        <w:t xml:space="preserve"> </w:t>
      </w:r>
      <w:r>
        <w:rPr>
          <w:i/>
          <w:iCs/>
        </w:rPr>
        <w:t xml:space="preserve">P. gingivalis</w:t>
      </w:r>
      <w:r>
        <w:t xml:space="preserve">,</w:t>
      </w:r>
      <w:r>
        <w:t xml:space="preserve"> </w:t>
      </w:r>
      <w:r>
        <w:rPr>
          <w:i/>
          <w:iCs/>
        </w:rPr>
        <w:t xml:space="preserve">S. mutans</w:t>
      </w:r>
      <w:r>
        <w:t xml:space="preserve">,</w:t>
      </w:r>
      <w:r>
        <w:t xml:space="preserve"> </w:t>
      </w:r>
      <w:r>
        <w:rPr>
          <w:i/>
          <w:iCs/>
        </w:rPr>
        <w:t xml:space="preserve">S. sanguinis</w:t>
      </w:r>
      <w:r>
        <w:t xml:space="preserve">) and 5 gut (</w:t>
      </w:r>
      <w:r>
        <w:rPr>
          <w:i/>
          <w:iCs/>
        </w:rPr>
        <w:t xml:space="preserve">A. muciniphila</w:t>
      </w:r>
      <w:r>
        <w:t xml:space="preserve">,</w:t>
      </w:r>
      <w:r>
        <w:t xml:space="preserve"> </w:t>
      </w:r>
      <w:r>
        <w:rPr>
          <w:i/>
          <w:iCs/>
        </w:rPr>
        <w:t xml:space="preserve">B. fragilis</w:t>
      </w:r>
      <w:r>
        <w:t xml:space="preserve">,</w:t>
      </w:r>
      <w:r>
        <w:t xml:space="preserve"> </w:t>
      </w:r>
      <w:r>
        <w:rPr>
          <w:i/>
          <w:iCs/>
        </w:rPr>
        <w:t xml:space="preserve">B. longum</w:t>
      </w:r>
      <w:r>
        <w:t xml:space="preserve">,</w:t>
      </w:r>
      <w:r>
        <w:t xml:space="preserve"> </w:t>
      </w:r>
      <w:r>
        <w:rPr>
          <w:i/>
          <w:iCs/>
        </w:rPr>
        <w:t xml:space="preserve">F. prausnitzii</w:t>
      </w:r>
      <w:r>
        <w:t xml:space="preserve">,</w:t>
      </w:r>
      <w:r>
        <w:t xml:space="preserve"> </w:t>
      </w:r>
      <w:r>
        <w:rPr>
          <w:i/>
          <w:iCs/>
        </w:rPr>
        <w:t xml:space="preserve">R. intestinalis</w:t>
      </w:r>
      <w:r>
        <w:t xml:space="preserve">), 5 genomes per species — compared all-vs-all (1,225 pairs); the 100 same-species pairs serve as the external near-clonal benchmark against FastANI and skani, and 1,100 cross-species pairs probe the below-detection regime.</w:t>
      </w:r>
      <w:r>
        <w:t xml:space="preserve"> </w:t>
      </w:r>
      <w:r>
        <w:rPr>
          <w:b/>
          <w:bCs/>
        </w:rPr>
        <w:t xml:space="preserve">(6) Enterobacteriaceae completes.</w:t>
      </w:r>
      <w:r>
        <w:t xml:space="preserve"> </w:t>
      </w:r>
      <w:r>
        <w:t xml:space="preserve">13 chromosomes vs K-12 MG1655, spanning ANI ~81–99.99; three pairs (MG1655/W3110, MG1655/O157:H7 Sakai, Typhi CT18/Typhimurium LT2) double as the structural-variation validation set with dnadiff structural truth.</w:t>
      </w:r>
      <w:r>
        <w:t xml:space="preserve"> </w:t>
      </w:r>
      <w:r>
        <w:rPr>
          <w:b/>
          <w:bCs/>
        </w:rPr>
        <w:t xml:space="preserve">(7) Real drafts.</w:t>
      </w:r>
      <w:r>
        <w:t xml:space="preserve"> </w:t>
      </w:r>
      <w:r>
        <w:t xml:space="preserve">8</w:t>
      </w:r>
      <w:r>
        <w:t xml:space="preserve"> </w:t>
      </w:r>
      <w:r>
        <w:rPr>
          <w:i/>
          <w:iCs/>
        </w:rPr>
        <w:t xml:space="preserve">E. coli</w:t>
      </w:r>
      <w:r>
        <w:t xml:space="preserve"> </w:t>
      </w:r>
      <w:r>
        <w:t xml:space="preserve">assemblies from ENA (GCA_001283865, GCA_001077875, GCA_001284645, GCA_001283245, GCA_001283605, GCA_001284145, GCA_001283205, GCA_001075925; 88–8,025 contigs), including reverse-complement self-controls.</w:t>
      </w:r>
      <w:r>
        <w:t xml:space="preserve"> </w:t>
      </w:r>
      <w:r>
        <w:rPr>
          <w:b/>
          <w:bCs/>
        </w:rPr>
        <w:t xml:space="preserve">(8) CAMI2 MAG benchmark.</w:t>
      </w:r>
      <w:r>
        <w:t xml:space="preserve"> </w:t>
      </w:r>
      <w:r>
        <w:t xml:space="preserve">35 short-read samples (25 strain-madness, 10 marine) were assembled with MEGAHIT, binned with MetaBAT2, and quality-scored with CheckM2; 695 bins ≥ 100 kbp were retained (HQ 200 / MQ 210 / LQ 285). Contigs were assigned to CAMI2 source genomes by exact k-mer membership against the ground-truth genome set; each bin was classified clean (single source), strain-mixed (multiple strains, one species), or cross-species (≥ 2 species), and paired with the source genome contributing the most assigned bases (</w:t>
      </w:r>
      <w:r>
        <w:t xml:space="preserve">“anchor”</w:t>
      </w:r>
      <w:r>
        <w:t xml:space="preserve">). Each tool estimated ANI of the bin against the anchor reference; dnadiff (MUMmer 3.23) on the same pair provided ANIm truth, requiring FASTA inputs free of embedded whitespace (headers truncated at the first space, sequence whitespace stripped). Pipeline scripts, per-pair outputs, and the contamination audit are released (</w:t>
      </w:r>
      <w:r>
        <w:rPr>
          <w:rStyle w:val="VerbatimChar"/>
        </w:rPr>
        <w:t xml:space="preserve">results/mag_validation/</w:t>
      </w:r>
      <w:r>
        <w:t xml:space="preserve">).</w:t>
      </w:r>
      <w:r>
        <w:t xml:space="preserve"> </w:t>
      </w:r>
      <w:r>
        <w:rPr>
          <w:b/>
          <w:bCs/>
        </w:rPr>
        <w:t xml:space="preserve">(9) GTDB 50k held-out benchmark.</w:t>
      </w:r>
      <w:r>
        <w:t xml:space="preserve"> </w:t>
      </w:r>
      <w:r>
        <w:t xml:space="preserve">43,334 same-genus pairs sampled from the 628,617 non-self GTDB-R207 representative pairs that pass a skani pre-screen (AF ≥ 15%), stratified into bands 80–85 / 85–90 / 90–95 / 95–100% (12,172 / 16,000 / 14,758 / 404 pairs; 24,831 genomes, 74 phyla;</w:t>
      </w:r>
      <w:r>
        <w:t xml:space="preserve"> </w:t>
      </w:r>
      <w:r>
        <w:rPr>
          <w:rStyle w:val="VerbatimChar"/>
        </w:rPr>
        <w:t xml:space="preserve">scripts/gtdb50k/</w:t>
      </w:r>
      <w:r>
        <w:t xml:space="preserve">). Every genome appearing in the 2,520-pair calibration training matrix was excluded in both directions, making this a strictly held-out set for the gate, flag, and calibration; dnadiff/ANIm truth was computed for all 43,334 pairs on the HPC cluster.</w:t>
      </w:r>
      <w:r>
        <w:t xml:space="preserve"> </w:t>
      </w:r>
      <w:r>
        <w:rPr>
          <w:b/>
          <w:bCs/>
        </w:rPr>
        <w:t xml:space="preserve">Databases.</w:t>
      </w:r>
      <w:r>
        <w:t xml:space="preserve"> </w:t>
      </w:r>
      <w:r>
        <w:t xml:space="preserve">GTDB release R207 (bac120/ar53 metadata and representative genomes) [11,12] is the sampling frame for datasets (1)–(3) and (9) and the source of the nearest-representative references used in the MAG pipeline; CAMI2 (strain-madness and marine short-read campaigns, with source genomes and per-read ground truth) is the sampling frame for dataset (8).</w:t>
      </w:r>
      <w:r>
        <w:t xml:space="preserve"> </w:t>
      </w:r>
      <w:r>
        <w:rPr>
          <w:b/>
          <w:bCs/>
        </w:rPr>
        <w:t xml:space="preserve">Tools and versions.</w:t>
      </w:r>
      <w:r>
        <w:t xml:space="preserve"> </w:t>
      </w:r>
      <w:r>
        <w:t xml:space="preserve">Syn2bANI 0.1.0 (default panel BcgI,AlfI,AloI,FalI; deployed calibration v5), skani 0.1.0 (0.3.2 for the HPC database-scale runs), FastANI 1.33/1.34, MUMmer/dnadiff 3.23. Per-pair efficiency was measured on a Mac Studio (Apple M4 Max, 16 cores, 128 GB RAM; 3 repetitions, medians reported); database-scale runs used a 32-thread HPC node. skani’s n = 22</w:t>
      </w:r>
      <w:r>
        <w:t xml:space="preserve"> </w:t>
      </w:r>
      <w:r>
        <w:rPr>
          <w:rStyle w:val="VerbatimChar"/>
        </w:rPr>
        <w:t xml:space="preserve">dist</w:t>
      </w:r>
      <w:r>
        <w:t xml:space="preserve"> </w:t>
      </w:r>
      <w:r>
        <w:t xml:space="preserve">time covers only 302/484 reported pairs (minimum-AF filter) and excludes sketching; we note this wherever the comparison appears.</w:t>
      </w:r>
    </w:p>
    <w:bookmarkEnd w:id="33"/>
    <w:bookmarkStart w:id="34" w:name="implementation"/>
    <w:p>
      <w:pPr>
        <w:pStyle w:val="Heading3"/>
      </w:pPr>
      <w:r>
        <w:t xml:space="preserve">4.11 Implementation</w:t>
      </w:r>
    </w:p>
    <w:p>
      <w:pPr>
        <w:pStyle w:val="FirstParagraph"/>
      </w:pPr>
      <w:r>
        <w:t xml:space="preserve">Syn2bANI is implemented in Rust (edition 2021) with needletail [13] for FASTA parsing and rayon [14] for data parallelism. The CLI mirrors skani’s subcommand structure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sketch</w:t>
      </w:r>
      <w:r>
        <w:t xml:space="preserve">,</w:t>
      </w:r>
      <w:r>
        <w:t xml:space="preserve"> </w:t>
      </w:r>
      <w:r>
        <w:rPr>
          <w:rStyle w:val="VerbatimChar"/>
        </w:rPr>
        <w:t xml:space="preserve">triangle</w:t>
      </w:r>
      <w:r>
        <w:t xml:space="preserve">) and adds</w:t>
      </w:r>
      <w:r>
        <w:t xml:space="preserve"> </w:t>
      </w:r>
      <w:r>
        <w:rPr>
          <w:rStyle w:val="VerbatimChar"/>
        </w:rPr>
        <w:t xml:space="preserve">ani</w:t>
      </w:r>
      <w:r>
        <w:t xml:space="preserve"> </w:t>
      </w:r>
      <w:r>
        <w:t xml:space="preserve">(pairwise MLE),</w:t>
      </w:r>
      <w:r>
        <w:t xml:space="preserve"> </w:t>
      </w:r>
      <w:r>
        <w:rPr>
          <w:rStyle w:val="VerbatimChar"/>
        </w:rPr>
        <w:t xml:space="preserve">db</w:t>
      </w:r>
      <w:r>
        <w:t xml:space="preserve"> </w:t>
      </w:r>
      <w:r>
        <w:t xml:space="preserve">(sketch-database management), and</w:t>
      </w:r>
      <w:r>
        <w:t xml:space="preserve"> </w:t>
      </w:r>
      <w:r>
        <w:rPr>
          <w:rStyle w:val="VerbatimChar"/>
        </w:rPr>
        <w:t xml:space="preserve">struct</w:t>
      </w:r>
      <w:r>
        <w:t xml:space="preserve"> </w:t>
      </w:r>
      <w:r>
        <w:t xml:space="preserve">(SV calling). The</w:t>
      </w:r>
      <w:r>
        <w:t xml:space="preserve"> </w:t>
      </w:r>
      <w:r>
        <w:rPr>
          <w:rStyle w:val="VerbatimChar"/>
        </w:rPr>
        <w:t xml:space="preserve">.s2ba</w:t>
      </w:r>
      <w:r>
        <w:t xml:space="preserve"> </w:t>
      </w:r>
      <w:r>
        <w:t xml:space="preserve">sketch format stores 2-bit-packed tags with their coordinates and records the enzyme table (older sketches remain readable); a sketch is ~120–180 KB per genome and the store is ~5× smaller than skani’s at n = 22. Sketch reuse makes repeated comparisons against the same genomes bit-identical at ~5× lower peak memory. The calibration model is an embedded JSON (ridge weights, scaling, feature order) evaluated at runtime in &lt; 1 µs; the 95–99.5% training expansion and all calibration scripts are released. The test suite (101 tests at the time of writing, including rescue-pass, geometry, screen, and synteny-statistics regressions) is green in release mode.</w:t>
      </w:r>
    </w:p>
    <w:p>
      <w:r>
        <w:pict>
          <v:rect style="width:0;height:1.5pt" o:hralign="center" o:hrstd="t" o:hr="t"/>
        </w:pict>
      </w:r>
    </w:p>
    <w:bookmarkEnd w:id="34"/>
    <w:bookmarkEnd w:id="35"/>
    <w:bookmarkStart w:id="36" w:name="figures"/>
    <w:p>
      <w:pPr>
        <w:pStyle w:val="Heading2"/>
      </w:pPr>
      <w:r>
        <w:t xml:space="preserve">Figures</w:t>
      </w:r>
    </w:p>
    <w:p>
      <w:pPr>
        <w:pStyle w:val="FirstParagraph"/>
      </w:pPr>
      <w:r>
        <w:rPr>
          <w:b/>
          <w:bCs/>
        </w:rPr>
        <w:t xml:space="preserve">Figure 1 — The Syn2bANI algorithm</w:t>
      </w:r>
      <w:r>
        <w:t xml:space="preserve"> </w:t>
      </w:r>
      <w:r>
        <w:t xml:space="preserve">(</w:t>
      </w:r>
      <w:r>
        <w:rPr>
          <w:rStyle w:val="VerbatimChar"/>
        </w:rPr>
        <w:t xml:space="preserve">figures/report/fig1_algorithm_schematic.png</w:t>
      </w:r>
      <w:r>
        <w:t xml:space="preserve">). (a) Both genomes are digested in silico with the Type IIB enzyme panel (default BcgI, AlfI, AloI, FalI); every tag is stored with its sequence and coordinate. (b) Tags shared between genomes within a 2-mismatch budget become anchors; pigeonhole seeding recovers tolerant matches without a whole-genome scan, and tags lost to site destruction contribute to the miss count. (c) Anchors are chained per (query contig, reference contig, orientation) by gap-penalized collinear DP in two passes, with a chain-break threshold adapted to the fitted divergence; inverted blocks are detected as orientation flips. (d) Per-enzyme tag outcomes inside chains (0/1/2 mismatches or miss) enter the chain-restricted maximum-likelihood fit of per-base divergence; outputs include the gated ANI estimate with standard error, aligned fractions, synteny statistics, SV calls, a reliability flag, and the ani_upper95 bound for below-detection pairs.</w:t>
      </w:r>
    </w:p>
    <w:p>
      <w:pPr>
        <w:pStyle w:val="BodyText"/>
      </w:pPr>
      <w:r>
        <w:rPr>
          <w:b/>
          <w:bCs/>
        </w:rPr>
        <w:t xml:space="preserve">Figure 2 — Simulation-ladder accuracy</w:t>
      </w:r>
      <w:r>
        <w:t xml:space="preserve"> </w:t>
      </w:r>
      <w:r>
        <w:t xml:space="preserve">(</w:t>
      </w:r>
      <w:r>
        <w:rPr>
          <w:rStyle w:val="VerbatimChar"/>
        </w:rPr>
        <w:t xml:space="preserve">figures/report/fig1_simulation_ladder.png</w:t>
      </w:r>
      <w:r>
        <w:t xml:space="preserve">). Twelve query genomes evolved from one reference at true ANI 85.0–99.9% (400 kb inversion + ~46 deletions of 200–2,000 bp each), estimated with</w:t>
      </w:r>
      <w:r>
        <w:t xml:space="preserve"> </w:t>
      </w:r>
      <w:r>
        <w:rPr>
          <w:rStyle w:val="VerbatimChar"/>
        </w:rPr>
        <w:t xml:space="preserve">syn2bani ani</w:t>
      </w:r>
      <w:r>
        <w:t xml:space="preserve"> </w:t>
      </w:r>
      <w:r>
        <w:t xml:space="preserve">(4-enzyme panel); comparators skani 0.1.0 and FastANI 1.33 on the same files. (a) Estimated vs true ANI; (b) signed error vs true ANI. MAE: syn2bani 0.073 (worst single error +0.21 at 88%), skani 0.377 (bias −0.377), FastANI 0.742 (bias −0.742, −2.05 at 85%). The gamma and uniform columns are numerically identical on all 12 rows (the gate correctly declines the second parameter on uniform-rate data); the 85% rung is flagged BELOW_DETECTION by design.</w:t>
      </w:r>
    </w:p>
    <w:p>
      <w:pPr>
        <w:pStyle w:val="BodyText"/>
      </w:pPr>
      <w:r>
        <w:rPr>
          <w:b/>
          <w:bCs/>
        </w:rPr>
        <w:t xml:space="preserve">Figure 3 — Robustness under exact truth</w:t>
      </w:r>
      <w:r>
        <w:t xml:space="preserve"> </w:t>
      </w:r>
      <w:r>
        <w:t xml:space="preserve">(</w:t>
      </w:r>
      <w:r>
        <w:rPr>
          <w:rStyle w:val="VerbatimChar"/>
        </w:rPr>
        <w:t xml:space="preserve">figures/report/fig2_robustness.png</w:t>
      </w:r>
      <w:r>
        <w:t xml:space="preserve">). (a) Indel sweep at true ANI 95.000 (0–4 deletions/100 kb): errors +0.032 to +0.184, MAE 0.081. (b) Fragmentation into 20–201 contigs (~50% reverse-complemented, shuffled): MAE 0.093; see Results 2.3 for why this does not extend to real assemblies below ~20 kb N50. (c) GC sweep on five real template genomes (GC 27.2–72.1%): MAE 0.074–0.356, not monotone in GC. (d) Accessory fraction 0–50% at fixed core ANI 95.000: estimate flat (MAE 0.114),</w:t>
      </w:r>
      <w:r>
        <w:t xml:space="preserve"> </w:t>
      </w:r>
      <w:r>
        <w:rPr>
          <w:rStyle w:val="VerbatimChar"/>
        </w:rPr>
        <w:t xml:space="preserve">af_query</w:t>
      </w:r>
      <w:r>
        <w:t xml:space="preserve"> </w:t>
      </w:r>
      <w:r>
        <w:t xml:space="preserve">tracks 1 − F to within 0.004.</w:t>
      </w:r>
    </w:p>
    <w:p>
      <w:pPr>
        <w:pStyle w:val="BodyText"/>
      </w:pPr>
      <w:r>
        <w:rPr>
          <w:b/>
          <w:bCs/>
        </w:rPr>
        <w:t xml:space="preserve">Figure 4 — Enzyme-panel optimization</w:t>
      </w:r>
      <w:r>
        <w:t xml:space="preserve"> </w:t>
      </w:r>
      <w:r>
        <w:t xml:space="preserve">(</w:t>
      </w:r>
      <w:r>
        <w:rPr>
          <w:rStyle w:val="VerbatimChar"/>
        </w:rPr>
        <w:t xml:space="preserve">figures/report/fig3_enzyme_panel.png</w:t>
      </w:r>
      <w:r>
        <w:t xml:space="preserve">). (a) Per-enzyme bias on 10 replicate genomes at exactly 95% ANI (uniform truth): AlfI +0.273 (9.0σ), FalI −0.586 (8.8σ), BcgI +0.095 (2.9σ), AloI +0.011 (0.2σ). (b) Panel-size trade-off: tags in chains vs MAE on real (vs skani) and simulated data; the 4-enzyme default has the best real-genome agreement (0.094). (c) Per-enzyme share of tags per Mb across GC 27–72%: the tag-pool composition handed to the pooled likelihood shifts with genome GC.</w:t>
      </w:r>
    </w:p>
    <w:p>
      <w:pPr>
        <w:pStyle w:val="BodyText"/>
      </w:pPr>
      <w:r>
        <w:rPr>
          <w:b/>
          <w:bCs/>
        </w:rPr>
        <w:t xml:space="preserve">Figure 5 — Mid-ANI validation against ANIm</w:t>
      </w:r>
      <w:r>
        <w:t xml:space="preserve"> </w:t>
      </w:r>
      <w:r>
        <w:t xml:space="preserve">(</w:t>
      </w:r>
      <w:r>
        <w:rPr>
          <w:rStyle w:val="VerbatimChar"/>
        </w:rPr>
        <w:t xml:space="preserve">figures/report/fig4_midani_anim_validation.png</w:t>
      </w:r>
      <w:r>
        <w:t xml:space="preserve">). Fifteen oral/gut pairs (truth 87.6–90.2% ANIm; ANIm covers only 46–72% of these genomes). Raw syn2bani gamma fails in this regime (MAE 4.48, bias −4.41) and all 15 pairs are flagged INCONSISTENT; the gated estimate scores 0.959 and calibration v5 0.806, vs skani 1.396 and FastANI 1.864. The gate threshold was designed with this regime in view (Results 2.6 caveat).</w:t>
      </w:r>
    </w:p>
    <w:p>
      <w:pPr>
        <w:pStyle w:val="BodyText"/>
      </w:pPr>
      <w:r>
        <w:rPr>
          <w:b/>
          <w:bCs/>
        </w:rPr>
        <w:t xml:space="preserve">Figure 6 — Large-scale comparison against FastANI (45,000 GTDB-R207 pairs)</w:t>
      </w:r>
      <w:r>
        <w:t xml:space="preserve"> </w:t>
      </w:r>
      <w:r>
        <w:t xml:space="preserve">(</w:t>
      </w:r>
      <w:r>
        <w:rPr>
          <w:rStyle w:val="VerbatimChar"/>
        </w:rPr>
        <w:t xml:space="preserve">figures/report/fig5_gtdb_r207_benchmark.png</w:t>
      </w:r>
      <w:r>
        <w:t xml:space="preserve">). FastANI reports 672 pairs (81.6–97.7%); comparison restricted to those (syn2bani n = 620 after 52 BELOW_DETECTION). MAE vs FastANI: skani 0.608 (bias +0.295, r 0.980); raw syn2bani gamma 3.304 (bias +3.018, r 0.726), uniform 4.235. Shown for scale and for the honest bias discussion: against ANIm (Fig. 8) FastANI itself reads ~1 point low, so roughly three quarters of the +3 gap is syn2bani’s rate-heterogeneity bias and one quarter FastANI’s.</w:t>
      </w:r>
    </w:p>
    <w:p>
      <w:pPr>
        <w:pStyle w:val="BodyText"/>
      </w:pPr>
      <w:r>
        <w:rPr>
          <w:b/>
          <w:bCs/>
        </w:rPr>
        <w:t xml:space="preserve">Figure 7 — Computational efficiency</w:t>
      </w:r>
      <w:r>
        <w:t xml:space="preserve"> </w:t>
      </w:r>
      <w:r>
        <w:t xml:space="preserve">(</w:t>
      </w:r>
      <w:r>
        <w:rPr>
          <w:rStyle w:val="VerbatimChar"/>
        </w:rPr>
        <w:t xml:space="preserve">figures/report/fig6_efficiency.png</w:t>
      </w:r>
      <w:r>
        <w:t xml:space="preserve">). All-vs-all on nested subsets (n = 2–22 genomes; 14 complete Enterobacteriaceae + 8 real draft</w:t>
      </w:r>
      <w:r>
        <w:t xml:space="preserve"> </w:t>
      </w:r>
      <w:r>
        <w:rPr>
          <w:i/>
          <w:iCs/>
        </w:rPr>
        <w:t xml:space="preserve">E. coli</w:t>
      </w:r>
      <w:r>
        <w:t xml:space="preserve">; 3 reps, medians). (a) Wall time: at n = 22 (484 pairs) syn2bani 3.73 s (FASTA) / 2.79 s (sketch reuse), skani 0.15 s (302/484 pairs reported, sketch step excluded), FastANI 17.7 s. (b) Peak RSS: 58 MB (sketch reuse) vs 185 (skani) / 912 (FastANI). (c) Sketch store: 4.0 MB vs 21.6 MB (skani) at n = 22.</w:t>
      </w:r>
    </w:p>
    <w:p>
      <w:pPr>
        <w:pStyle w:val="BodyText"/>
      </w:pPr>
      <w:r>
        <w:rPr>
          <w:b/>
          <w:bCs/>
        </w:rPr>
        <w:t xml:space="preserve">Figure 8 — ANIm-truth benchmark by ANI band</w:t>
      </w:r>
      <w:r>
        <w:t xml:space="preserve"> </w:t>
      </w:r>
      <w:r>
        <w:t xml:space="preserve">(</w:t>
      </w:r>
      <w:r>
        <w:rPr>
          <w:rStyle w:val="VerbatimChar"/>
        </w:rPr>
        <w:t xml:space="preserve">figures/report/fig7_anim_by_band.png</w:t>
      </w:r>
      <w:r>
        <w:t xml:space="preserve">). 2,074 GTDB-R207 pairs with dnadiff (ANIm) truth in four bands (n = 475/837/690/72), plus 467 targeted 95–99.5% pairs for calibration training. (a) MAE by band: raw 4-enzyme gamma degrades toward low ANI (3.21 at 80–85% post-rescue); band-holdout ridge calibration (v5, 2,520 training pairs) flattens it to 0.82/0.77/0.64/0.71, overall 0.731 vs skani 0.906. (b) Signed bias by band: raw bias +2.02 overall; v5 bias within ±0.6 in every band; skani/FastANI underestimate (−0.65/−0.98). (c) Band-holdout predictions vs ANIm truth (r = 0.963). The 105 BELOW_DETECTION pairs carry no point estimate (they carry</w:t>
      </w:r>
      <w:r>
        <w:t xml:space="preserve"> </w:t>
      </w:r>
      <w:r>
        <w:rPr>
          <w:rStyle w:val="VerbatimChar"/>
        </w:rPr>
        <w:t xml:space="preserve">ani_upper95</w:t>
      </w:r>
      <w:r>
        <w:t xml:space="preserve">; Results 2.9), so the 4-enzyme rows cover 1,969 pairs.</w:t>
      </w:r>
    </w:p>
    <w:p>
      <w:pPr>
        <w:pStyle w:val="BodyText"/>
      </w:pPr>
      <w:r>
        <w:rPr>
          <w:b/>
          <w:bCs/>
        </w:rPr>
        <w:t xml:space="preserve">Figure 9 — Structural-variant detection on real genomes</w:t>
      </w:r>
      <w:r>
        <w:t xml:space="preserve"> </w:t>
      </w:r>
      <w:r>
        <w:t xml:space="preserve">(</w:t>
      </w:r>
      <w:r>
        <w:rPr>
          <w:rStyle w:val="VerbatimChar"/>
        </w:rPr>
        <w:t xml:space="preserve">figures/report/fig8_sv_detection.png</w:t>
      </w:r>
      <w:r>
        <w:t xml:space="preserve">). Three Enterobacteriaceae pairs vs dnadiff (MUMMER 3.23): K-12 MG1655 vs W3110 (the ~780 kb rrnD–rrnE inversion; call 778,620 bp vs truth 789,503 bp, endpoints ≤ 5.5 kb), MG1655 vs O157:H7 Sakai (112 TP / 9 FP indels, one verified translocation, correctly no inversions), Typhi CT18 vs Typhimurium LT2 (8 inversions + 4 translocations, all inside the rearranged regions). (a) Chain dotplot for CT18 vs LT2. (b) Detected vs dnadiff indel size for 128 one-to-one matches: median ratio 1.000, 94.5% within ±25%. (c) Wall time per pair: 48–54 ms (syn2bani struct) vs 8.2–9.6 s (dnadiff).</w:t>
      </w:r>
    </w:p>
    <w:p>
      <w:pPr>
        <w:pStyle w:val="BodyText"/>
      </w:pPr>
      <w:r>
        <w:rPr>
          <w:b/>
          <w:bCs/>
        </w:rPr>
        <w:t xml:space="preserve">Figure 10 — Accuracy on binned metagenomes (695 CAMI2 MAGs vs dnadiff ANIm)</w:t>
      </w:r>
      <w:r>
        <w:t xml:space="preserve"> </w:t>
      </w:r>
      <w:r>
        <w:t xml:space="preserve">(</w:t>
      </w:r>
      <w:r>
        <w:rPr>
          <w:rStyle w:val="VerbatimChar"/>
        </w:rPr>
        <w:t xml:space="preserve">figures/report/mag_validation.png</w:t>
      </w:r>
      <w:r>
        <w:t xml:space="preserve">). Thirty-five CAMI2 samples (25 strain-madness, 10 marine) assembled with MEGAHIT, binned with MetaBAT2, quality-scored with CheckM2; each bin ≥ 100 kbp is paired with its dominant source genome by contig assignment, and dnadiff provides ANIm truth on the bin against that reference. (a) Syn2bANI estimate vs ANIm truth, colored by contamination class (clean n = 305, strain-mixed 253, cross-species 137). (b) Absolute-error distributions: overall MAE syn2bani 0.163, skani 0.092, FastANI 0.203 (FastANI returns no estimate for 62 pairs); on cross-species bins syn2bani 0.326 vs FastANI 0.656. (c) Syn2bANI error by CheckM2 tier: HQ 0.041 (100% within 0.5), MQ 0.105, LQ 0.291; |error| vs contig N50 Spearman ρ = −0.68. Estimates are the raw gated output (no calibration); the ani_upper95 bound covers truth for 98.4% of pairs.</w:t>
      </w:r>
    </w:p>
    <w:p>
      <w:r>
        <w:pict>
          <v:rect style="width:0;height:1.5pt" o:hralign="center" o:hrstd="t" o:hr="t"/>
        </w:pict>
      </w:r>
    </w:p>
    <w:bookmarkEnd w:id="36"/>
    <w:bookmarkStart w:id="37" w:name="supplementary-figures"/>
    <w:p>
      <w:pPr>
        <w:pStyle w:val="Heading2"/>
      </w:pPr>
      <w:r>
        <w:t xml:space="preserve">Supplementary figures</w:t>
      </w:r>
    </w:p>
    <w:p>
      <w:pPr>
        <w:pStyle w:val="FirstParagraph"/>
      </w:pPr>
      <w:r>
        <w:rPr>
          <w:b/>
          <w:bCs/>
        </w:rPr>
        <w:t xml:space="preserve">Supplementary Figure S1 — Synteny benchmark: exact-truth inversion ladder</w:t>
      </w:r>
      <w:r>
        <w:t xml:space="preserve"> </w:t>
      </w:r>
      <w:r>
        <w:t xml:space="preserve">(</w:t>
      </w:r>
      <w:r>
        <w:rPr>
          <w:rStyle w:val="VerbatimChar"/>
        </w:rPr>
        <w:t xml:space="preserve">figures/report/fig_synteny_ladder.png</w:t>
      </w:r>
      <w:r>
        <w:t xml:space="preserve">). E. coli MG1655 evolved to ANI 95.00/98.00 (counted substitutions) with 0–32 non-overlapping inversions (100–400 kb; 2 true breakpoints each). (a) syn2bani breakpoint_count vs truth: exact on all 14 rungs (0–64). (b) synteny_score vs inversion count: monotone decline 1.0000 → 0.9835. (c) ANI estimate vs inversion count: invariant (94.95–95.00 at true 95.00; 98.00–98.01 at true 98.00) — rearrangement does not perturb the ANI likelihood. Wall time 50–70 ms per pair. Specificity on 695 real MAG pairs (dnadiff-derived truth, median 0 breaks): median synteny_score 0.9997, no spurious structural flags; see</w:t>
      </w:r>
      <w:r>
        <w:t xml:space="preserve"> </w:t>
      </w:r>
      <w:r>
        <w:rPr>
          <w:rStyle w:val="VerbatimChar"/>
        </w:rPr>
        <w:t xml:space="preserve">results/synteny_bench/SYNTENY_BENCHMARK.md</w:t>
      </w:r>
      <w:r>
        <w:t xml:space="preserve">.</w:t>
      </w:r>
    </w:p>
    <w:p>
      <w:pPr>
        <w:pStyle w:val="BodyText"/>
      </w:pPr>
      <w:r>
        <w:rPr>
          <w:b/>
          <w:bCs/>
        </w:rPr>
        <w:t xml:space="preserve">Supplementary Figure S2 — Held-out GTDB-R207 benchmark</w:t>
      </w:r>
      <w:r>
        <w:t xml:space="preserve"> </w:t>
      </w:r>
      <w:r>
        <w:t xml:space="preserve">(</w:t>
      </w:r>
      <w:r>
        <w:rPr>
          <w:rStyle w:val="VerbatimChar"/>
        </w:rPr>
        <w:t xml:space="preserve">figures/report/fig_gtdb50k_heldout.png</w:t>
      </w:r>
      <w:r>
        <w:t xml:space="preserve">). 43,334 same-genus pairs sampled from GTDB R207 representatives (24,831 genomes, 74 phyla), with every genome of the 2,520-pair calibration training matrix excluded in both directions; dnadiff/ANIm truth for all pairs. The gate, consistency flag, and calibration v5 were frozen before evaluation. Panels show the scored subset (n = 39,903; 3,431 BELOW_DETECTION excluded). (a–c) Calibrated Syn2bANI v5, skani, and FastANI vs ANIm (MAE 0.619, 0.958, 0.977). (d) Per-band MAE. (e) Signed-error distributions: skani and FastANI carry a large negative bias at divergent bands; the calibrated estimator is centered (bias −0.12). Pipeline</w:t>
      </w:r>
      <w:r>
        <w:t xml:space="preserve"> </w:t>
      </w:r>
      <w:r>
        <w:rPr>
          <w:rStyle w:val="VerbatimChar"/>
        </w:rPr>
        <w:t xml:space="preserve">scripts/gtdb50k/</w:t>
      </w:r>
      <w:r>
        <w:t xml:space="preserve">; per-pair data</w:t>
      </w:r>
      <w:r>
        <w:t xml:space="preserve"> </w:t>
      </w:r>
      <w:r>
        <w:rPr>
          <w:rStyle w:val="VerbatimChar"/>
        </w:rPr>
        <w:t xml:space="preserve">results/gtdb50k/</w:t>
      </w:r>
      <w:r>
        <w:t xml:space="preserve">.</w:t>
      </w:r>
    </w:p>
    <w:p>
      <w:r>
        <w:pict>
          <v:rect style="width:0;height:1.5pt" o:hralign="center" o:hrstd="t" o:hr="t"/>
        </w:pict>
      </w:r>
    </w:p>
    <w:bookmarkEnd w:id="37"/>
    <w:bookmarkStart w:id="38" w:name="tables"/>
    <w:p>
      <w:pPr>
        <w:pStyle w:val="Heading2"/>
      </w:pPr>
      <w:r>
        <w:t xml:space="preserve">Tables</w:t>
      </w:r>
    </w:p>
    <w:p>
      <w:pPr>
        <w:pStyle w:val="FirstParagraph"/>
      </w:pPr>
      <w:r>
        <w:rPr>
          <w:b/>
          <w:bCs/>
        </w:rPr>
        <w:t xml:space="preserve">Table 1 — GTDB-R207 ANIm-truth benchmark (MAE in ANI points, by band).</w:t>
      </w:r>
      <w:r>
        <w:t xml:space="preserve"> </w:t>
      </w:r>
      <w:r>
        <w:t xml:space="preserve">Upper panel: the 2,074-pair benchmark. Raw rows are post-rescue; the 4-enzyme rows cover the 1,969 pairs with a finite estimate (105 BELOW_DETECTION excluded); skani covers all 2,074; FastANI a 363-pair subset. v5 is the deployed band-holdout ridge calibration trained on 2,520 pairs. Lower panel: the strictly held-out 43,334-pair evaluation (training genomes excluded in both directions; gate, flag, and calibration frozen beforehand); rows cover the 39,903 pairs with a calibrated score (3,431 BELOW_DETECTION excluded), and the top band is 95–100%. FastANI reports a value for all 43,334 pairs on this set.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w:t>
            </w:r>
          </w:p>
        </w:tc>
        <w:tc>
          <w:tcPr/>
          <w:p>
            <w:pPr>
              <w:pStyle w:val="Compact"/>
            </w:pPr>
            <w:r>
              <w:t xml:space="preserve">80–85</w:t>
            </w:r>
          </w:p>
        </w:tc>
        <w:tc>
          <w:tcPr/>
          <w:p>
            <w:pPr>
              <w:pStyle w:val="Compact"/>
            </w:pPr>
            <w:r>
              <w:t xml:space="preserve">85–90</w:t>
            </w:r>
          </w:p>
        </w:tc>
        <w:tc>
          <w:tcPr/>
          <w:p>
            <w:pPr>
              <w:pStyle w:val="Compact"/>
            </w:pPr>
            <w:r>
              <w:t xml:space="preserve">90–95</w:t>
            </w:r>
          </w:p>
        </w:tc>
        <w:tc>
          <w:tcPr/>
          <w:p>
            <w:pPr>
              <w:pStyle w:val="Compact"/>
            </w:pPr>
            <w:r>
              <w:t xml:space="preserve">95–99</w:t>
            </w:r>
          </w:p>
        </w:tc>
        <w:tc>
          <w:tcPr/>
          <w:p>
            <w:pPr>
              <w:pStyle w:val="Compact"/>
            </w:pPr>
            <w:r>
              <w:t xml:space="preserve">all</w:t>
            </w:r>
          </w:p>
        </w:tc>
        <w:tc>
          <w:tcPr/>
          <w:p>
            <w:pPr>
              <w:pStyle w:val="Compact"/>
            </w:pPr>
            <w:r>
              <w:t xml:space="preserve">bias (all)</w:t>
            </w:r>
          </w:p>
        </w:tc>
        <w:tc>
          <w:tcPr/>
          <w:p>
            <w:pPr>
              <w:pStyle w:val="Compact"/>
            </w:pPr>
            <w:r>
              <w:t xml:space="preserve">r (all)</w:t>
            </w:r>
          </w:p>
        </w:tc>
      </w:tr>
      <w:tr>
        <w:tc>
          <w:tcPr/>
          <w:p>
            <w:pPr>
              <w:pStyle w:val="Compact"/>
            </w:pPr>
            <w:r>
              <w:t xml:space="preserve">syn2bani 4e gamma (raw)</w:t>
            </w:r>
          </w:p>
        </w:tc>
        <w:tc>
          <w:tcPr/>
          <w:p>
            <w:pPr>
              <w:pStyle w:val="Compact"/>
            </w:pPr>
            <w:r>
              <w:t xml:space="preserve">3.21</w:t>
            </w:r>
          </w:p>
        </w:tc>
        <w:tc>
          <w:tcPr/>
          <w:p>
            <w:pPr>
              <w:pStyle w:val="Compact"/>
            </w:pPr>
            <w:r>
              <w:t xml:space="preserve">2.81</w:t>
            </w:r>
          </w:p>
        </w:tc>
        <w:tc>
          <w:tcPr/>
          <w:p>
            <w:pPr>
              <w:pStyle w:val="Compact"/>
            </w:pPr>
            <w:r>
              <w:t xml:space="preserve">1.47</w:t>
            </w:r>
          </w:p>
        </w:tc>
        <w:tc>
          <w:tcPr/>
          <w:p>
            <w:pPr>
              <w:pStyle w:val="Compact"/>
            </w:pPr>
            <w:r>
              <w:t xml:space="preserve">0.88</w:t>
            </w:r>
          </w:p>
        </w:tc>
        <w:tc>
          <w:tcPr/>
          <w:p>
            <w:pPr>
              <w:pStyle w:val="Compact"/>
            </w:pPr>
            <w:r>
              <w:t xml:space="preserve">2.35</w:t>
            </w:r>
          </w:p>
        </w:tc>
        <w:tc>
          <w:tcPr/>
          <w:p>
            <w:pPr>
              <w:pStyle w:val="Compact"/>
            </w:pPr>
            <w:r>
              <w:t xml:space="preserve">+2.02</w:t>
            </w:r>
          </w:p>
        </w:tc>
        <w:tc>
          <w:tcPr/>
          <w:p>
            <w:pPr>
              <w:pStyle w:val="Compact"/>
            </w:pPr>
            <w:r>
              <w:t xml:space="preserve">0.763</w:t>
            </w:r>
          </w:p>
        </w:tc>
      </w:tr>
      <w:tr>
        <w:tc>
          <w:tcPr/>
          <w:p>
            <w:pPr>
              <w:pStyle w:val="Compact"/>
            </w:pPr>
            <w:r>
              <w:t xml:space="preserve">syn2bani 4e uniform (raw)</w:t>
            </w:r>
          </w:p>
        </w:tc>
        <w:tc>
          <w:tcPr/>
          <w:p>
            <w:pPr>
              <w:pStyle w:val="Compact"/>
            </w:pPr>
            <w:r>
              <w:t xml:space="preserve">4.26</w:t>
            </w:r>
          </w:p>
        </w:tc>
        <w:tc>
          <w:tcPr/>
          <w:p>
            <w:pPr>
              <w:pStyle w:val="Compact"/>
            </w:pPr>
            <w:r>
              <w:t xml:space="preserve">3.81</w:t>
            </w:r>
          </w:p>
        </w:tc>
        <w:tc>
          <w:tcPr/>
          <w:p>
            <w:pPr>
              <w:pStyle w:val="Compact"/>
            </w:pPr>
            <w:r>
              <w:t xml:space="preserve">2.16</w:t>
            </w:r>
          </w:p>
        </w:tc>
        <w:tc>
          <w:tcPr/>
          <w:p>
            <w:pPr>
              <w:pStyle w:val="Compact"/>
            </w:pPr>
            <w:r>
              <w:t xml:space="preserve">1.43</w:t>
            </w:r>
          </w:p>
        </w:tc>
        <w:tc>
          <w:tcPr/>
          <w:p>
            <w:pPr>
              <w:pStyle w:val="Compact"/>
            </w:pPr>
            <w:r>
              <w:t xml:space="preserve">3.23</w:t>
            </w:r>
          </w:p>
        </w:tc>
        <w:tc>
          <w:tcPr/>
          <w:p>
            <w:pPr>
              <w:pStyle w:val="Compact"/>
            </w:pPr>
            <w:r>
              <w:t xml:space="preserve">+3.23</w:t>
            </w:r>
          </w:p>
        </w:tc>
        <w:tc>
          <w:tcPr/>
          <w:p>
            <w:pPr>
              <w:pStyle w:val="Compact"/>
            </w:pPr>
            <w:r>
              <w:t xml:space="preserve">0.863</w:t>
            </w:r>
          </w:p>
        </w:tc>
      </w:tr>
      <w:tr>
        <w:tc>
          <w:tcPr/>
          <w:p>
            <w:pPr>
              <w:pStyle w:val="Compact"/>
            </w:pPr>
            <w:r>
              <w:t xml:space="preserve">syn2bani 4e gated (raw)</w:t>
            </w:r>
          </w:p>
        </w:tc>
        <w:tc>
          <w:tcPr/>
          <w:p>
            <w:pPr>
              <w:pStyle w:val="Compact"/>
            </w:pPr>
            <w:r>
              <w:t xml:space="preserve">3.24</w:t>
            </w:r>
          </w:p>
        </w:tc>
        <w:tc>
          <w:tcPr/>
          <w:p>
            <w:pPr>
              <w:pStyle w:val="Compact"/>
            </w:pPr>
            <w:r>
              <w:t xml:space="preserve">2.81</w:t>
            </w:r>
          </w:p>
        </w:tc>
        <w:tc>
          <w:tcPr/>
          <w:p>
            <w:pPr>
              <w:pStyle w:val="Compact"/>
            </w:pPr>
            <w:r>
              <w:t xml:space="preserve">1.47</w:t>
            </w:r>
          </w:p>
        </w:tc>
        <w:tc>
          <w:tcPr/>
          <w:p>
            <w:pPr>
              <w:pStyle w:val="Compact"/>
            </w:pPr>
            <w:r>
              <w:t xml:space="preserve">0.88</w:t>
            </w:r>
          </w:p>
        </w:tc>
        <w:tc>
          <w:tcPr/>
          <w:p>
            <w:pPr>
              <w:pStyle w:val="Compact"/>
            </w:pPr>
            <w:r>
              <w:t xml:space="preserve">2.35</w:t>
            </w:r>
          </w:p>
        </w:tc>
        <w:tc>
          <w:tcPr/>
          <w:p>
            <w:pPr>
              <w:pStyle w:val="Compact"/>
            </w:pPr>
            <w:r>
              <w:t xml:space="preserve">+2.22</w:t>
            </w:r>
          </w:p>
        </w:tc>
        <w:tc>
          <w:tcPr/>
          <w:p>
            <w:pPr>
              <w:pStyle w:val="Compact"/>
            </w:pPr>
            <w:r>
              <w:t xml:space="preserve">0.789</w:t>
            </w:r>
          </w:p>
        </w:tc>
      </w:tr>
      <w:tr>
        <w:tc>
          <w:tcPr/>
          <w:p>
            <w:pPr>
              <w:pStyle w:val="Compact"/>
            </w:pPr>
            <w:r>
              <w:rPr>
                <w:b/>
                <w:bCs/>
              </w:rPr>
              <w:t xml:space="preserve">syn2bani 4e calibrated v5 (band-holdout CV)</w:t>
            </w:r>
          </w:p>
        </w:tc>
        <w:tc>
          <w:tcPr/>
          <w:p>
            <w:pPr>
              <w:pStyle w:val="Compact"/>
            </w:pPr>
            <w:r>
              <w:t xml:space="preserve">0.82</w:t>
            </w:r>
          </w:p>
        </w:tc>
        <w:tc>
          <w:tcPr/>
          <w:p>
            <w:pPr>
              <w:pStyle w:val="Compact"/>
            </w:pPr>
            <w:r>
              <w:t xml:space="preserve">0.77</w:t>
            </w:r>
          </w:p>
        </w:tc>
        <w:tc>
          <w:tcPr/>
          <w:p>
            <w:pPr>
              <w:pStyle w:val="Compact"/>
            </w:pPr>
            <w:r>
              <w:t xml:space="preserve">0.64</w:t>
            </w:r>
          </w:p>
        </w:tc>
        <w:tc>
          <w:tcPr/>
          <w:p>
            <w:pPr>
              <w:pStyle w:val="Compact"/>
            </w:pPr>
            <w:r>
              <w:t xml:space="preserve">0.71</w:t>
            </w:r>
          </w:p>
        </w:tc>
        <w:tc>
          <w:tcPr/>
          <w:p>
            <w:pPr>
              <w:pStyle w:val="Compact"/>
            </w:pPr>
            <w:r>
              <w:rPr>
                <w:b/>
                <w:bCs/>
              </w:rPr>
              <w:t xml:space="preserve">0.731</w:t>
            </w:r>
          </w:p>
        </w:tc>
        <w:tc>
          <w:tcPr/>
          <w:p>
            <w:pPr>
              <w:pStyle w:val="Compact"/>
            </w:pPr>
            <w:r>
              <w:rPr>
                <w:b/>
                <w:bCs/>
              </w:rPr>
              <w:t xml:space="preserve">+0.05</w:t>
            </w:r>
          </w:p>
        </w:tc>
        <w:tc>
          <w:tcPr/>
          <w:p>
            <w:pPr>
              <w:pStyle w:val="Compact"/>
            </w:pPr>
            <w:r>
              <w:t xml:space="preserve">0.963</w:t>
            </w:r>
          </w:p>
        </w:tc>
      </w:tr>
      <w:tr>
        <w:tc>
          <w:tcPr/>
          <w:p>
            <w:pPr>
              <w:pStyle w:val="Compact"/>
            </w:pPr>
            <w:r>
              <w:t xml:space="preserve">skani</w:t>
            </w:r>
          </w:p>
        </w:tc>
        <w:tc>
          <w:tcPr/>
          <w:p>
            <w:pPr>
              <w:pStyle w:val="Compact"/>
            </w:pPr>
            <w:r>
              <w:t xml:space="preserve">1.74</w:t>
            </w:r>
          </w:p>
        </w:tc>
        <w:tc>
          <w:tcPr/>
          <w:p>
            <w:pPr>
              <w:pStyle w:val="Compact"/>
            </w:pPr>
            <w:r>
              <w:t xml:space="preserve">0.85</w:t>
            </w:r>
          </w:p>
        </w:tc>
        <w:tc>
          <w:tcPr/>
          <w:p>
            <w:pPr>
              <w:pStyle w:val="Compact"/>
            </w:pPr>
            <w:r>
              <w:t xml:space="preserve">0.45</w:t>
            </w:r>
          </w:p>
        </w:tc>
        <w:tc>
          <w:tcPr/>
          <w:p>
            <w:pPr>
              <w:pStyle w:val="Compact"/>
            </w:pPr>
            <w:r>
              <w:t xml:space="preserve">0.34</w:t>
            </w:r>
          </w:p>
        </w:tc>
        <w:tc>
          <w:tcPr/>
          <w:p>
            <w:pPr>
              <w:pStyle w:val="Compact"/>
            </w:pPr>
            <w:r>
              <w:t xml:space="preserve">0.906</w:t>
            </w:r>
          </w:p>
        </w:tc>
        <w:tc>
          <w:tcPr/>
          <w:p>
            <w:pPr>
              <w:pStyle w:val="Compact"/>
            </w:pPr>
            <w:r>
              <w:t xml:space="preserve">−0.65</w:t>
            </w:r>
          </w:p>
        </w:tc>
        <w:tc>
          <w:tcPr/>
          <w:p>
            <w:pPr>
              <w:pStyle w:val="Compact"/>
            </w:pPr>
            <w:r>
              <w:t xml:space="preserve">0.969</w:t>
            </w:r>
          </w:p>
        </w:tc>
      </w:tr>
      <w:tr>
        <w:tc>
          <w:tcPr/>
          <w:p>
            <w:pPr>
              <w:pStyle w:val="Compact"/>
            </w:pPr>
            <w:r>
              <w:t xml:space="preserve">FastANI (363-pair subset)</w:t>
            </w:r>
          </w:p>
        </w:tc>
        <w:tc>
          <w:tcPr/>
          <w:p>
            <w:pPr>
              <w:pStyle w:val="Compact"/>
            </w:pPr>
            <w:r>
              <w:t xml:space="preserve">1.73</w:t>
            </w:r>
          </w:p>
        </w:tc>
        <w:tc>
          <w:tcPr/>
          <w:p>
            <w:pPr>
              <w:pStyle w:val="Compact"/>
            </w:pPr>
            <w:r>
              <w:t xml:space="preserve">1.26</w:t>
            </w:r>
          </w:p>
        </w:tc>
        <w:tc>
          <w:tcPr/>
          <w:p>
            <w:pPr>
              <w:pStyle w:val="Compact"/>
            </w:pPr>
            <w:r>
              <w:t xml:space="preserve">0.54</w:t>
            </w:r>
          </w:p>
        </w:tc>
        <w:tc>
          <w:tcPr/>
          <w:p>
            <w:pPr>
              <w:pStyle w:val="Compact"/>
            </w:pPr>
            <w:r>
              <w:t xml:space="preserve">0.69</w:t>
            </w:r>
          </w:p>
        </w:tc>
        <w:tc>
          <w:tcPr/>
          <w:p>
            <w:pPr>
              <w:pStyle w:val="Compact"/>
            </w:pPr>
            <w:r>
              <w:t xml:space="preserve">1.056</w:t>
            </w:r>
          </w:p>
        </w:tc>
        <w:tc>
          <w:tcPr/>
          <w:p>
            <w:pPr>
              <w:pStyle w:val="Compact"/>
            </w:pPr>
            <w:r>
              <w:t xml:space="preserve">−0.98</w:t>
            </w:r>
          </w:p>
        </w:tc>
        <w:tc>
          <w:tcPr/>
          <w:p>
            <w:pPr>
              <w:pStyle w:val="Compact"/>
            </w:pPr>
            <w:r>
              <w:t xml:space="preserve">0.981</w:t>
            </w:r>
          </w:p>
        </w:tc>
      </w:tr>
      <w:tr>
        <w:tc>
          <w:tcPr/>
          <w:p>
            <w:pPr>
              <w:pStyle w:val="Compact"/>
            </w:pPr>
            <w:r>
              <w:t xml:space="preserve">syn2bani 4e gated, held-out (raw)</w:t>
            </w:r>
          </w:p>
        </w:tc>
        <w:tc>
          <w:tcPr/>
          <w:p>
            <w:pPr>
              <w:pStyle w:val="Compact"/>
            </w:pPr>
            <w:r>
              <w:t xml:space="preserve">2.20</w:t>
            </w:r>
          </w:p>
        </w:tc>
        <w:tc>
          <w:tcPr/>
          <w:p>
            <w:pPr>
              <w:pStyle w:val="Compact"/>
            </w:pPr>
            <w:r>
              <w:t xml:space="preserve">1.89</w:t>
            </w:r>
          </w:p>
        </w:tc>
        <w:tc>
          <w:tcPr/>
          <w:p>
            <w:pPr>
              <w:pStyle w:val="Compact"/>
            </w:pPr>
            <w:r>
              <w:t xml:space="preserve">1.21</w:t>
            </w:r>
          </w:p>
        </w:tc>
        <w:tc>
          <w:tcPr/>
          <w:p>
            <w:pPr>
              <w:pStyle w:val="Compact"/>
            </w:pPr>
            <w:r>
              <w:t xml:space="preserve">0.75</w:t>
            </w:r>
          </w:p>
        </w:tc>
        <w:tc>
          <w:tcPr/>
          <w:p>
            <w:pPr>
              <w:pStyle w:val="Compact"/>
            </w:pPr>
            <w:r>
              <w:t xml:space="preserve">1.70</w:t>
            </w:r>
          </w:p>
        </w:tc>
        <w:tc>
          <w:tcPr/>
          <w:p>
            <w:pPr>
              <w:pStyle w:val="Compact"/>
            </w:pPr>
            <w:r>
              <w:t xml:space="preserve">+1.50</w:t>
            </w:r>
          </w:p>
        </w:tc>
        <w:tc>
          <w:tcPr/>
          <w:p>
            <w:pPr>
              <w:pStyle w:val="Compact"/>
            </w:pPr>
            <w:r>
              <w:t xml:space="preserve">0.834</w:t>
            </w:r>
          </w:p>
        </w:tc>
      </w:tr>
      <w:tr>
        <w:tc>
          <w:tcPr/>
          <w:p>
            <w:pPr>
              <w:pStyle w:val="Compact"/>
            </w:pPr>
            <w:r>
              <w:rPr>
                <w:b/>
                <w:bCs/>
              </w:rPr>
              <w:t xml:space="preserve">syn2bani 4e calibrated v5, held-out</w:t>
            </w:r>
          </w:p>
        </w:tc>
        <w:tc>
          <w:tcPr/>
          <w:p>
            <w:pPr>
              <w:pStyle w:val="Compact"/>
            </w:pPr>
            <w:r>
              <w:rPr>
                <w:b/>
                <w:bCs/>
              </w:rPr>
              <w:t xml:space="preserve">0.72</w:t>
            </w:r>
          </w:p>
        </w:tc>
        <w:tc>
          <w:tcPr/>
          <w:p>
            <w:pPr>
              <w:pStyle w:val="Compact"/>
            </w:pPr>
            <w:r>
              <w:rPr>
                <w:b/>
                <w:bCs/>
              </w:rPr>
              <w:t xml:space="preserve">0.64</w:t>
            </w:r>
          </w:p>
        </w:tc>
        <w:tc>
          <w:tcPr/>
          <w:p>
            <w:pPr>
              <w:pStyle w:val="Compact"/>
            </w:pPr>
            <w:r>
              <w:t xml:space="preserve">0.54</w:t>
            </w:r>
          </w:p>
        </w:tc>
        <w:tc>
          <w:tcPr/>
          <w:p>
            <w:pPr>
              <w:pStyle w:val="Compact"/>
            </w:pPr>
            <w:r>
              <w:t xml:space="preserve">0.44</w:t>
            </w:r>
          </w:p>
        </w:tc>
        <w:tc>
          <w:tcPr/>
          <w:p>
            <w:pPr>
              <w:pStyle w:val="Compact"/>
            </w:pPr>
            <w:r>
              <w:rPr>
                <w:b/>
                <w:bCs/>
              </w:rPr>
              <w:t xml:space="preserve">0.619</w:t>
            </w:r>
          </w:p>
        </w:tc>
        <w:tc>
          <w:tcPr/>
          <w:p>
            <w:pPr>
              <w:pStyle w:val="Compact"/>
            </w:pPr>
            <w:r>
              <w:rPr>
                <w:b/>
                <w:bCs/>
              </w:rPr>
              <w:t xml:space="preserve">−0.12</w:t>
            </w:r>
          </w:p>
        </w:tc>
        <w:tc>
          <w:tcPr/>
          <w:p>
            <w:pPr>
              <w:pStyle w:val="Compact"/>
            </w:pPr>
            <w:r>
              <w:t xml:space="preserve">0.962</w:t>
            </w:r>
          </w:p>
        </w:tc>
      </w:tr>
      <w:tr>
        <w:tc>
          <w:tcPr/>
          <w:p>
            <w:pPr>
              <w:pStyle w:val="Compact"/>
            </w:pPr>
            <w:r>
              <w:t xml:space="preserve">skani, held-out</w:t>
            </w:r>
          </w:p>
        </w:tc>
        <w:tc>
          <w:tcPr/>
          <w:p>
            <w:pPr>
              <w:pStyle w:val="Compact"/>
            </w:pPr>
            <w:r>
              <w:t xml:space="preserve">1.98</w:t>
            </w:r>
          </w:p>
        </w:tc>
        <w:tc>
          <w:tcPr/>
          <w:p>
            <w:pPr>
              <w:pStyle w:val="Compact"/>
            </w:pPr>
            <w:r>
              <w:t xml:space="preserve">0.89</w:t>
            </w:r>
          </w:p>
        </w:tc>
        <w:tc>
          <w:tcPr/>
          <w:p>
            <w:pPr>
              <w:pStyle w:val="Compact"/>
            </w:pPr>
            <w:r>
              <w:t xml:space="preserve">0.43</w:t>
            </w:r>
          </w:p>
        </w:tc>
        <w:tc>
          <w:tcPr/>
          <w:p>
            <w:pPr>
              <w:pStyle w:val="Compact"/>
            </w:pPr>
            <w:r>
              <w:t xml:space="preserve">0.32</w:t>
            </w:r>
          </w:p>
        </w:tc>
        <w:tc>
          <w:tcPr/>
          <w:p>
            <w:pPr>
              <w:pStyle w:val="Compact"/>
            </w:pPr>
            <w:r>
              <w:t xml:space="preserve">0.957</w:t>
            </w:r>
          </w:p>
        </w:tc>
        <w:tc>
          <w:tcPr/>
          <w:p>
            <w:pPr>
              <w:pStyle w:val="Compact"/>
            </w:pPr>
            <w:r>
              <w:t xml:space="preserve">−0.80</w:t>
            </w:r>
          </w:p>
        </w:tc>
        <w:tc>
          <w:tcPr/>
          <w:p>
            <w:pPr>
              <w:pStyle w:val="Compact"/>
            </w:pPr>
            <w:r>
              <w:t xml:space="preserve">0.973</w:t>
            </w:r>
          </w:p>
        </w:tc>
      </w:tr>
      <w:tr>
        <w:tc>
          <w:tcPr/>
          <w:p>
            <w:pPr>
              <w:pStyle w:val="Compact"/>
            </w:pPr>
            <w:r>
              <w:t xml:space="preserve">FastANI, held-out</w:t>
            </w:r>
          </w:p>
        </w:tc>
        <w:tc>
          <w:tcPr/>
          <w:p>
            <w:pPr>
              <w:pStyle w:val="Compact"/>
            </w:pPr>
            <w:r>
              <w:t xml:space="preserve">1.83</w:t>
            </w:r>
          </w:p>
        </w:tc>
        <w:tc>
          <w:tcPr/>
          <w:p>
            <w:pPr>
              <w:pStyle w:val="Compact"/>
            </w:pPr>
            <w:r>
              <w:t xml:space="preserve">1.00</w:t>
            </w:r>
          </w:p>
        </w:tc>
        <w:tc>
          <w:tcPr/>
          <w:p>
            <w:pPr>
              <w:pStyle w:val="Compact"/>
            </w:pPr>
            <w:r>
              <w:t xml:space="preserve">0.46</w:t>
            </w:r>
          </w:p>
        </w:tc>
        <w:tc>
          <w:tcPr/>
          <w:p>
            <w:pPr>
              <w:pStyle w:val="Compact"/>
            </w:pPr>
            <w:r>
              <w:t xml:space="preserve">0.36</w:t>
            </w:r>
          </w:p>
        </w:tc>
        <w:tc>
          <w:tcPr/>
          <w:p>
            <w:pPr>
              <w:pStyle w:val="Compact"/>
            </w:pPr>
            <w:r>
              <w:t xml:space="preserve">0.977</w:t>
            </w:r>
          </w:p>
        </w:tc>
        <w:tc>
          <w:tcPr/>
          <w:p>
            <w:pPr>
              <w:pStyle w:val="Compact"/>
            </w:pPr>
            <w:r>
              <w:t xml:space="preserve">−0.91</w:t>
            </w:r>
          </w:p>
        </w:tc>
        <w:tc>
          <w:tcPr/>
          <w:p>
            <w:pPr>
              <w:pStyle w:val="Compact"/>
            </w:pPr>
            <w:r>
              <w:t xml:space="preserve">0.980</w:t>
            </w:r>
          </w:p>
        </w:tc>
      </w:tr>
    </w:tbl>
    <w:p>
      <w:pPr>
        <w:pStyle w:val="BodyText"/>
      </w:pPr>
      <w:r>
        <w:rPr>
          <w:b/>
          <w:bCs/>
        </w:rPr>
        <w:t xml:space="preserve">Table 2 — Enzyme-panel trade-off</w:t>
      </w:r>
      <w:r>
        <w:t xml:space="preserve"> </w:t>
      </w:r>
      <w:r>
        <w:t xml:space="preserve">(tags in chains on a real pair; MAE on real genomes vs skani; MAE on exact-truth simulations). The default panel is the measured optimum for real-genome agreement.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Tags in chains</w:t>
            </w:r>
          </w:p>
        </w:tc>
        <w:tc>
          <w:tcPr/>
          <w:p>
            <w:pPr>
              <w:pStyle w:val="Compact"/>
            </w:pPr>
            <w:r>
              <w:t xml:space="preserve">MAE real</w:t>
            </w:r>
          </w:p>
        </w:tc>
        <w:tc>
          <w:tcPr/>
          <w:p>
            <w:pPr>
              <w:pStyle w:val="Compact"/>
            </w:pPr>
            <w:r>
              <w:t xml:space="preserve">MAE simulated</w:t>
            </w:r>
          </w:p>
        </w:tc>
      </w:tr>
      <w:tr>
        <w:tc>
          <w:tcPr/>
          <w:p>
            <w:pPr>
              <w:pStyle w:val="Compact"/>
            </w:pPr>
            <w:r>
              <w:t xml:space="preserve">4 enzymes (BcgI, AlfI, AloI, FalI) — default</w:t>
            </w:r>
          </w:p>
        </w:tc>
        <w:tc>
          <w:tcPr/>
          <w:p>
            <w:pPr>
              <w:pStyle w:val="Compact"/>
            </w:pPr>
            <w:r>
              <w:t xml:space="preserve">4,874</w:t>
            </w:r>
          </w:p>
        </w:tc>
        <w:tc>
          <w:tcPr/>
          <w:p>
            <w:pPr>
              <w:pStyle w:val="Compact"/>
            </w:pPr>
            <w:r>
              <w:rPr>
                <w:b/>
                <w:bCs/>
              </w:rPr>
              <w:t xml:space="preserve">0.094</w:t>
            </w:r>
          </w:p>
        </w:tc>
        <w:tc>
          <w:tcPr/>
          <w:p>
            <w:pPr>
              <w:pStyle w:val="Compact"/>
            </w:pPr>
            <w:r>
              <w:t xml:space="preserve">0.074</w:t>
            </w:r>
          </w:p>
        </w:tc>
      </w:tr>
      <w:tr>
        <w:tc>
          <w:tcPr/>
          <w:p>
            <w:pPr>
              <w:pStyle w:val="Compact"/>
            </w:pPr>
            <w:r>
              <w:t xml:space="preserve">6 (+BplI, Bsp24I)</w:t>
            </w:r>
          </w:p>
        </w:tc>
        <w:tc>
          <w:tcPr/>
          <w:p>
            <w:pPr>
              <w:pStyle w:val="Compact"/>
            </w:pPr>
            <w:r>
              <w:t xml:space="preserve">6,655</w:t>
            </w:r>
          </w:p>
        </w:tc>
        <w:tc>
          <w:tcPr/>
          <w:p>
            <w:pPr>
              <w:pStyle w:val="Compact"/>
            </w:pPr>
            <w:r>
              <w:t xml:space="preserve">0.167</w:t>
            </w:r>
          </w:p>
        </w:tc>
        <w:tc>
          <w:tcPr/>
          <w:p>
            <w:pPr>
              <w:pStyle w:val="Compact"/>
            </w:pPr>
            <w:r>
              <w:t xml:space="preserve">0.062</w:t>
            </w:r>
          </w:p>
        </w:tc>
      </w:tr>
      <w:tr>
        <w:tc>
          <w:tcPr/>
          <w:p>
            <w:pPr>
              <w:pStyle w:val="Compact"/>
            </w:pPr>
            <w:r>
              <w:t xml:space="preserve">8 (+PpiI, PsrI)</w:t>
            </w:r>
          </w:p>
        </w:tc>
        <w:tc>
          <w:tcPr/>
          <w:p>
            <w:pPr>
              <w:pStyle w:val="Compact"/>
            </w:pPr>
            <w:r>
              <w:t xml:space="preserve">7,314</w:t>
            </w:r>
          </w:p>
        </w:tc>
        <w:tc>
          <w:tcPr/>
          <w:p>
            <w:pPr>
              <w:pStyle w:val="Compact"/>
            </w:pPr>
            <w:r>
              <w:t xml:space="preserve">0.141</w:t>
            </w:r>
          </w:p>
        </w:tc>
        <w:tc>
          <w:tcPr/>
          <w:p>
            <w:pPr>
              <w:pStyle w:val="Compact"/>
            </w:pPr>
            <w:r>
              <w:t xml:space="preserve">0.071</w:t>
            </w:r>
          </w:p>
        </w:tc>
      </w:tr>
      <w:tr>
        <w:tc>
          <w:tcPr/>
          <w:p>
            <w:pPr>
              <w:pStyle w:val="Compact"/>
            </w:pPr>
            <w:r>
              <w:t xml:space="preserve">8 (+CjeI, CjePI instead)</w:t>
            </w:r>
          </w:p>
        </w:tc>
        <w:tc>
          <w:tcPr/>
          <w:p>
            <w:pPr>
              <w:pStyle w:val="Compact"/>
            </w:pPr>
            <w:r>
              <w:t xml:space="preserve">22,141</w:t>
            </w:r>
          </w:p>
        </w:tc>
        <w:tc>
          <w:tcPr/>
          <w:p>
            <w:pPr>
              <w:pStyle w:val="Compact"/>
            </w:pPr>
            <w:r>
              <w:t xml:space="preserve">0.290</w:t>
            </w:r>
          </w:p>
        </w:tc>
        <w:tc>
          <w:tcPr/>
          <w:p>
            <w:pPr>
              <w:pStyle w:val="Compact"/>
            </w:pPr>
            <w:r>
              <w:t xml:space="preserve">0.038</w:t>
            </w:r>
          </w:p>
        </w:tc>
      </w:tr>
      <w:tr>
        <w:tc>
          <w:tcPr/>
          <w:p>
            <w:pPr>
              <w:pStyle w:val="Compact"/>
            </w:pPr>
            <w:r>
              <w:t xml:space="preserve">11 (+PpiI, PsrI, HaeIV)</w:t>
            </w:r>
          </w:p>
        </w:tc>
        <w:tc>
          <w:tcPr/>
          <w:p>
            <w:pPr>
              <w:pStyle w:val="Compact"/>
            </w:pPr>
            <w:r>
              <w:t xml:space="preserve">120,717</w:t>
            </w:r>
          </w:p>
        </w:tc>
        <w:tc>
          <w:tcPr/>
          <w:p>
            <w:pPr>
              <w:pStyle w:val="Compact"/>
            </w:pPr>
            <w:r>
              <w:t xml:space="preserve">0.670</w:t>
            </w:r>
          </w:p>
        </w:tc>
        <w:tc>
          <w:tcPr/>
          <w:p>
            <w:pPr>
              <w:pStyle w:val="Compact"/>
            </w:pPr>
            <w:r>
              <w:t xml:space="preserve">0.133</w:t>
            </w:r>
          </w:p>
        </w:tc>
      </w:tr>
    </w:tbl>
    <w:p>
      <w:pPr>
        <w:pStyle w:val="BodyText"/>
      </w:pPr>
      <w:r>
        <w:rPr>
          <w:b/>
          <w:bCs/>
        </w:rPr>
        <w:t xml:space="preserve">Table 3 — Datasets used in this study.</w:t>
      </w:r>
      <w:r>
        <w:t xml:space="preserve"> </w:t>
      </w:r>
      <w:r>
        <w:t xml:space="preserve">Simulated datasets carry exact truth by construction (counted substitutions; Methods 4.9); real datasets use dnadiff (ANIm or structural) truth unless noted. Figure numbers refer to the main text.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Dataset</w:t>
            </w:r>
          </w:p>
        </w:tc>
        <w:tc>
          <w:tcPr/>
          <w:p>
            <w:pPr>
              <w:pStyle w:val="Compact"/>
            </w:pPr>
            <w:r>
              <w:t xml:space="preserve">Type</w:t>
            </w:r>
          </w:p>
        </w:tc>
        <w:tc>
          <w:tcPr/>
          <w:p>
            <w:pPr>
              <w:pStyle w:val="Compact"/>
            </w:pPr>
            <w:r>
              <w:t xml:space="preserve">Composition</w:t>
            </w:r>
          </w:p>
        </w:tc>
        <w:tc>
          <w:tcPr/>
          <w:p>
            <w:pPr>
              <w:pStyle w:val="Compact"/>
            </w:pPr>
            <w:r>
              <w:t xml:space="preserve">Ground truth</w:t>
            </w:r>
          </w:p>
        </w:tc>
        <w:tc>
          <w:tcPr/>
          <w:p>
            <w:pPr>
              <w:pStyle w:val="Compact"/>
            </w:pPr>
            <w:r>
              <w:t xml:space="preserve">Used in</w:t>
            </w:r>
          </w:p>
        </w:tc>
      </w:tr>
      <w:tr>
        <w:tc>
          <w:tcPr/>
          <w:p>
            <w:pPr>
              <w:pStyle w:val="Compact"/>
            </w:pPr>
            <w:r>
              <w:t xml:space="preserve">1</w:t>
            </w:r>
          </w:p>
        </w:tc>
        <w:tc>
          <w:tcPr/>
          <w:p>
            <w:pPr>
              <w:pStyle w:val="Compact"/>
            </w:pPr>
            <w:r>
              <w:t xml:space="preserve">ANI ladder</w:t>
            </w:r>
          </w:p>
        </w:tc>
        <w:tc>
          <w:tcPr/>
          <w:p>
            <w:pPr>
              <w:pStyle w:val="Compact"/>
            </w:pPr>
            <w:r>
              <w:t xml:space="preserve">simulated</w:t>
            </w:r>
          </w:p>
        </w:tc>
        <w:tc>
          <w:tcPr/>
          <w:p>
            <w:pPr>
              <w:pStyle w:val="Compact"/>
            </w:pPr>
            <w:r>
              <w:t xml:space="preserve">12 levels, 85–99.9% ANI; 400 kb inversion; ± ~46 deletions</w:t>
            </w:r>
          </w:p>
        </w:tc>
        <w:tc>
          <w:tcPr/>
          <w:p>
            <w:pPr>
              <w:pStyle w:val="Compact"/>
            </w:pPr>
            <w:r>
              <w:t xml:space="preserve">exact</w:t>
            </w:r>
          </w:p>
        </w:tc>
        <w:tc>
          <w:tcPr/>
          <w:p>
            <w:pPr>
              <w:pStyle w:val="Compact"/>
            </w:pPr>
            <w:r>
              <w:t xml:space="preserve">Fig. 2</w:t>
            </w:r>
          </w:p>
        </w:tc>
      </w:tr>
      <w:tr>
        <w:tc>
          <w:tcPr/>
          <w:p>
            <w:pPr>
              <w:pStyle w:val="Compact"/>
            </w:pPr>
            <w:r>
              <w:t xml:space="preserve">2</w:t>
            </w:r>
          </w:p>
        </w:tc>
        <w:tc>
          <w:tcPr/>
          <w:p>
            <w:pPr>
              <w:pStyle w:val="Compact"/>
            </w:pPr>
            <w:r>
              <w:t xml:space="preserve">Indel sweep</w:t>
            </w:r>
          </w:p>
        </w:tc>
        <w:tc>
          <w:tcPr/>
          <w:p>
            <w:pPr>
              <w:pStyle w:val="Compact"/>
            </w:pPr>
            <w:r>
              <w:t xml:space="preserve">simulated</w:t>
            </w:r>
          </w:p>
        </w:tc>
        <w:tc>
          <w:tcPr/>
          <w:p>
            <w:pPr>
              <w:pStyle w:val="Compact"/>
            </w:pPr>
            <w:r>
              <w:t xml:space="preserve">ANI 95.000; 0–4 deletions/100 kb</w:t>
            </w:r>
          </w:p>
        </w:tc>
        <w:tc>
          <w:tcPr/>
          <w:p>
            <w:pPr>
              <w:pStyle w:val="Compact"/>
            </w:pPr>
            <w:r>
              <w:t xml:space="preserve">exact</w:t>
            </w:r>
          </w:p>
        </w:tc>
        <w:tc>
          <w:tcPr/>
          <w:p>
            <w:pPr>
              <w:pStyle w:val="Compact"/>
            </w:pPr>
            <w:r>
              <w:t xml:space="preserve">Fig. 3a</w:t>
            </w:r>
          </w:p>
        </w:tc>
      </w:tr>
      <w:tr>
        <w:tc>
          <w:tcPr/>
          <w:p>
            <w:pPr>
              <w:pStyle w:val="Compact"/>
            </w:pPr>
            <w:r>
              <w:t xml:space="preserve">3</w:t>
            </w:r>
          </w:p>
        </w:tc>
        <w:tc>
          <w:tcPr/>
          <w:p>
            <w:pPr>
              <w:pStyle w:val="Compact"/>
            </w:pPr>
            <w:r>
              <w:t xml:space="preserve">Fragmentation ladder</w:t>
            </w:r>
          </w:p>
        </w:tc>
        <w:tc>
          <w:tcPr/>
          <w:p>
            <w:pPr>
              <w:pStyle w:val="Compact"/>
            </w:pPr>
            <w:r>
              <w:t xml:space="preserve">simulated</w:t>
            </w:r>
          </w:p>
        </w:tc>
        <w:tc>
          <w:tcPr/>
          <w:p>
            <w:pPr>
              <w:pStyle w:val="Compact"/>
            </w:pPr>
            <w:r>
              <w:t xml:space="preserve">20–201 contigs; ~50% reverse-complemented</w:t>
            </w:r>
          </w:p>
        </w:tc>
        <w:tc>
          <w:tcPr/>
          <w:p>
            <w:pPr>
              <w:pStyle w:val="Compact"/>
            </w:pPr>
            <w:r>
              <w:t xml:space="preserve">exact</w:t>
            </w:r>
          </w:p>
        </w:tc>
        <w:tc>
          <w:tcPr/>
          <w:p>
            <w:pPr>
              <w:pStyle w:val="Compact"/>
            </w:pPr>
            <w:r>
              <w:t xml:space="preserve">Fig. 3b</w:t>
            </w:r>
          </w:p>
        </w:tc>
      </w:tr>
      <w:tr>
        <w:tc>
          <w:tcPr/>
          <w:p>
            <w:pPr>
              <w:pStyle w:val="Compact"/>
            </w:pPr>
            <w:r>
              <w:t xml:space="preserve">4</w:t>
            </w:r>
          </w:p>
        </w:tc>
        <w:tc>
          <w:tcPr/>
          <w:p>
            <w:pPr>
              <w:pStyle w:val="Compact"/>
            </w:pPr>
            <w:r>
              <w:t xml:space="preserve">GC ladders</w:t>
            </w:r>
          </w:p>
        </w:tc>
        <w:tc>
          <w:tcPr/>
          <w:p>
            <w:pPr>
              <w:pStyle w:val="Compact"/>
            </w:pPr>
            <w:r>
              <w:t xml:space="preserve">simulated</w:t>
            </w:r>
          </w:p>
        </w:tc>
        <w:tc>
          <w:tcPr/>
          <w:p>
            <w:pPr>
              <w:pStyle w:val="Compact"/>
            </w:pPr>
            <w:r>
              <w:t xml:space="preserve">5 real templates, GC 27.2–72.1%</w:t>
            </w:r>
          </w:p>
        </w:tc>
        <w:tc>
          <w:tcPr/>
          <w:p>
            <w:pPr>
              <w:pStyle w:val="Compact"/>
            </w:pPr>
            <w:r>
              <w:t xml:space="preserve">exact</w:t>
            </w:r>
          </w:p>
        </w:tc>
        <w:tc>
          <w:tcPr/>
          <w:p>
            <w:pPr>
              <w:pStyle w:val="Compact"/>
            </w:pPr>
            <w:r>
              <w:t xml:space="preserve">Fig. 3c</w:t>
            </w:r>
          </w:p>
        </w:tc>
      </w:tr>
      <w:tr>
        <w:tc>
          <w:tcPr/>
          <w:p>
            <w:pPr>
              <w:pStyle w:val="Compact"/>
            </w:pPr>
            <w:r>
              <w:t xml:space="preserve">5</w:t>
            </w:r>
          </w:p>
        </w:tc>
        <w:tc>
          <w:tcPr/>
          <w:p>
            <w:pPr>
              <w:pStyle w:val="Compact"/>
            </w:pPr>
            <w:r>
              <w:t xml:space="preserve">Accessory sweep</w:t>
            </w:r>
          </w:p>
        </w:tc>
        <w:tc>
          <w:tcPr/>
          <w:p>
            <w:pPr>
              <w:pStyle w:val="Compact"/>
            </w:pPr>
            <w:r>
              <w:t xml:space="preserve">simulated</w:t>
            </w:r>
          </w:p>
        </w:tc>
        <w:tc>
          <w:tcPr/>
          <w:p>
            <w:pPr>
              <w:pStyle w:val="Compact"/>
            </w:pPr>
            <w:r>
              <w:t xml:space="preserve">core ANI 95.000; 0–50% shuffled accessory</w:t>
            </w:r>
          </w:p>
        </w:tc>
        <w:tc>
          <w:tcPr/>
          <w:p>
            <w:pPr>
              <w:pStyle w:val="Compact"/>
            </w:pPr>
            <w:r>
              <w:t xml:space="preserve">exact</w:t>
            </w:r>
          </w:p>
        </w:tc>
        <w:tc>
          <w:tcPr/>
          <w:p>
            <w:pPr>
              <w:pStyle w:val="Compact"/>
            </w:pPr>
            <w:r>
              <w:t xml:space="preserve">Fig. 3d</w:t>
            </w:r>
          </w:p>
        </w:tc>
      </w:tr>
      <w:tr>
        <w:tc>
          <w:tcPr/>
          <w:p>
            <w:pPr>
              <w:pStyle w:val="Compact"/>
            </w:pPr>
            <w:r>
              <w:t xml:space="preserve">6</w:t>
            </w:r>
          </w:p>
        </w:tc>
        <w:tc>
          <w:tcPr/>
          <w:p>
            <w:pPr>
              <w:pStyle w:val="Compact"/>
            </w:pPr>
            <w:r>
              <w:t xml:space="preserve">Mosaic / rate-heterogeneity</w:t>
            </w:r>
          </w:p>
        </w:tc>
        <w:tc>
          <w:tcPr/>
          <w:p>
            <w:pPr>
              <w:pStyle w:val="Compact"/>
            </w:pPr>
            <w:r>
              <w:t xml:space="preserve">simulated</w:t>
            </w:r>
          </w:p>
        </w:tc>
        <w:tc>
          <w:tcPr/>
          <w:p>
            <w:pPr>
              <w:pStyle w:val="Compact"/>
            </w:pPr>
            <w:r>
              <w:t xml:space="preserve">Gamma(α,α), α = 0.5/1/2, ANI 90–98 + bimodal</w:t>
            </w:r>
          </w:p>
        </w:tc>
        <w:tc>
          <w:tcPr/>
          <w:p>
            <w:pPr>
              <w:pStyle w:val="Compact"/>
            </w:pPr>
            <w:r>
              <w:t xml:space="preserve">exact</w:t>
            </w:r>
          </w:p>
        </w:tc>
        <w:tc>
          <w:tcPr/>
          <w:p>
            <w:pPr>
              <w:pStyle w:val="Compact"/>
            </w:pPr>
            <w:r>
              <w:t xml:space="preserve">Results 2.5, Methods 4.7</w:t>
            </w:r>
          </w:p>
        </w:tc>
      </w:tr>
      <w:tr>
        <w:tc>
          <w:tcPr/>
          <w:p>
            <w:pPr>
              <w:pStyle w:val="Compact"/>
            </w:pPr>
            <w:r>
              <w:t xml:space="preserve">7</w:t>
            </w:r>
          </w:p>
        </w:tc>
        <w:tc>
          <w:tcPr/>
          <w:p>
            <w:pPr>
              <w:pStyle w:val="Compact"/>
            </w:pPr>
            <w:r>
              <w:t xml:space="preserve">Inversion ladder</w:t>
            </w:r>
          </w:p>
        </w:tc>
        <w:tc>
          <w:tcPr/>
          <w:p>
            <w:pPr>
              <w:pStyle w:val="Compact"/>
            </w:pPr>
            <w:r>
              <w:t xml:space="preserve">simulated</w:t>
            </w:r>
          </w:p>
        </w:tc>
        <w:tc>
          <w:tcPr/>
          <w:p>
            <w:pPr>
              <w:pStyle w:val="Compact"/>
            </w:pPr>
            <w:r>
              <w:t xml:space="preserve">ANI 95/98; 0–32 inversions (2 breakpoints each)</w:t>
            </w:r>
          </w:p>
        </w:tc>
        <w:tc>
          <w:tcPr/>
          <w:p>
            <w:pPr>
              <w:pStyle w:val="Compact"/>
            </w:pPr>
            <w:r>
              <w:t xml:space="preserve">exact</w:t>
            </w:r>
          </w:p>
        </w:tc>
        <w:tc>
          <w:tcPr/>
          <w:p>
            <w:pPr>
              <w:pStyle w:val="Compact"/>
            </w:pPr>
            <w:r>
              <w:t xml:space="preserve">Fig. S1</w:t>
            </w:r>
          </w:p>
        </w:tc>
      </w:tr>
      <w:tr>
        <w:tc>
          <w:tcPr/>
          <w:p>
            <w:pPr>
              <w:pStyle w:val="Compact"/>
            </w:pPr>
            <w:r>
              <w:t xml:space="preserve">8</w:t>
            </w:r>
          </w:p>
        </w:tc>
        <w:tc>
          <w:tcPr/>
          <w:p>
            <w:pPr>
              <w:pStyle w:val="Compact"/>
            </w:pPr>
            <w:r>
              <w:t xml:space="preserve">GTDB-ANIm benchmark</w:t>
            </w:r>
          </w:p>
        </w:tc>
        <w:tc>
          <w:tcPr/>
          <w:p>
            <w:pPr>
              <w:pStyle w:val="Compact"/>
            </w:pPr>
            <w:r>
              <w:t xml:space="preserve">real</w:t>
            </w:r>
          </w:p>
        </w:tc>
        <w:tc>
          <w:tcPr/>
          <w:p>
            <w:pPr>
              <w:pStyle w:val="Compact"/>
            </w:pPr>
            <w:r>
              <w:t xml:space="preserve">2,074 GTDB-R207 pairs, 4 bands (475/837/690/72)</w:t>
            </w:r>
          </w:p>
        </w:tc>
        <w:tc>
          <w:tcPr/>
          <w:p>
            <w:pPr>
              <w:pStyle w:val="Compact"/>
            </w:pPr>
            <w:r>
              <w:t xml:space="preserve">dnadiff ANIm</w:t>
            </w:r>
          </w:p>
        </w:tc>
        <w:tc>
          <w:tcPr/>
          <w:p>
            <w:pPr>
              <w:pStyle w:val="Compact"/>
            </w:pPr>
            <w:r>
              <w:t xml:space="preserve">Fig. 8, Table 1</w:t>
            </w:r>
          </w:p>
        </w:tc>
      </w:tr>
      <w:tr>
        <w:tc>
          <w:tcPr/>
          <w:p>
            <w:pPr>
              <w:pStyle w:val="Compact"/>
            </w:pPr>
            <w:r>
              <w:t xml:space="preserve">9</w:t>
            </w:r>
          </w:p>
        </w:tc>
        <w:tc>
          <w:tcPr/>
          <w:p>
            <w:pPr>
              <w:pStyle w:val="Compact"/>
            </w:pPr>
            <w:r>
              <w:t xml:space="preserve">95–99.5% expansion</w:t>
            </w:r>
          </w:p>
        </w:tc>
        <w:tc>
          <w:tcPr/>
          <w:p>
            <w:pPr>
              <w:pStyle w:val="Compact"/>
            </w:pPr>
            <w:r>
              <w:t xml:space="preserve">real</w:t>
            </w:r>
          </w:p>
        </w:tc>
        <w:tc>
          <w:tcPr/>
          <w:p>
            <w:pPr>
              <w:pStyle w:val="Compact"/>
            </w:pPr>
            <w:r>
              <w:t xml:space="preserve">467 pairs; 607 species, 26 phyla</w:t>
            </w:r>
          </w:p>
        </w:tc>
        <w:tc>
          <w:tcPr/>
          <w:p>
            <w:pPr>
              <w:pStyle w:val="Compact"/>
            </w:pPr>
            <w:r>
              <w:t xml:space="preserve">dnadiff ANIm</w:t>
            </w:r>
          </w:p>
        </w:tc>
        <w:tc>
          <w:tcPr/>
          <w:p>
            <w:pPr>
              <w:pStyle w:val="Compact"/>
            </w:pPr>
            <w:r>
              <w:t xml:space="preserve">calibration training</w:t>
            </w:r>
          </w:p>
        </w:tc>
      </w:tr>
      <w:tr>
        <w:tc>
          <w:tcPr/>
          <w:p>
            <w:pPr>
              <w:pStyle w:val="Compact"/>
            </w:pPr>
            <w:r>
              <w:t xml:space="preserve">10</w:t>
            </w:r>
          </w:p>
        </w:tc>
        <w:tc>
          <w:tcPr/>
          <w:p>
            <w:pPr>
              <w:pStyle w:val="Compact"/>
            </w:pPr>
            <w:r>
              <w:t xml:space="preserve">GTDB scale set</w:t>
            </w:r>
          </w:p>
        </w:tc>
        <w:tc>
          <w:tcPr/>
          <w:p>
            <w:pPr>
              <w:pStyle w:val="Compact"/>
            </w:pPr>
            <w:r>
              <w:t xml:space="preserve">real</w:t>
            </w:r>
          </w:p>
        </w:tc>
        <w:tc>
          <w:tcPr/>
          <w:p>
            <w:pPr>
              <w:pStyle w:val="Compact"/>
            </w:pPr>
            <w:r>
              <w:t xml:space="preserve">45,000 pairs, taxonomic-level stratified</w:t>
            </w:r>
          </w:p>
        </w:tc>
        <w:tc>
          <w:tcPr/>
          <w:p>
            <w:pPr>
              <w:pStyle w:val="Compact"/>
            </w:pPr>
            <w:r>
              <w:t xml:space="preserve">FastANI (672 pairs)</w:t>
            </w:r>
          </w:p>
        </w:tc>
        <w:tc>
          <w:tcPr/>
          <w:p>
            <w:pPr>
              <w:pStyle w:val="Compact"/>
            </w:pPr>
            <w:r>
              <w:t xml:space="preserve">Fig. 6</w:t>
            </w:r>
          </w:p>
        </w:tc>
      </w:tr>
      <w:tr>
        <w:tc>
          <w:tcPr/>
          <w:p>
            <w:pPr>
              <w:pStyle w:val="Compact"/>
            </w:pPr>
            <w:r>
              <w:t xml:space="preserve">11</w:t>
            </w:r>
          </w:p>
        </w:tc>
        <w:tc>
          <w:tcPr/>
          <w:p>
            <w:pPr>
              <w:pStyle w:val="Compact"/>
            </w:pPr>
            <w:r>
              <w:t xml:space="preserve">Mid-ANI set</w:t>
            </w:r>
          </w:p>
        </w:tc>
        <w:tc>
          <w:tcPr/>
          <w:p>
            <w:pPr>
              <w:pStyle w:val="Compact"/>
            </w:pPr>
            <w:r>
              <w:t xml:space="preserve">real</w:t>
            </w:r>
          </w:p>
        </w:tc>
        <w:tc>
          <w:tcPr/>
          <w:p>
            <w:pPr>
              <w:pStyle w:val="Compact"/>
            </w:pPr>
            <w:r>
              <w:t xml:space="preserve">15 pairs, ANIm 87.6–90.2</w:t>
            </w:r>
          </w:p>
        </w:tc>
        <w:tc>
          <w:tcPr/>
          <w:p>
            <w:pPr>
              <w:pStyle w:val="Compact"/>
            </w:pPr>
            <w:r>
              <w:t xml:space="preserve">dnadiff ANIm</w:t>
            </w:r>
          </w:p>
        </w:tc>
        <w:tc>
          <w:tcPr/>
          <w:p>
            <w:pPr>
              <w:pStyle w:val="Compact"/>
            </w:pPr>
            <w:r>
              <w:t xml:space="preserve">Fig. 5</w:t>
            </w:r>
          </w:p>
        </w:tc>
      </w:tr>
      <w:tr>
        <w:tc>
          <w:tcPr/>
          <w:p>
            <w:pPr>
              <w:pStyle w:val="Compact"/>
            </w:pPr>
            <w:r>
              <w:t xml:space="preserve">12</w:t>
            </w:r>
          </w:p>
        </w:tc>
        <w:tc>
          <w:tcPr/>
          <w:p>
            <w:pPr>
              <w:pStyle w:val="Compact"/>
            </w:pPr>
            <w:r>
              <w:t xml:space="preserve">Oral/gut set</w:t>
            </w:r>
          </w:p>
        </w:tc>
        <w:tc>
          <w:tcPr/>
          <w:p>
            <w:pPr>
              <w:pStyle w:val="Compact"/>
            </w:pPr>
            <w:r>
              <w:t xml:space="preserve">real</w:t>
            </w:r>
          </w:p>
        </w:tc>
        <w:tc>
          <w:tcPr/>
          <w:p>
            <w:pPr>
              <w:pStyle w:val="Compact"/>
            </w:pPr>
            <w:r>
              <w:t xml:space="preserve">50 genomes, 10 species (5 oral + 5 gut); 1,225 pairs</w:t>
            </w:r>
          </w:p>
        </w:tc>
        <w:tc>
          <w:tcPr/>
          <w:p>
            <w:pPr>
              <w:pStyle w:val="Compact"/>
            </w:pPr>
            <w:r>
              <w:t xml:space="preserve">FastANI/skani (100 same-species)</w:t>
            </w:r>
          </w:p>
        </w:tc>
        <w:tc>
          <w:tcPr/>
          <w:p>
            <w:pPr>
              <w:pStyle w:val="Compact"/>
            </w:pPr>
            <w:r>
              <w:t xml:space="preserve">Results 2.6</w:t>
            </w:r>
          </w:p>
        </w:tc>
      </w:tr>
      <w:tr>
        <w:tc>
          <w:tcPr/>
          <w:p>
            <w:pPr>
              <w:pStyle w:val="Compact"/>
            </w:pPr>
            <w:r>
              <w:t xml:space="preserve">13</w:t>
            </w:r>
          </w:p>
        </w:tc>
        <w:tc>
          <w:tcPr/>
          <w:p>
            <w:pPr>
              <w:pStyle w:val="Compact"/>
            </w:pPr>
            <w:r>
              <w:t xml:space="preserve">Enterobacteriaceae completes</w:t>
            </w:r>
          </w:p>
        </w:tc>
        <w:tc>
          <w:tcPr/>
          <w:p>
            <w:pPr>
              <w:pStyle w:val="Compact"/>
            </w:pPr>
            <w:r>
              <w:t xml:space="preserve">real</w:t>
            </w:r>
          </w:p>
        </w:tc>
        <w:tc>
          <w:tcPr/>
          <w:p>
            <w:pPr>
              <w:pStyle w:val="Compact"/>
            </w:pPr>
            <w:r>
              <w:t xml:space="preserve">13 chromosomes vs MG1655, ANI ~81–99.99</w:t>
            </w:r>
          </w:p>
        </w:tc>
        <w:tc>
          <w:tcPr/>
          <w:p>
            <w:pPr>
              <w:pStyle w:val="Compact"/>
            </w:pPr>
            <w:r>
              <w:t xml:space="preserve">dnadiff structural</w:t>
            </w:r>
          </w:p>
        </w:tc>
        <w:tc>
          <w:tcPr/>
          <w:p>
            <w:pPr>
              <w:pStyle w:val="Compact"/>
            </w:pPr>
            <w:r>
              <w:t xml:space="preserve">Fig. 9</w:t>
            </w:r>
          </w:p>
        </w:tc>
      </w:tr>
      <w:tr>
        <w:tc>
          <w:tcPr/>
          <w:p>
            <w:pPr>
              <w:pStyle w:val="Compact"/>
            </w:pPr>
            <w:r>
              <w:t xml:space="preserve">14</w:t>
            </w:r>
          </w:p>
        </w:tc>
        <w:tc>
          <w:tcPr/>
          <w:p>
            <w:pPr>
              <w:pStyle w:val="Compact"/>
            </w:pPr>
            <w:r>
              <w:t xml:space="preserve">Real drafts</w:t>
            </w:r>
          </w:p>
        </w:tc>
        <w:tc>
          <w:tcPr/>
          <w:p>
            <w:pPr>
              <w:pStyle w:val="Compact"/>
            </w:pPr>
            <w:r>
              <w:t xml:space="preserve">real</w:t>
            </w:r>
          </w:p>
        </w:tc>
        <w:tc>
          <w:tcPr/>
          <w:p>
            <w:pPr>
              <w:pStyle w:val="Compact"/>
            </w:pPr>
            <w:r>
              <w:t xml:space="preserve">8 E. coli assemblies, 88–8,025 contigs; RC controls</w:t>
            </w:r>
          </w:p>
        </w:tc>
        <w:tc>
          <w:tcPr/>
          <w:p>
            <w:pPr>
              <w:pStyle w:val="Compact"/>
            </w:pPr>
            <w:r>
              <w:t xml:space="preserve">complete-genome reference</w:t>
            </w:r>
          </w:p>
        </w:tc>
        <w:tc>
          <w:tcPr/>
          <w:p>
            <w:pPr>
              <w:pStyle w:val="Compact"/>
            </w:pPr>
            <w:r>
              <w:t xml:space="preserve">Results 2.3, Fig. 7</w:t>
            </w:r>
          </w:p>
        </w:tc>
      </w:tr>
      <w:tr>
        <w:tc>
          <w:tcPr/>
          <w:p>
            <w:pPr>
              <w:pStyle w:val="Compact"/>
            </w:pPr>
            <w:r>
              <w:t xml:space="preserve">15</w:t>
            </w:r>
          </w:p>
        </w:tc>
        <w:tc>
          <w:tcPr/>
          <w:p>
            <w:pPr>
              <w:pStyle w:val="Compact"/>
            </w:pPr>
            <w:r>
              <w:t xml:space="preserve">CAMI2 MAG benchmark</w:t>
            </w:r>
          </w:p>
        </w:tc>
        <w:tc>
          <w:tcPr/>
          <w:p>
            <w:pPr>
              <w:pStyle w:val="Compact"/>
            </w:pPr>
            <w:r>
              <w:t xml:space="preserve">real metagenomes</w:t>
            </w:r>
          </w:p>
        </w:tc>
        <w:tc>
          <w:tcPr/>
          <w:p>
            <w:pPr>
              <w:pStyle w:val="Compact"/>
            </w:pPr>
            <w:r>
              <w:t xml:space="preserve">35 samples → 695 bins ≥ 100 kbp</w:t>
            </w:r>
          </w:p>
        </w:tc>
        <w:tc>
          <w:tcPr/>
          <w:p>
            <w:pPr>
              <w:pStyle w:val="Compact"/>
            </w:pPr>
            <w:r>
              <w:t xml:space="preserve">dnadiff ANIm + CAMI2 assignment</w:t>
            </w:r>
          </w:p>
        </w:tc>
        <w:tc>
          <w:tcPr/>
          <w:p>
            <w:pPr>
              <w:pStyle w:val="Compact"/>
            </w:pPr>
            <w:r>
              <w:t xml:space="preserve">Fig. 10</w:t>
            </w:r>
          </w:p>
        </w:tc>
      </w:tr>
      <w:tr>
        <w:tc>
          <w:tcPr/>
          <w:p>
            <w:pPr>
              <w:pStyle w:val="Compact"/>
            </w:pPr>
            <w:r>
              <w:t xml:space="preserve">16</w:t>
            </w:r>
          </w:p>
        </w:tc>
        <w:tc>
          <w:tcPr/>
          <w:p>
            <w:pPr>
              <w:pStyle w:val="Compact"/>
            </w:pPr>
            <w:r>
              <w:t xml:space="preserve">GTDB 50k held-out benchmark</w:t>
            </w:r>
          </w:p>
        </w:tc>
        <w:tc>
          <w:tcPr/>
          <w:p>
            <w:pPr>
              <w:pStyle w:val="Compact"/>
            </w:pPr>
            <w:r>
              <w:t xml:space="preserve">real</w:t>
            </w:r>
          </w:p>
        </w:tc>
        <w:tc>
          <w:tcPr/>
          <w:p>
            <w:pPr>
              <w:pStyle w:val="Compact"/>
            </w:pPr>
            <w:r>
              <w:t xml:space="preserve">43,334 same-genus pairs, 24,831 genomes, 74 phyla; training genomes excluded</w:t>
            </w:r>
          </w:p>
        </w:tc>
        <w:tc>
          <w:tcPr/>
          <w:p>
            <w:pPr>
              <w:pStyle w:val="Compact"/>
            </w:pPr>
            <w:r>
              <w:t xml:space="preserve">dnadiff ANIm</w:t>
            </w:r>
          </w:p>
        </w:tc>
        <w:tc>
          <w:tcPr/>
          <w:p>
            <w:pPr>
              <w:pStyle w:val="Compact"/>
            </w:pPr>
            <w:r>
              <w:t xml:space="preserve">Results 2.5, Table 1</w:t>
            </w:r>
          </w:p>
        </w:tc>
      </w:tr>
    </w:tbl>
    <w:p>
      <w:r>
        <w:pict>
          <v:rect style="width:0;height:1.5pt" o:hralign="center" o:hrstd="t" o:hr="t"/>
        </w:pict>
      </w:r>
    </w:p>
    <w:bookmarkEnd w:id="38"/>
    <w:bookmarkStart w:id="39" w:name="data-availability"/>
    <w:p>
      <w:pPr>
        <w:pStyle w:val="Heading2"/>
      </w:pPr>
      <w:r>
        <w:t xml:space="preserve">Data availability</w:t>
      </w:r>
    </w:p>
    <w:p>
      <w:pPr>
        <w:pStyle w:val="FirstParagraph"/>
      </w:pPr>
      <w:r>
        <w:t xml:space="preserve">All benchmark datasets, ground-truth files, evaluation matrices, and figure-generation scripts are available in the project repository at https://github.com/HuangShiLab/Syn2bANI-paper, including the simulation manifests (exact truth by construction), the 2,074-pair GTDB-R207 ANIm benchmark with per-pair truth and feature matrices (</w:t>
      </w:r>
      <w:r>
        <w:rPr>
          <w:rStyle w:val="VerbatimChar"/>
        </w:rPr>
        <w:t xml:space="preserve">results/panel_by_band/</w:t>
      </w:r>
      <w:r>
        <w:t xml:space="preserve">), the 467-pair 95–99.5% ANIm expansion (</w:t>
      </w:r>
      <w:r>
        <w:rPr>
          <w:rStyle w:val="VerbatimChar"/>
        </w:rPr>
        <w:t xml:space="preserve">results/anim_truth_hi95.tsv</w:t>
      </w:r>
      <w:r>
        <w:t xml:space="preserve">, pipeline</w:t>
      </w:r>
      <w:r>
        <w:t xml:space="preserve"> </w:t>
      </w:r>
      <w:r>
        <w:rPr>
          <w:rStyle w:val="VerbatimChar"/>
        </w:rPr>
        <w:t xml:space="preserve">scripts/hi95_anim/</w:t>
      </w:r>
      <w:r>
        <w:t xml:space="preserve">), the 43,334-pair held-out GTDB-R207 benchmark with per-pair ANIm truth, Syn2bANI output, and analysis (</w:t>
      </w:r>
      <w:r>
        <w:rPr>
          <w:rStyle w:val="VerbatimChar"/>
        </w:rPr>
        <w:t xml:space="preserve">results/gtdb50k/</w:t>
      </w:r>
      <w:r>
        <w:t xml:space="preserve">,</w:t>
      </w:r>
      <w:r>
        <w:t xml:space="preserve"> </w:t>
      </w:r>
      <w:r>
        <w:rPr>
          <w:rStyle w:val="VerbatimChar"/>
        </w:rPr>
        <w:t xml:space="preserve">scripts/gtdb50k/</w:t>
      </w:r>
      <w:r>
        <w:t xml:space="preserve">), the mid-ANI and oral/gut validation matrices, the fragmentation ladders, the SV validation against dnadiff (</w:t>
      </w:r>
      <w:r>
        <w:rPr>
          <w:rStyle w:val="VerbatimChar"/>
        </w:rPr>
        <w:t xml:space="preserve">results/sv_validation/</w:t>
      </w:r>
      <w:r>
        <w:t xml:space="preserve">), the CAMI2 MAG benchmark with per-pair tool output and dnadiff truth (</w:t>
      </w:r>
      <w:r>
        <w:rPr>
          <w:rStyle w:val="VerbatimChar"/>
        </w:rPr>
        <w:t xml:space="preserve">results/mag_validation/</w:t>
      </w:r>
      <w:r>
        <w:t xml:space="preserve">), the synteny benchmark (exact-truth inversion ladder and MAG specificity check,</w:t>
      </w:r>
      <w:r>
        <w:t xml:space="preserve"> </w:t>
      </w:r>
      <w:r>
        <w:rPr>
          <w:rStyle w:val="VerbatimChar"/>
        </w:rPr>
        <w:t xml:space="preserve">results/synteny_bench/</w:t>
      </w:r>
      <w:r>
        <w:t xml:space="preserve">), and the calibration training scripts and models (</w:t>
      </w:r>
      <w:r>
        <w:rPr>
          <w:rStyle w:val="VerbatimChar"/>
        </w:rPr>
        <w:t xml:space="preserve">scripts/calibration_v*.py</w:t>
      </w:r>
      <w:r>
        <w:t xml:space="preserve">,</w:t>
      </w:r>
      <w:r>
        <w:t xml:space="preserve"> </w:t>
      </w:r>
      <w:r>
        <w:rPr>
          <w:rStyle w:val="VerbatimChar"/>
        </w:rPr>
        <w:t xml:space="preserve">results/panel_by_band/linear_cal_v5.json</w:t>
      </w:r>
      <w:r>
        <w:t xml:space="preserve">). GTDB release R207 is available from https://gtdb.ecogenomic.org [11,12]. The reference for all exact-truth simulations is</w:t>
      </w:r>
      <w:r>
        <w:t xml:space="preserve"> </w:t>
      </w:r>
      <w:r>
        <w:rPr>
          <w:i/>
          <w:iCs/>
        </w:rPr>
        <w:t xml:space="preserve">E. coli</w:t>
      </w:r>
      <w:r>
        <w:t xml:space="preserve"> </w:t>
      </w:r>
      <w:r>
        <w:t xml:space="preserve">K-12 MG1655, ENA accession U00096.3. The eight real draft</w:t>
      </w:r>
      <w:r>
        <w:t xml:space="preserve"> </w:t>
      </w:r>
      <w:r>
        <w:rPr>
          <w:i/>
          <w:iCs/>
        </w:rPr>
        <w:t xml:space="preserve">E. coli</w:t>
      </w:r>
      <w:r>
        <w:t xml:space="preserve"> </w:t>
      </w:r>
      <w:r>
        <w:t xml:space="preserve">assemblies are available under accessions GCA_001283865, GCA_001077875, GCA_001284645, GCA_001283245, GCA_001283605, GCA_001284145, GCA_001283205, and GCA_001075925.</w:t>
      </w:r>
    </w:p>
    <w:bookmarkEnd w:id="39"/>
    <w:bookmarkStart w:id="40" w:name="code-availability"/>
    <w:p>
      <w:pPr>
        <w:pStyle w:val="Heading2"/>
      </w:pPr>
      <w:r>
        <w:t xml:space="preserve">Code availability</w:t>
      </w:r>
    </w:p>
    <w:p>
      <w:pPr>
        <w:pStyle w:val="FirstParagraph"/>
      </w:pPr>
      <w:r>
        <w:t xml:space="preserve">Syn2bANI is free and open source (MIT License) at https://github.com/HuangShiLab/Syn2bANI, including the Rust source, integration tests, the exact-truth simulation harness (</w:t>
      </w:r>
      <w:r>
        <w:rPr>
          <w:rStyle w:val="VerbatimChar"/>
        </w:rPr>
        <w:t xml:space="preserve">prototype/</w:t>
      </w:r>
      <w:r>
        <w:t xml:space="preserve">), and the embedded calibration model. The version benchmarked here is 0.1.0 with calibration model v5 (commit</w:t>
      </w:r>
      <w:r>
        <w:t xml:space="preserve"> </w:t>
      </w:r>
      <w:r>
        <w:rPr>
          <w:rStyle w:val="VerbatimChar"/>
        </w:rPr>
        <w:t xml:space="preserve">fe0f36c</w:t>
      </w:r>
      <w:r>
        <w:t xml:space="preserve">); validation snapshots correspond to commits</w:t>
      </w:r>
      <w:r>
        <w:t xml:space="preserve"> </w:t>
      </w:r>
      <w:r>
        <w:rPr>
          <w:rStyle w:val="VerbatimChar"/>
        </w:rPr>
        <w:t xml:space="preserve">98177dc</w:t>
      </w:r>
      <w:r>
        <w:t xml:space="preserve"> </w:t>
      </w:r>
      <w:r>
        <w:t xml:space="preserve">(SV validation) and</w:t>
      </w:r>
      <w:r>
        <w:t xml:space="preserve"> </w:t>
      </w:r>
      <w:r>
        <w:rPr>
          <w:rStyle w:val="VerbatimChar"/>
        </w:rPr>
        <w:t xml:space="preserve">068119c</w:t>
      </w:r>
      <w:r>
        <w:t xml:space="preserve"> </w:t>
      </w:r>
      <w:r>
        <w:t xml:space="preserve">(post-rescue feature matrices). Related projects: Syn2b (https://github.com/HuangShiLab/Syn2b) and Fast2bRAD-M (https://github.com/HuangShiLab/Fast2bRAD-M).</w:t>
      </w:r>
    </w:p>
    <w:bookmarkEnd w:id="40"/>
    <w:bookmarkStart w:id="41" w:name="author-contributions"/>
    <w:p>
      <w:pPr>
        <w:pStyle w:val="Heading2"/>
      </w:pPr>
      <w:r>
        <w:t xml:space="preserve">Author contributions</w:t>
      </w:r>
    </w:p>
    <w:p>
      <w:pPr>
        <w:pStyle w:val="FirstParagraph"/>
      </w:pPr>
      <w:r>
        <w:t xml:space="preserve">[To be determined — placeholder. Suggested: S.H. conceived the project;</w:t>
      </w:r>
      <w:r>
        <w:t xml:space="preserve"> </w:t>
      </w:r>
      <w:hyperlink w:anchor="authors">
        <w:r>
          <w:rPr>
            <w:rStyle w:val="Hyperlink"/>
          </w:rPr>
          <w:t xml:space="preserve">authors</w:t>
        </w:r>
      </w:hyperlink>
      <w:r>
        <w:t xml:space="preserve"> </w:t>
      </w:r>
      <w:r>
        <w:t xml:space="preserve">designed the estimator, implemented the software, performed simulations and validation, and trained the calibration;</w:t>
      </w:r>
      <w:r>
        <w:t xml:space="preserve"> </w:t>
      </w:r>
      <w:hyperlink w:anchor="authors">
        <w:r>
          <w:rPr>
            <w:rStyle w:val="Hyperlink"/>
          </w:rPr>
          <w:t xml:space="preserve">authors</w:t>
        </w:r>
      </w:hyperlink>
      <w:r>
        <w:t xml:space="preserve"> </w:t>
      </w:r>
      <w:r>
        <w:t xml:space="preserve">wrote the manuscript; all authors reviewed it.]</w:t>
      </w:r>
    </w:p>
    <w:bookmarkEnd w:id="41"/>
    <w:bookmarkStart w:id="42" w:name="competing-interests"/>
    <w:p>
      <w:pPr>
        <w:pStyle w:val="Heading2"/>
      </w:pPr>
      <w:r>
        <w:t xml:space="preserve">Competing interests</w:t>
      </w:r>
    </w:p>
    <w:p>
      <w:pPr>
        <w:pStyle w:val="FirstParagraph"/>
      </w:pPr>
      <w:r>
        <w:t xml:space="preserve">[To be determined — placeholder: The authors declare no competing interests.]</w:t>
      </w:r>
    </w:p>
    <w:p>
      <w:r>
        <w:pict>
          <v:rect style="width:0;height:1.5pt" o:hralign="center" o:hrstd="t" o:hr="t"/>
        </w:pict>
      </w:r>
    </w:p>
    <w:bookmarkEnd w:id="42"/>
    <w:bookmarkStart w:id="43" w:name="references"/>
    <w:p>
      <w:pPr>
        <w:pStyle w:val="Heading2"/>
      </w:pPr>
      <w:r>
        <w:t xml:space="preserve">References</w:t>
      </w:r>
    </w:p>
    <w:p>
      <w:pPr>
        <w:pStyle w:val="Compact"/>
        <w:numPr>
          <w:ilvl w:val="0"/>
          <w:numId w:val="1001"/>
        </w:numPr>
      </w:pPr>
      <w:r>
        <w:t xml:space="preserve">Konstantinidis, K. T. &amp; Tiedje, J. M. Genomic insights that advance the species definition for prokaryotes.</w:t>
      </w:r>
      <w:r>
        <w:t xml:space="preserve"> </w:t>
      </w:r>
      <w:r>
        <w:rPr>
          <w:i/>
          <w:iCs/>
        </w:rPr>
        <w:t xml:space="preserve">Proc. Natl. Acad. Sci. USA</w:t>
      </w:r>
      <w:r>
        <w:t xml:space="preserve"> </w:t>
      </w:r>
      <w:r>
        <w:rPr>
          <w:b/>
          <w:bCs/>
        </w:rPr>
        <w:t xml:space="preserve">102</w:t>
      </w:r>
      <w:r>
        <w:t xml:space="preserve">, 2567–2572 (2005).</w:t>
      </w:r>
    </w:p>
    <w:p>
      <w:pPr>
        <w:pStyle w:val="Compact"/>
        <w:numPr>
          <w:ilvl w:val="0"/>
          <w:numId w:val="1001"/>
        </w:numPr>
      </w:pPr>
      <w:r>
        <w:t xml:space="preserve">Jain, C., Rodriguez-R, L. M., Phillippy, A. M., Konstantinidis, K. T. &amp; Aluru, S. High throughput ANI analysis of 90K prokaryotic genomes reveals clear species boundaries.</w:t>
      </w:r>
      <w:r>
        <w:t xml:space="preserve"> </w:t>
      </w:r>
      <w:r>
        <w:rPr>
          <w:i/>
          <w:iCs/>
        </w:rPr>
        <w:t xml:space="preserve">Nat. Commun.</w:t>
      </w:r>
      <w:r>
        <w:t xml:space="preserve"> </w:t>
      </w:r>
      <w:r>
        <w:rPr>
          <w:b/>
          <w:bCs/>
        </w:rPr>
        <w:t xml:space="preserve">9</w:t>
      </w:r>
      <w:r>
        <w:t xml:space="preserve">, 5114 (2018).</w:t>
      </w:r>
    </w:p>
    <w:p>
      <w:pPr>
        <w:pStyle w:val="Compact"/>
        <w:numPr>
          <w:ilvl w:val="0"/>
          <w:numId w:val="1001"/>
        </w:numPr>
      </w:pPr>
      <w:r>
        <w:t xml:space="preserve">Bowers, R. M. et al. Minimum information about a metagenome-assembled genome (MIMAG) of bacteria and archaea.</w:t>
      </w:r>
      <w:r>
        <w:t xml:space="preserve"> </w:t>
      </w:r>
      <w:r>
        <w:rPr>
          <w:i/>
          <w:iCs/>
        </w:rPr>
        <w:t xml:space="preserve">Nat. Biotechnol.</w:t>
      </w:r>
      <w:r>
        <w:t xml:space="preserve"> </w:t>
      </w:r>
      <w:r>
        <w:rPr>
          <w:b/>
          <w:bCs/>
        </w:rPr>
        <w:t xml:space="preserve">35</w:t>
      </w:r>
      <w:r>
        <w:t xml:space="preserve">, 725–731 (2017).</w:t>
      </w:r>
    </w:p>
    <w:p>
      <w:pPr>
        <w:pStyle w:val="Compact"/>
        <w:numPr>
          <w:ilvl w:val="0"/>
          <w:numId w:val="1001"/>
        </w:numPr>
      </w:pPr>
      <w:r>
        <w:t xml:space="preserve">Marçais, G. et al. MUMmer4: A fast and versatile genome alignment system.</w:t>
      </w:r>
      <w:r>
        <w:t xml:space="preserve"> </w:t>
      </w:r>
      <w:r>
        <w:rPr>
          <w:i/>
          <w:iCs/>
        </w:rPr>
        <w:t xml:space="preserve">PLoS Comput. Biol.</w:t>
      </w:r>
      <w:r>
        <w:t xml:space="preserve"> </w:t>
      </w:r>
      <w:r>
        <w:rPr>
          <w:b/>
          <w:bCs/>
        </w:rPr>
        <w:t xml:space="preserve">14</w:t>
      </w:r>
      <w:r>
        <w:t xml:space="preserve">, e1005944 (2018).</w:t>
      </w:r>
    </w:p>
    <w:p>
      <w:pPr>
        <w:pStyle w:val="Compact"/>
        <w:numPr>
          <w:ilvl w:val="0"/>
          <w:numId w:val="1001"/>
        </w:numPr>
      </w:pPr>
      <w:r>
        <w:t xml:space="preserve">Richter, M. &amp; Rosselló-Móra, R. Shifting the genomic gold standard for the prokaryotic species definition.</w:t>
      </w:r>
      <w:r>
        <w:t xml:space="preserve"> </w:t>
      </w:r>
      <w:r>
        <w:rPr>
          <w:i/>
          <w:iCs/>
        </w:rPr>
        <w:t xml:space="preserve">Proc. Natl. Acad. Sci. USA</w:t>
      </w:r>
      <w:r>
        <w:t xml:space="preserve"> </w:t>
      </w:r>
      <w:r>
        <w:rPr>
          <w:b/>
          <w:bCs/>
        </w:rPr>
        <w:t xml:space="preserve">106</w:t>
      </w:r>
      <w:r>
        <w:t xml:space="preserve">, 19126–19131 (2009).</w:t>
      </w:r>
    </w:p>
    <w:p>
      <w:pPr>
        <w:pStyle w:val="Compact"/>
        <w:numPr>
          <w:ilvl w:val="0"/>
          <w:numId w:val="1001"/>
        </w:numPr>
      </w:pPr>
      <w:r>
        <w:t xml:space="preserve">Shaw, J. &amp; Yu, Y. W. Fast and robust metagenomic sequence comparison through sparse chaining with skani.</w:t>
      </w:r>
      <w:r>
        <w:t xml:space="preserve"> </w:t>
      </w:r>
      <w:r>
        <w:rPr>
          <w:i/>
          <w:iCs/>
        </w:rPr>
        <w:t xml:space="preserve">Nat. Methods</w:t>
      </w:r>
      <w:r>
        <w:t xml:space="preserve"> </w:t>
      </w:r>
      <w:r>
        <w:rPr>
          <w:b/>
          <w:bCs/>
        </w:rPr>
        <w:t xml:space="preserve">20</w:t>
      </w:r>
      <w:r>
        <w:t xml:space="preserve">, 1661–1665 (2023).</w:t>
      </w:r>
    </w:p>
    <w:p>
      <w:pPr>
        <w:pStyle w:val="Compact"/>
        <w:numPr>
          <w:ilvl w:val="0"/>
          <w:numId w:val="1001"/>
        </w:numPr>
      </w:pPr>
      <w:r>
        <w:t xml:space="preserve">Wang, S., Meyer, E., McKay, J. K. &amp; Matz, M. V. 2b-RAD: a simple and flexible method for genome-wide genotyping.</w:t>
      </w:r>
      <w:r>
        <w:t xml:space="preserve"> </w:t>
      </w:r>
      <w:r>
        <w:rPr>
          <w:i/>
          <w:iCs/>
        </w:rPr>
        <w:t xml:space="preserve">Nat. Methods</w:t>
      </w:r>
      <w:r>
        <w:t xml:space="preserve"> </w:t>
      </w:r>
      <w:r>
        <w:rPr>
          <w:b/>
          <w:bCs/>
        </w:rPr>
        <w:t xml:space="preserve">9</w:t>
      </w:r>
      <w:r>
        <w:t xml:space="preserve">, 808–810 (2012).</w:t>
      </w:r>
    </w:p>
    <w:p>
      <w:pPr>
        <w:pStyle w:val="Compact"/>
        <w:numPr>
          <w:ilvl w:val="0"/>
          <w:numId w:val="1001"/>
        </w:numPr>
      </w:pPr>
      <w:r>
        <w:t xml:space="preserve">Sun, Z., Huang, S., Zhu, P. et al. Species-resolved sequencing of low-biomass or degraded microbiomes using 2bRAD-M.</w:t>
      </w:r>
      <w:r>
        <w:t xml:space="preserve"> </w:t>
      </w:r>
      <w:r>
        <w:rPr>
          <w:i/>
          <w:iCs/>
        </w:rPr>
        <w:t xml:space="preserve">Genome Biol.</w:t>
      </w:r>
      <w:r>
        <w:t xml:space="preserve"> </w:t>
      </w:r>
      <w:r>
        <w:rPr>
          <w:b/>
          <w:bCs/>
        </w:rPr>
        <w:t xml:space="preserve">23</w:t>
      </w:r>
      <w:r>
        <w:t xml:space="preserve">, 36 (2022).</w:t>
      </w:r>
    </w:p>
    <w:p>
      <w:pPr>
        <w:pStyle w:val="Compact"/>
        <w:numPr>
          <w:ilvl w:val="0"/>
          <w:numId w:val="1001"/>
        </w:numPr>
      </w:pPr>
      <w:r>
        <w:t xml:space="preserve">Yang, Z. Maximum likelihood phylogenetic estimation from DNA sequences with variable rates over sites: approximate methods.</w:t>
      </w:r>
      <w:r>
        <w:t xml:space="preserve"> </w:t>
      </w:r>
      <w:r>
        <w:rPr>
          <w:i/>
          <w:iCs/>
        </w:rPr>
        <w:t xml:space="preserve">J. Mol. Evol.</w:t>
      </w:r>
      <w:r>
        <w:t xml:space="preserve"> </w:t>
      </w:r>
      <w:r>
        <w:rPr>
          <w:b/>
          <w:bCs/>
        </w:rPr>
        <w:t xml:space="preserve">39</w:t>
      </w:r>
      <w:r>
        <w:t xml:space="preserve">, 306–314 (1994).</w:t>
      </w:r>
    </w:p>
    <w:p>
      <w:pPr>
        <w:pStyle w:val="Compact"/>
        <w:numPr>
          <w:ilvl w:val="0"/>
          <w:numId w:val="1001"/>
        </w:numPr>
      </w:pPr>
      <w:r>
        <w:t xml:space="preserve">Enav, H., Paz, I. &amp; Ley, R. E. Strain tracking in complex microbiomes using synteny analysis reveals per-species modes of evolution.</w:t>
      </w:r>
      <w:r>
        <w:t xml:space="preserve"> </w:t>
      </w:r>
      <w:r>
        <w:rPr>
          <w:i/>
          <w:iCs/>
        </w:rPr>
        <w:t xml:space="preserve">Nat. Biotechnol.</w:t>
      </w:r>
      <w:r>
        <w:t xml:space="preserve"> </w:t>
      </w:r>
      <w:r>
        <w:t xml:space="preserve">(2024). https://doi.org/10.1038/s41587-024-02276-2</w:t>
      </w:r>
    </w:p>
    <w:p>
      <w:pPr>
        <w:pStyle w:val="Compact"/>
        <w:numPr>
          <w:ilvl w:val="0"/>
          <w:numId w:val="1001"/>
        </w:numPr>
      </w:pPr>
      <w:r>
        <w:t xml:space="preserve">Parks, D. H. et al. A standardized bacterial taxonomy based on genome phylogeny substantially revises the tree of life.</w:t>
      </w:r>
      <w:r>
        <w:t xml:space="preserve"> </w:t>
      </w:r>
      <w:r>
        <w:rPr>
          <w:i/>
          <w:iCs/>
        </w:rPr>
        <w:t xml:space="preserve">Nat. Biotechnol.</w:t>
      </w:r>
      <w:r>
        <w:t xml:space="preserve"> </w:t>
      </w:r>
      <w:r>
        <w:rPr>
          <w:b/>
          <w:bCs/>
        </w:rPr>
        <w:t xml:space="preserve">36</w:t>
      </w:r>
      <w:r>
        <w:t xml:space="preserve">, 996–1004 (2018).</w:t>
      </w:r>
    </w:p>
    <w:p>
      <w:pPr>
        <w:pStyle w:val="Compact"/>
        <w:numPr>
          <w:ilvl w:val="0"/>
          <w:numId w:val="1001"/>
        </w:numPr>
      </w:pPr>
      <w:r>
        <w:t xml:space="preserve">Parks, D. H. et al. GTDB: an ongoing census of bacterial and archaeal diversity through a phylogenetically consistent, rank normalized and complete genome-based taxonomy.</w:t>
      </w:r>
      <w:r>
        <w:t xml:space="preserve"> </w:t>
      </w:r>
      <w:r>
        <w:rPr>
          <w:i/>
          <w:iCs/>
        </w:rPr>
        <w:t xml:space="preserve">Nucleic Acids Res.</w:t>
      </w:r>
      <w:r>
        <w:t xml:space="preserve"> </w:t>
      </w:r>
      <w:r>
        <w:rPr>
          <w:b/>
          <w:bCs/>
        </w:rPr>
        <w:t xml:space="preserve">50</w:t>
      </w:r>
      <w:r>
        <w:t xml:space="preserve">, D785–D794 (2022).</w:t>
      </w:r>
    </w:p>
    <w:p>
      <w:pPr>
        <w:pStyle w:val="Compact"/>
        <w:numPr>
          <w:ilvl w:val="0"/>
          <w:numId w:val="1001"/>
        </w:numPr>
      </w:pPr>
      <w:r>
        <w:t xml:space="preserve">needletail: a fast and ergonomic parser for FASTA/FASTQ files. https://github.com/onecodex/needletail</w:t>
      </w:r>
    </w:p>
    <w:p>
      <w:pPr>
        <w:pStyle w:val="Compact"/>
        <w:numPr>
          <w:ilvl w:val="0"/>
          <w:numId w:val="1001"/>
        </w:numPr>
      </w:pPr>
      <w:r>
        <w:t xml:space="preserve">rayon: data parallelism in Rust. https://github.com/rayon-rs/rayon</w:t>
      </w:r>
    </w:p>
    <w:p>
      <w:pPr>
        <w:pStyle w:val="Compact"/>
        <w:numPr>
          <w:ilvl w:val="0"/>
          <w:numId w:val="1001"/>
        </w:numPr>
      </w:pPr>
      <w:r>
        <w:t xml:space="preserve">Ondov, B. D. et al. Mash: fast genome and metagenome distance estimation using MinHash.</w:t>
      </w:r>
      <w:r>
        <w:t xml:space="preserve"> </w:t>
      </w:r>
      <w:r>
        <w:rPr>
          <w:i/>
          <w:iCs/>
        </w:rPr>
        <w:t xml:space="preserve">Genome Biol.</w:t>
      </w:r>
      <w:r>
        <w:t xml:space="preserve"> </w:t>
      </w:r>
      <w:r>
        <w:rPr>
          <w:b/>
          <w:bCs/>
        </w:rPr>
        <w:t xml:space="preserve">17</w:t>
      </w:r>
      <w:r>
        <w:t xml:space="preserve">, 132 (2016).</w:t>
      </w:r>
    </w:p>
    <w:p>
      <w:pPr>
        <w:pStyle w:val="Compact"/>
        <w:numPr>
          <w:ilvl w:val="0"/>
          <w:numId w:val="1001"/>
        </w:numPr>
      </w:pPr>
      <w:r>
        <w:t xml:space="preserve">Olm, M. R., Brown, C. T., Brooks, B. &amp; Banfield, J. F. dRep: a tool for fast and accurate genomic comparisons that enables improved genome recovery from metagenomes through de-replication.</w:t>
      </w:r>
      <w:r>
        <w:t xml:space="preserve"> </w:t>
      </w:r>
      <w:r>
        <w:rPr>
          <w:i/>
          <w:iCs/>
        </w:rPr>
        <w:t xml:space="preserve">ISME J.</w:t>
      </w:r>
      <w:r>
        <w:t xml:space="preserve"> </w:t>
      </w:r>
      <w:r>
        <w:rPr>
          <w:b/>
          <w:bCs/>
        </w:rPr>
        <w:t xml:space="preserve">11</w:t>
      </w:r>
      <w:r>
        <w:t xml:space="preserve">, 2864–2868 (2017).</w:t>
      </w:r>
    </w:p>
    <w:p>
      <w:pPr>
        <w:pStyle w:val="Compact"/>
        <w:numPr>
          <w:ilvl w:val="0"/>
          <w:numId w:val="1001"/>
        </w:numPr>
      </w:pPr>
      <w:r>
        <w:t xml:space="preserve">Clopper, C. J. &amp; Pearson, E. S. The use of confidence or fiducial limits illustrated in the case of the binomial.</w:t>
      </w:r>
      <w:r>
        <w:t xml:space="preserve"> </w:t>
      </w:r>
      <w:r>
        <w:rPr>
          <w:i/>
          <w:iCs/>
        </w:rPr>
        <w:t xml:space="preserve">Biometrika</w:t>
      </w:r>
      <w:r>
        <w:t xml:space="preserve"> </w:t>
      </w:r>
      <w:r>
        <w:rPr>
          <w:b/>
          <w:bCs/>
        </w:rPr>
        <w:t xml:space="preserve">26</w:t>
      </w:r>
      <w:r>
        <w:t xml:space="preserve">, 404–413 (1934).</w:t>
      </w:r>
    </w:p>
    <w:p>
      <w:pPr>
        <w:pStyle w:val="Compact"/>
        <w:numPr>
          <w:ilvl w:val="0"/>
          <w:numId w:val="1001"/>
        </w:numPr>
      </w:pPr>
      <w:r>
        <w:t xml:space="preserve">Pedregosa, F. et al. Scikit-learn: machine learning in Python.</w:t>
      </w:r>
      <w:r>
        <w:t xml:space="preserve"> </w:t>
      </w:r>
      <w:r>
        <w:rPr>
          <w:i/>
          <w:iCs/>
        </w:rPr>
        <w:t xml:space="preserve">J. Mach. Learn. Res.</w:t>
      </w:r>
      <w:r>
        <w:t xml:space="preserve"> </w:t>
      </w:r>
      <w:r>
        <w:rPr>
          <w:b/>
          <w:bCs/>
        </w:rPr>
        <w:t xml:space="preserve">12</w:t>
      </w:r>
      <w:r>
        <w:t xml:space="preserve">, 2825–2830 (2011).</w:t>
      </w:r>
    </w:p>
    <w:p>
      <w:pPr>
        <w:pStyle w:val="Compact"/>
        <w:numPr>
          <w:ilvl w:val="0"/>
          <w:numId w:val="1001"/>
        </w:numPr>
      </w:pPr>
      <w:r>
        <w:t xml:space="preserve">Roberts, R. J., Vincze, T., Posfai, J. &amp; Macelis, D. REBASE — a database for DNA restriction and modification: enzymes, genes and genomes.</w:t>
      </w:r>
      <w:r>
        <w:t xml:space="preserve"> </w:t>
      </w:r>
      <w:r>
        <w:rPr>
          <w:i/>
          <w:iCs/>
        </w:rPr>
        <w:t xml:space="preserve">Nucleic Acids Res.</w:t>
      </w:r>
      <w:r>
        <w:t xml:space="preserve"> </w:t>
      </w:r>
      <w:r>
        <w:rPr>
          <w:b/>
          <w:bCs/>
        </w:rPr>
        <w:t xml:space="preserve">43</w:t>
      </w:r>
      <w:r>
        <w:t xml:space="preserve">, D298–D299 (2015).</w:t>
      </w:r>
    </w:p>
    <w:p>
      <w:r>
        <w:pict>
          <v:rect style="width:0;height:1.5pt" o:hralign="center" o:hrstd="t" o:hr="t"/>
        </w:pict>
      </w:r>
    </w:p>
    <w:p>
      <w:pPr>
        <w:pStyle w:val="FirstParagraph"/>
      </w:pPr>
      <w:r>
        <w:rPr>
          <w:i/>
          <w:iCs/>
        </w:rPr>
        <w:t xml:space="preserve">Manuscript draft v2.0 — body rewritten 2026-08-19 against the v8 chain-restricted MLE estimator, short-contig rescue, and calibration v5 (SIMULATION_AND_PERFORMANCE_REPORT.md); supersedes the GBRT-era draft.</w:t>
      </w:r>
      <w:r>
        <w:t xml:space="preserve"> </w:t>
      </w:r>
      <w:r>
        <w:rPr>
          <w:i/>
          <w:iCs/>
        </w:rPr>
        <w:t xml:space="preserve">Corresponding author: Shi Huang (huangshi@njau.edu.cn)</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2026-08-23T14:29:47Z</dcterms:created>
  <dcterms:modified xsi:type="dcterms:W3CDTF">2026-08-23T14:29:47Z</dcterms:modified>
</cp:coreProperties>
</file>

<file path=docProps/custom.xml><?xml version="1.0" encoding="utf-8"?>
<Properties xmlns="http://schemas.openxmlformats.org/officeDocument/2006/custom-properties" xmlns:vt="http://schemas.openxmlformats.org/officeDocument/2006/docPropsVTypes"/>
</file>