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A unified 80–100% benchmark that combines the strictly held-out 43,334 same-genus pairs with 727 high-ANI test pairs shows the hybrid estimator (raw ≥ 98% / calibrated &lt; 98%) attaining the lowest overall MAE (</w:t>
      </w:r>
      <w:r>
        <w:rPr>
          <w:b/>
          <w:bCs/>
        </w:rPr>
        <w:t xml:space="preserve">0.615</w:t>
      </w:r>
      <w:r>
        <w:t xml:space="preserve">), recovering the strong raw gated performance in the 97–100% regime (MAE 0.23) without degrading 95–97% (Fig. 3). The advantage over skani and FastANI is largest at 80–90% ANI, where the comparators carry a ~1.9-point downward bias. The one-sided upper bound covers ANIm truth on 99.4% of all 43,334 pairs.</w:t>
      </w:r>
    </w:p>
    <w:p>
      <w:pPr>
        <w:pStyle w:val="BodyText"/>
      </w:pPr>
      <w:r>
        <w:t xml:space="preserve">Computational efficiency was measured on the same GTDB-R207 dataset. On 22 genomes, Syn2bANI computes all 484 pairs in 3.73 s from FASTA (2.79 s reusing sketches), against 17.7 s for FastANI and 0.15 s for skani (the latter reports only 302/484 pairs because of its minimum-AF filter and excludes sketching). Peak memory is 58 MB with sketch reuse versus 185 MB (skani) and 912 MB (FastANI).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(Fig. 4). skani remains faster at scale, a trade-off that is stated openly.</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GTDB-R207 high-AF same-species pairs and on four published isolate collections from a recent synteny-based strain-tracking study10. In GTDB-R207, 336 high-AF pairs with Syn2bANI ANI &gt; 99% span a wide range of anchor adjacency, and the 10 most discordant pairs carry 61–989 SV calls despite near-clonal average sequence (Fig. 6). In the Syntracker isolate collections,</w:t>
      </w:r>
      <w:r>
        <w:t xml:space="preserve"> </w:t>
      </w:r>
      <w:r>
        <w:rPr>
          <w:i/>
          <w:iCs/>
        </w:rPr>
        <w:t xml:space="preserve">E. coli</w:t>
      </w:r>
      <w:r>
        <w:t xml:space="preserve"> </w:t>
      </w:r>
      <w:r>
        <w:t xml:space="preserve">hypermutator pairs with ANI &gt; 99.9% show 850–1,130 breakpoints,</w:t>
      </w:r>
      <w:r>
        <w:t xml:space="preserve"> </w:t>
      </w:r>
      <w:r>
        <w:rPr>
          <w:i/>
          <w:iCs/>
        </w:rPr>
        <w:t xml:space="preserve">H. pylori</w:t>
      </w:r>
      <w:r>
        <w:t xml:space="preserve"> </w:t>
      </w:r>
      <w:r>
        <w:t xml:space="preserve">same-host pairs carry 44–63 breakpoints in the lowest-synteny cases, and</w:t>
      </w:r>
      <w:r>
        <w:t xml:space="preserve"> </w:t>
      </w:r>
      <w:r>
        <w:rPr>
          <w:i/>
          <w:iCs/>
        </w:rPr>
        <w:t xml:space="preserve">S. rimosus</w:t>
      </w:r>
      <w:r>
        <w:t xml:space="preserve"> </w:t>
      </w:r>
      <w:r>
        <w:t xml:space="preserve">reaches 2,957 breakpoints at 99.9945% ANI (Supplementary Fig. S8). Two additional collections reinforce the point: 74</w:t>
      </w:r>
      <w:r>
        <w:t xml:space="preserve"> </w:t>
      </w:r>
      <w:r>
        <w:rPr>
          <w:i/>
          <w:iCs/>
        </w:rPr>
        <w:t xml:space="preserve">E. coli</w:t>
      </w:r>
      <w:r>
        <w:t xml:space="preserve"> </w:t>
      </w:r>
      <w:r>
        <w:t xml:space="preserve">O157:H7 genomes (2,701 pairs, all ANI ≥ 99.886%) carry 171–&gt;1,100 breakpoints (Supplementary Fig. S9), and 122 FDA-ARGOS</w:t>
      </w:r>
      <w:r>
        <w:t xml:space="preserve"> </w:t>
      </w:r>
      <w:r>
        <w:rPr>
          <w:i/>
          <w:iCs/>
        </w:rPr>
        <w:t xml:space="preserve">S. aureus</w:t>
      </w:r>
      <w:r>
        <w:t xml:space="preserve"> </w:t>
      </w:r>
      <w:r>
        <w:t xml:space="preserve">genomes (7,381 pairs, mean ANI 98.72%) show &gt;150 breakpoints even at 100% ANI (Supplementary Fig. S10). These collections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derived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raw_inverted_fraction</w:t>
      </w:r>
      <w:r>
        <w:t xml:space="preserve">, avoids the fragmentation confounder by construction. In fixed-reference mode it agrees one-to-one with dnadiff across the held-out set (Pearson r = 0.936) and is near-exact in the strain range (r = 0.996, slope 1.006, intercept −0.004 for ANIm ≥ 97%; Fig. 5a,b).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call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The extended state remained strongly associated with FastBAPS lineage (χ² = 58.75, df = 12, p = 3.8 × 10⁻⁸), but the disease-stage association was attenuated and no longer significant after stratifying by lineage (Cochran–Mantel–Haenszel p = 0.24 for gastric-cancer vs non-atrophic-gastritis presence, p = 0.37 for rearrangement, p = 0.21 and p = 0.49 for the advanced vs early contrasts; Supplementary Table S4). Thus, the architecture–disease signal in this collection is largely driven by lineage structure, not by disease stage per se. The key biological result that survives stratification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29"/>
    <w:bookmarkStart w:id="30"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(Supplementary Fig. S8;</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39"/>
    <w:bookmarkStart w:id="40" w:name="competing-interests"/>
    <w:p>
      <w:pPr>
        <w:pStyle w:val="Heading2"/>
      </w:pPr>
      <w:r>
        <w:t xml:space="preserve">Competing interests</w:t>
      </w:r>
    </w:p>
    <w:p>
      <w:pPr>
        <w:pStyle w:val="FirstParagraph"/>
      </w:pPr>
      <w:r>
        <w:t xml:space="preserve">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43,334 held-out same-genus pairs plus 727 high-ANI test pairs. (a) Estimated vs ANIm truth for Syn2bANI raw gated, v6-calibrated, hybrid (raw ≥98% / calibrated &lt;98%), skani, and FastANI. (b) Per-band MAE. (c) Signed-error distributions. (d) High-ANI zoom.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GTDB-R207.</w:t>
      </w:r>
      <w:r>
        <w:t xml:space="preserve"> </w:t>
      </w:r>
      <w:r>
        <w:t xml:space="preserve">(a) Wall time for pairwise</w:t>
      </w:r>
      <w:r>
        <w:t xml:space="preserve"> </w:t>
      </w:r>
      <w:r>
        <w:rPr>
          <w:rStyle w:val="VerbatimChar"/>
        </w:rPr>
        <w:t xml:space="preserve">dist</w:t>
      </w:r>
      <w:r>
        <w:t xml:space="preserve">, database</w:t>
      </w:r>
      <w:r>
        <w:t xml:space="preserve"> </w:t>
      </w:r>
      <w:r>
        <w:rPr>
          <w:rStyle w:val="VerbatimChar"/>
        </w:rPr>
        <w:t xml:space="preserve">search</w:t>
      </w:r>
      <w:r>
        <w:t xml:space="preserve">, and all-vs-all</w:t>
      </w:r>
      <w:r>
        <w:t xml:space="preserve"> </w:t>
      </w:r>
      <w:r>
        <w:rPr>
          <w:rStyle w:val="VerbatimChar"/>
        </w:rPr>
        <w:t xml:space="preserve">triangle</w:t>
      </w:r>
      <w:r>
        <w:t xml:space="preserve"> </w:t>
      </w:r>
      <w:r>
        <w:t xml:space="preserve">on GTDB-R207 subsets. (b) Peak memory per tool. (c) Throughput (comparisons per second) at database scale. (d) Time breakdown (sketch vs compare vs I/O). Source:</w:t>
      </w:r>
      <w:r>
        <w:t xml:space="preserve"> </w:t>
      </w:r>
      <w:r>
        <w:rPr>
          <w:rStyle w:val="VerbatimChar"/>
        </w:rPr>
        <w:t xml:space="preserve">paper/figures/main/fig4_efficiency.png</w:t>
      </w:r>
      <w:r>
        <w:t xml:space="preserve">.</w:t>
      </w:r>
    </w:p>
    <w:p>
      <w:pPr>
        <w:pStyle w:val="BodyText"/>
      </w:pPr>
      <w:r>
        <w:rPr>
          <w:b/>
          <w:bCs/>
        </w:rPr>
        <w:t xml:space="preserve">Figure 5 | Structural outputs agree with alignment-based truth.</w:t>
      </w:r>
      <w:r>
        <w:t xml:space="preserve"> </w:t>
      </w:r>
      <w:r>
        <w:t xml:space="preserve">(a) Syn2bANI</w:t>
      </w:r>
      <w:r>
        <w:t xml:space="preserve"> </w:t>
      </w:r>
      <w:r>
        <w:rPr>
          <w:rStyle w:val="VerbatimChar"/>
        </w:rPr>
        <w:t xml:space="preserve">raw_inverted_fraction</w:t>
      </w:r>
      <w:r>
        <w:t xml:space="preserve"> </w:t>
      </w:r>
      <w:r>
        <w:t xml:space="preserve">vs dnadiff inverted fraction across GTDB-R207 pairs (Pearson r = 0.936). (b) High-ANI zoom (r ≥ 95% pairs). (c) Partial correlation of</w:t>
      </w:r>
      <w:r>
        <w:t xml:space="preserve"> </w:t>
      </w:r>
      <w:r>
        <w:rPr>
          <w:rStyle w:val="VerbatimChar"/>
        </w:rPr>
        <w:t xml:space="preserve">breakpoint_count</w:t>
      </w:r>
      <w:r>
        <w:t xml:space="preserve"> </w:t>
      </w:r>
      <w:r>
        <w:t xml:space="preserve">vs dnadiff breakpoints after controlling for ANIm and contig count. (d)</w:t>
      </w:r>
      <w:r>
        <w:t xml:space="preserve"> </w:t>
      </w:r>
      <w:r>
        <w:rPr>
          <w:rStyle w:val="VerbatimChar"/>
        </w:rPr>
        <w:t xml:space="preserve">af_query</w:t>
      </w:r>
      <w:r>
        <w:t xml:space="preserve"> </w:t>
      </w:r>
      <w:r>
        <w:t xml:space="preserve">vs dnadiff aligned fraction. Source:</w:t>
      </w:r>
      <w:r>
        <w:t xml:space="preserve"> </w:t>
      </w:r>
      <w:r>
        <w:rPr>
          <w:rStyle w:val="VerbatimChar"/>
        </w:rPr>
        <w:t xml:space="preserve">paper/figures/main/fig5_sv_validation.png</w:t>
      </w:r>
      <w:r>
        <w:t xml:space="preserve">.</w:t>
      </w:r>
    </w:p>
    <w:p>
      <w:pPr>
        <w:pStyle w:val="BodyText"/>
      </w:pPr>
      <w:r>
        <w:rPr>
          <w:b/>
          <w:bCs/>
        </w:rPr>
        <w:t xml:space="preserve">Figure 6 | Near-clonal ANI can coexist with low synteny in GTDB-R207.</w:t>
      </w:r>
      <w:r>
        <w:t xml:space="preserve"> </w:t>
      </w:r>
      <w:r>
        <w:t xml:space="preserve">(a) Syn2bANI ANI versus anchor adjacency for 336 high-AF same-species pairs (grey); top 20 discordant pairs (red) have ANI &gt; 99% but anchor adjacency &lt; 0.95. (b) SV composition of the 10 most discordant pairs, showing that hundreds of inversions and translocations can separate strains with near-identical average sequence. Source:</w:t>
      </w:r>
      <w:r>
        <w:t xml:space="preserve"> </w:t>
      </w:r>
      <w:r>
        <w:rPr>
          <w:rStyle w:val="VerbatimChar"/>
        </w:rPr>
        <w:t xml:space="preserve">paper/figures/main/fig6_ani_sv_discordance.png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and is invisible to ANI.</w:t>
      </w:r>
      <w:r>
        <w:t xml:space="preserve"> </w:t>
      </w:r>
      <w:r>
        <w:t xml:space="preserve">(a) Engineered control validation: wild-type, ΔcagPAI, inversion, translocation, and mutated backgrounds.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FastBAPS lineage is strongly associated with extended state (χ² = 58.75, df = 12, p = 3.8 × 10⁻⁸), but the disease-stage association is not significant after lineage stratification (CMH p ≥ 0.21).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Supplementary Figure S15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2"/>
    <w:bookmarkStart w:id="43" w:name="X2039872a057f86498f6293bbf4ab0196afa571e"/>
    <w:p>
      <w:pPr>
        <w:pStyle w:val="Heading2"/>
      </w:pPr>
      <w:r>
        <w:rPr>
          <w:b/>
          <w:bCs/>
        </w:rPr>
        <w:t xml:space="preserve">Supplementary Figure S16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2026-09-04T11:01:19Z</dcterms:created>
  <dcterms:modified xsi:type="dcterms:W3CDTF">2026-09-04T11:01:19Z</dcterms:modified>
</cp:coreProperties>
</file>

<file path=docProps/custom.xml><?xml version="1.0" encoding="utf-8"?>
<Properties xmlns="http://schemas.openxmlformats.org/officeDocument/2006/custom-properties" xmlns:vt="http://schemas.openxmlformats.org/officeDocument/2006/docPropsVTypes"/>
</file>