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 synteny score, and structural-variant calls.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synteny scores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two structurally informative quantities from the same anchor chains:</w:t>
      </w:r>
      <w:r>
        <w:t xml:space="preserve"> </w:t>
      </w:r>
      <w:r>
        <w:rPr>
          <w:rStyle w:val="VerbatimChar"/>
        </w:rPr>
        <w:t xml:space="preserve">breakpoint_count</w:t>
      </w:r>
      <w:r>
        <w:t xml:space="preserve">, the number of chain-disrupting orientation flips and large indels, and</w:t>
      </w:r>
      <w:r>
        <w:t xml:space="preserve"> </w:t>
      </w:r>
      <w:r>
        <w:rPr>
          <w:rStyle w:val="VerbatimChar"/>
        </w:rPr>
        <w:t xml:space="preserve">synteny_score</w:t>
      </w:r>
      <w:r>
        <w:t xml:space="preserve">, the fraction of the query covered by collinear chains (a coverage-like metric, not a rearrangement count).</w:t>
      </w:r>
    </w:p>
    <w:p>
      <w:pPr>
        <w:pStyle w:val="BodyText"/>
      </w:pPr>
      <w:r>
        <w:t xml:space="preserve">We quantified this on four published isolate collections from a recent synteny-based strain-tracking study10. In a longitudinal</w:t>
      </w:r>
      <w:r>
        <w:t xml:space="preserve"> </w:t>
      </w:r>
      <w:r>
        <w:rPr>
          <w:i/>
          <w:iCs/>
        </w:rPr>
        <w:t xml:space="preserve">E. coli</w:t>
      </w:r>
      <w:r>
        <w:t xml:space="preserve"> </w:t>
      </w:r>
      <w:r>
        <w:t xml:space="preserve">hypermutator lineage, every cross-time pair with ANI &gt;99.9% shows a synteny score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lowest-synteny cases carry 44–63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 synteny score &lt; 0.99 and 2.4% fall below 0.98 — i.e. pairs an ANI-only search would return as near-clonal yet which are structurally divergent.</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Syn2bANI</w:t>
      </w:r>
      <w:r>
        <w:t xml:space="preserve"> </w:t>
      </w:r>
      <w:r>
        <w:rPr>
          <w:rStyle w:val="VerbatimChar"/>
        </w:rPr>
        <w:t xml:space="preserve">breakpoint_count</w:t>
      </w:r>
      <w:r>
        <w:t xml:space="preserve"> </w:t>
      </w:r>
      <w:r>
        <w:t xml:space="preserve">correlates with dnadiff breakpoints (Spearman r = 0.54–0.56) and with dnadiff large indels after a 10 kb gap filter (Spearman r = 0.70);</w:t>
      </w:r>
      <w:r>
        <w:t xml:space="preserve"> </w:t>
      </w:r>
      <w:r>
        <w:rPr>
          <w:rStyle w:val="VerbatimChar"/>
        </w:rPr>
        <w:t xml:space="preserve">synteny_blocks</w:t>
      </w:r>
      <w:r>
        <w:t xml:space="preserve"> </w:t>
      </w:r>
      <w:r>
        <w:t xml:space="preserve">shows similar agreement (Spearman r = 0.61–0.62). An independent minimap2 truth set (standard PAF without CIGAR) gives a moderate positive correlation with</w:t>
      </w:r>
      <w:r>
        <w:t xml:space="preserve"> </w:t>
      </w:r>
      <w:r>
        <w:rPr>
          <w:rStyle w:val="VerbatimChar"/>
        </w:rPr>
        <w:t xml:space="preserve">breakpoint_count</w:t>
      </w:r>
      <w:r>
        <w:t xml:space="preserve"> </w:t>
      </w:r>
      <w:r>
        <w:t xml:space="preserve">(Spearman r = 0.36), consistent with the two aligners resolving rearrangements at different granularities. By contrast,</w:t>
      </w:r>
      <w:r>
        <w:t xml:space="preserve"> </w:t>
      </w:r>
      <w:r>
        <w:rPr>
          <w:rStyle w:val="VerbatimChar"/>
        </w:rPr>
        <w:t xml:space="preserve">synteny_score</w:t>
      </w:r>
      <w:r>
        <w:t xml:space="preserve"> </w:t>
      </w:r>
      <w:r>
        <w:t xml:space="preserve">is essentially uncorrelated with rearrangement count (Spearman r ≈ −0.27 with dnadiff and −0.01 with minimap2), confirming that it reports chain coverage rather than rearrangements. On an engineered</w:t>
      </w:r>
      <w:r>
        <w:t xml:space="preserve"> </w:t>
      </w:r>
      <w:r>
        <w:rPr>
          <w:i/>
          <w:iCs/>
        </w:rPr>
        <w:t xml:space="preserve">H. pylori</w:t>
      </w:r>
      <w:r>
        <w:t xml:space="preserve"> </w:t>
      </w:r>
      <w:r>
        <w:t xml:space="preserve">cagPAI test panel, a 36,154 bp deletion/insertion is recovered as a single insertion call of 36,154 bp (Supplementary Fig. S12).</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that is stated openly.</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and breakpoint counts, synteny blocks, and SV calls provide a second, biologically interpretable axis of comparison.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on all 15 mid-ANI pairs (gamma MAE 4.48 → uniform fallback MAE 1.42),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(scikit-learn29),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9"/>
    <w:bookmarkStart w:id="30"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synteny_score</w:t>
      </w:r>
      <w:r>
        <w:t xml:space="preserve"> </w:t>
      </w:r>
      <w:r>
        <w:t xml:space="preserve">is the fraction of the query genome covered by collinear chains (equivalently, 1 minus the fraction outside chains); it behaves as a coverage/completeness metric and is largely insensitive to the number of rearrangements within the chained fraction.</w:t>
      </w:r>
      <w:r>
        <w:t xml:space="preserve"> </w:t>
      </w:r>
      <w:r>
        <w:rPr>
          <w:rStyle w:val="VerbatimChar"/>
        </w:rPr>
        <w:t xml:space="preserve">af_query</w:t>
      </w:r>
      <w:r>
        <w:t xml:space="preserve"> </w:t>
      </w:r>
      <w:r>
        <w:t xml:space="preserve">and</w:t>
      </w:r>
      <w:r>
        <w:t xml:space="preserve"> </w:t>
      </w:r>
      <w:r>
        <w:rPr>
          <w:rStyle w:val="VerbatimChar"/>
        </w:rPr>
        <w:t xml:space="preserve">af_reference</w:t>
      </w:r>
      <w:r>
        <w:t xml:space="preserve"> </w:t>
      </w:r>
      <w:r>
        <w:t xml:space="preserve">report the aligned fraction in base pairs from the same interpolation.</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synteny_score</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6;</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[To be determined — placeholder.]</w:t>
      </w:r>
    </w:p>
    <w:bookmarkEnd w:id="39"/>
    <w:bookmarkStart w:id="40" w:name="competing-interests"/>
    <w:p>
      <w:pPr>
        <w:pStyle w:val="Heading2"/>
      </w:pPr>
      <w:r>
        <w:t xml:space="preserve">Competing interests</w:t>
      </w:r>
    </w:p>
    <w:p>
      <w:pPr>
        <w:pStyle w:val="FirstParagraph"/>
      </w:pPr>
      <w:r>
        <w:t xml:space="preserve">[To be determined — placeholder: 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synteny score,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synteny score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ANI–synteny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42"/>
    <w:bookmarkStart w:id="43" w:name="Xc726a833e5182f8377620c8e41412d6ae80dab8"/>
    <w:p>
      <w:pPr>
        <w:pStyle w:val="Heading2"/>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on reference contig; core genes 8.8–17.2 kb, peripheral region 17.2–37.1 kb). (b) Boxplot of periphery coverage (17.2–37.1 kb)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figures/report/fig_b_longum_abfa.png</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2;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S3</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 Fig. 5</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5</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Results; Fig. S12</w:t>
            </w:r>
          </w:p>
        </w:tc>
      </w:tr>
      <w:tr>
        <w:tc>
          <w:tcPr/>
          <w:p>
            <w:pPr>
              <w:pStyle w:val="Compact"/>
            </w:pPr>
            <w:r>
              <w:t xml:space="preserve">20</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2026-08-26T17:27:10Z</dcterms:created>
  <dcterms:modified xsi:type="dcterms:W3CDTF">2026-08-26T17:27:10Z</dcterms:modified>
</cp:coreProperties>
</file>

<file path=docProps/custom.xml><?xml version="1.0" encoding="utf-8"?>
<Properties xmlns="http://schemas.openxmlformats.org/officeDocument/2006/custom-properties" xmlns:vt="http://schemas.openxmlformats.org/officeDocument/2006/docPropsVTypes"/>
</file>