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sdt>
      <w:sdtPr>
        <w:rPr>
          <w:rFonts w:ascii="Times New Roman" w:eastAsiaTheme="minorEastAsia" w:hAnsi="Times New Roman" w:cs="Times New Roman"/>
          <w:color w:val="auto"/>
          <w:sz w:val="24"/>
          <w:szCs w:val="24"/>
        </w:rPr>
        <w:id w:val="1720480273"/>
        <w:docPartObj>
          <w:docPartGallery w:val="Table of Contents"/>
          <w:docPartUnique/>
        </w:docPartObj>
      </w:sdtPr>
      <w:sdtContent>
        <w:p w14:paraId="581CD0AC" w14:textId="77777777" w:rsidR="00723756" w:rsidRPr="00F62B8C" w:rsidRDefault="00000000" w:rsidP="00F62B8C">
          <w:pPr>
            <w:pStyle w:val="TOCHeading"/>
            <w:spacing w:before="0" w:after="0" w:line="480" w:lineRule="auto"/>
            <w:rPr>
              <w:rFonts w:ascii="Times New Roman" w:hAnsi="Times New Roman" w:cs="Times New Roman"/>
            </w:rPr>
          </w:pPr>
          <w:r w:rsidRPr="00F62B8C">
            <w:rPr>
              <w:rFonts w:ascii="Times New Roman" w:hAnsi="Times New Roman" w:cs="Times New Roman"/>
            </w:rPr>
            <w:t>Table of Contents</w:t>
          </w:r>
        </w:p>
        <w:p w14:paraId="647E2F7F" w14:textId="77777777" w:rsidR="00DF4A7B" w:rsidRPr="00F62B8C" w:rsidRDefault="00000000" w:rsidP="00F62B8C">
          <w:pPr>
            <w:pStyle w:val="TOC1"/>
            <w:tabs>
              <w:tab w:val="right" w:leader="dot" w:pos="9350"/>
            </w:tabs>
            <w:spacing w:after="0" w:line="480" w:lineRule="auto"/>
            <w:rPr>
              <w:rFonts w:ascii="Times New Roman" w:hAnsi="Times New Roman" w:cs="Times New Roman"/>
              <w:noProof/>
            </w:rPr>
          </w:pPr>
          <w:r w:rsidRPr="00F62B8C">
            <w:rPr>
              <w:rFonts w:ascii="Times New Roman" w:hAnsi="Times New Roman" w:cs="Times New Roman"/>
            </w:rPr>
            <w:fldChar w:fldCharType="begin"/>
          </w:r>
          <w:r w:rsidRPr="00F62B8C">
            <w:rPr>
              <w:rFonts w:ascii="Times New Roman" w:hAnsi="Times New Roman" w:cs="Times New Roman"/>
            </w:rPr>
            <w:instrText>TOC \o "1-3" \h \z \u</w:instrText>
          </w:r>
          <w:r w:rsidRPr="00F62B8C">
            <w:rPr>
              <w:rFonts w:ascii="Times New Roman" w:hAnsi="Times New Roman" w:cs="Times New Roman"/>
            </w:rPr>
            <w:fldChar w:fldCharType="separate"/>
          </w:r>
          <w:hyperlink w:anchor="_Toc240055186" w:history="1">
            <w:r w:rsidR="00DF4A7B" w:rsidRPr="00F62B8C">
              <w:rPr>
                <w:rStyle w:val="Hyperlink"/>
                <w:rFonts w:ascii="Times New Roman" w:hAnsi="Times New Roman" w:cs="Times New Roman"/>
                <w:noProof/>
              </w:rPr>
              <w:t>RustyClean: adaptive, composition-aware host depletion for short-read metagenomics</w:t>
            </w:r>
            <w:r w:rsidR="00DF4A7B" w:rsidRPr="00F62B8C">
              <w:rPr>
                <w:rFonts w:ascii="Times New Roman" w:hAnsi="Times New Roman" w:cs="Times New Roman"/>
                <w:noProof/>
                <w:webHidden/>
              </w:rPr>
              <w:tab/>
            </w:r>
            <w:r w:rsidR="00DF4A7B" w:rsidRPr="00F62B8C">
              <w:rPr>
                <w:rFonts w:ascii="Times New Roman" w:hAnsi="Times New Roman" w:cs="Times New Roman"/>
                <w:noProof/>
                <w:webHidden/>
              </w:rPr>
              <w:fldChar w:fldCharType="begin"/>
            </w:r>
            <w:r w:rsidR="00DF4A7B" w:rsidRPr="00F62B8C">
              <w:rPr>
                <w:rFonts w:ascii="Times New Roman" w:hAnsi="Times New Roman" w:cs="Times New Roman"/>
                <w:noProof/>
                <w:webHidden/>
              </w:rPr>
              <w:instrText xml:space="preserve"> PAGEREF _Toc240055186 \h </w:instrText>
            </w:r>
            <w:r w:rsidR="00DF4A7B" w:rsidRPr="00F62B8C">
              <w:rPr>
                <w:rFonts w:ascii="Times New Roman" w:hAnsi="Times New Roman" w:cs="Times New Roman"/>
                <w:noProof/>
                <w:webHidden/>
              </w:rPr>
            </w:r>
            <w:r w:rsidR="00DF4A7B" w:rsidRPr="00F62B8C">
              <w:rPr>
                <w:rFonts w:ascii="Times New Roman" w:hAnsi="Times New Roman" w:cs="Times New Roman"/>
                <w:noProof/>
                <w:webHidden/>
              </w:rPr>
              <w:fldChar w:fldCharType="separate"/>
            </w:r>
            <w:r w:rsidR="00DF4A7B" w:rsidRPr="00F62B8C">
              <w:rPr>
                <w:rFonts w:ascii="Times New Roman" w:hAnsi="Times New Roman" w:cs="Times New Roman"/>
                <w:noProof/>
                <w:webHidden/>
              </w:rPr>
              <w:t>1</w:t>
            </w:r>
            <w:r w:rsidR="00DF4A7B" w:rsidRPr="00F62B8C">
              <w:rPr>
                <w:rFonts w:ascii="Times New Roman" w:hAnsi="Times New Roman" w:cs="Times New Roman"/>
                <w:noProof/>
                <w:webHidden/>
              </w:rPr>
              <w:fldChar w:fldCharType="end"/>
            </w:r>
          </w:hyperlink>
        </w:p>
        <w:p w14:paraId="57F1133F"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187" w:history="1">
            <w:r w:rsidRPr="00F62B8C">
              <w:rPr>
                <w:rStyle w:val="Hyperlink"/>
                <w:rFonts w:ascii="Times New Roman" w:hAnsi="Times New Roman" w:cs="Times New Roman"/>
                <w:noProof/>
              </w:rPr>
              <w:t>Abstract</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_Toc240055187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567C383E"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188" w:history="1">
            <w:r w:rsidRPr="00F62B8C">
              <w:rPr>
                <w:rStyle w:val="Hyperlink"/>
                <w:rFonts w:ascii="Times New Roman" w:hAnsi="Times New Roman" w:cs="Times New Roman"/>
                <w:noProof/>
              </w:rPr>
              <w:t>1. Introduction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_Toc240055188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768692FD"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189" w:history="1">
            <w:r w:rsidRPr="00F62B8C">
              <w:rPr>
                <w:rStyle w:val="Hyperlink"/>
                <w:rFonts w:ascii="Times New Roman" w:hAnsi="Times New Roman" w:cs="Times New Roman"/>
                <w:noProof/>
              </w:rPr>
              <w:t>2. Methods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_Toc240055189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23C1E667"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0" w:history="1">
            <w:r w:rsidRPr="00F62B8C">
              <w:rPr>
                <w:rStyle w:val="Hyperlink"/>
                <w:rFonts w:ascii="Times New Roman" w:hAnsi="Times New Roman" w:cs="Times New Roman"/>
                <w:noProof/>
              </w:rPr>
              <w:t>2.1 Pipeline overview</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_Toc240055190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0B0C5DF"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1" w:history="1">
            <w:r w:rsidRPr="00F62B8C">
              <w:rPr>
                <w:rStyle w:val="Hyperlink"/>
                <w:rFonts w:ascii="Times New Roman" w:hAnsi="Times New Roman" w:cs="Times New Roman"/>
                <w:noProof/>
              </w:rPr>
              <w:t>2.2 Quality control</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_Toc240055191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78A3EEA6"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2" w:history="1">
            <w:r w:rsidRPr="00F62B8C">
              <w:rPr>
                <w:rStyle w:val="Hyperlink"/>
                <w:rFonts w:ascii="Times New Roman" w:hAnsi="Times New Roman" w:cs="Times New Roman"/>
                <w:noProof/>
              </w:rPr>
              <w:t>2.3 Host fraction estimation and adaptive routing</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_Toc240055192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4407530F"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3" w:history="1">
            <w:r w:rsidRPr="00F62B8C">
              <w:rPr>
                <w:rStyle w:val="Hyperlink"/>
                <w:rFonts w:ascii="Times New Roman" w:hAnsi="Times New Roman" w:cs="Times New Roman"/>
                <w:noProof/>
              </w:rPr>
              <w:t>2.4 Classification-based depletion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_Toc240055193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80A50EC"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4" w:history="1">
            <w:r w:rsidRPr="00F62B8C">
              <w:rPr>
                <w:rStyle w:val="Hyperlink"/>
                <w:rFonts w:ascii="Times New Roman" w:hAnsi="Times New Roman" w:cs="Times New Roman"/>
                <w:noProof/>
              </w:rPr>
              <w:t>2.4a Alternative backends evaluated and not retained</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_Toc240055194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ECF4BD7"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5" w:history="1">
            <w:r w:rsidRPr="00F62B8C">
              <w:rPr>
                <w:rStyle w:val="Hyperlink"/>
                <w:rFonts w:ascii="Times New Roman" w:hAnsi="Times New Roman" w:cs="Times New Roman"/>
                <w:noProof/>
              </w:rPr>
              <w:t>2.5 Alignment-based depletion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_Toc240055195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219D7CB4"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6" w:history="1">
            <w:r w:rsidRPr="00F62B8C">
              <w:rPr>
                <w:rStyle w:val="Hyperlink"/>
                <w:rFonts w:ascii="Times New Roman" w:hAnsi="Times New Roman" w:cs="Times New Roman"/>
                <w:noProof/>
              </w:rPr>
              <w:t>2.6 Optional Bowtie2 verification pass (legacy Kraken2 path)</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_Toc240055196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31C5DA23"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7" w:history="1">
            <w:r w:rsidRPr="00F62B8C">
              <w:rPr>
                <w:rStyle w:val="Hyperlink"/>
                <w:rFonts w:ascii="Times New Roman" w:hAnsi="Times New Roman" w:cs="Times New Roman"/>
                <w:noProof/>
              </w:rPr>
              <w:t>2.7 Validation gate</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_Toc240055197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0E4E34E7"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8" w:history="1">
            <w:r w:rsidRPr="00F62B8C">
              <w:rPr>
                <w:rStyle w:val="Hyperlink"/>
                <w:rFonts w:ascii="Times New Roman" w:hAnsi="Times New Roman" w:cs="Times New Roman"/>
                <w:noProof/>
              </w:rPr>
              <w:t>2.8 Orchestration and implementation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_Toc240055198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95040A1"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199" w:history="1">
            <w:r w:rsidRPr="00F62B8C">
              <w:rPr>
                <w:rStyle w:val="Hyperlink"/>
                <w:rFonts w:ascii="Times New Roman" w:hAnsi="Times New Roman" w:cs="Times New Roman"/>
                <w:noProof/>
              </w:rPr>
              <w:t>2.9 Benchmark design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_Toc240055199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46CC61F7"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0" w:history="1">
            <w:r w:rsidRPr="00F62B8C">
              <w:rPr>
                <w:rStyle w:val="Hyperlink"/>
                <w:rFonts w:ascii="Times New Roman" w:hAnsi="Times New Roman" w:cs="Times New Roman"/>
                <w:noProof/>
              </w:rPr>
              <w:t>2.10 Evaluation metrics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_Toc240055200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29D715C7"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201" w:history="1">
            <w:r w:rsidRPr="00F62B8C">
              <w:rPr>
                <w:rStyle w:val="Hyperlink"/>
                <w:rFonts w:ascii="Times New Roman" w:hAnsi="Times New Roman" w:cs="Times New Roman"/>
                <w:noProof/>
              </w:rPr>
              <w:t>3. Results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_Toc240055201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3B6B2CFD"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2" w:history="1">
            <w:r w:rsidRPr="00F62B8C">
              <w:rPr>
                <w:rStyle w:val="Hyperlink"/>
                <w:rFonts w:ascii="Times New Roman" w:hAnsi="Times New Roman" w:cs="Times New Roman"/>
                <w:noProof/>
              </w:rPr>
              <w:t>3.1 The two depletion strategies fail in opposite directions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_Toc240055202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19A9BA82"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3" w:history="1">
            <w:r w:rsidRPr="00F62B8C">
              <w:rPr>
                <w:rStyle w:val="Hyperlink"/>
                <w:rFonts w:ascii="Times New Roman" w:hAnsi="Times New Roman" w:cs="Times New Roman"/>
                <w:noProof/>
              </w:rPr>
              <w:t>3.2 Per-sample routing selects the appropriate backend</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_Toc240055203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1F64C37A"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4" w:history="1">
            <w:r w:rsidRPr="00F62B8C">
              <w:rPr>
                <w:rStyle w:val="Hyperlink"/>
                <w:rFonts w:ascii="Times New Roman" w:hAnsi="Times New Roman" w:cs="Times New Roman"/>
                <w:noProof/>
              </w:rPr>
              <w:t>3.3 A targeted verification pass resolves the residual-host trade-off</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_Toc240055204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77ABE646"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5" w:history="1">
            <w:r w:rsidRPr="00F62B8C">
              <w:rPr>
                <w:rStyle w:val="Hyperlink"/>
                <w:rFonts w:ascii="Times New Roman" w:hAnsi="Times New Roman" w:cs="Times New Roman"/>
                <w:noProof/>
              </w:rPr>
              <w:t>3.4 Comparison with Hostile</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_Toc240055205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18AE0C29"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6" w:history="1">
            <w:r w:rsidRPr="00F62B8C">
              <w:rPr>
                <w:rStyle w:val="Hyperlink"/>
                <w:rFonts w:ascii="Times New Roman" w:hAnsi="Times New Roman" w:cs="Times New Roman"/>
                <w:noProof/>
              </w:rPr>
              <w:t>3.4a Full enhanced panel with the default Kraken2 + Bowtie2 recheck backend</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_Toc240055206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815369E"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7" w:history="1">
            <w:r w:rsidRPr="00F62B8C">
              <w:rPr>
                <w:rStyle w:val="Hyperlink"/>
                <w:rFonts w:ascii="Times New Roman" w:hAnsi="Times New Roman" w:cs="Times New Roman"/>
                <w:noProof/>
              </w:rPr>
              <w:t>3.5 Memory profile of the default Kraken2 + Bowtie2 recheck path</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_Toc240055207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10DD2E4F"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8" w:history="1">
            <w:r w:rsidRPr="00F62B8C">
              <w:rPr>
                <w:rStyle w:val="Hyperlink"/>
                <w:rFonts w:ascii="Times New Roman" w:hAnsi="Times New Roman" w:cs="Times New Roman"/>
                <w:noProof/>
              </w:rPr>
              <w:t>3.6 The depletion backend is interchangeable</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_Toc240055208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10463730"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09" w:history="1">
            <w:r w:rsidRPr="00F62B8C">
              <w:rPr>
                <w:rStyle w:val="Hyperlink"/>
                <w:rFonts w:ascii="Times New Roman" w:hAnsi="Times New Roman" w:cs="Times New Roman"/>
                <w:noProof/>
              </w:rPr>
              <w:t>3.7 Cross-species host depletion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_Toc240055209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70BFDF89"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10" w:history="1">
            <w:r w:rsidRPr="00F62B8C">
              <w:rPr>
                <w:rStyle w:val="Hyperlink"/>
                <w:rFonts w:ascii="Times New Roman" w:hAnsi="Times New Roman" w:cs="Times New Roman"/>
                <w:noProof/>
              </w:rPr>
              <w:t>3.8 Real-data performance</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_Toc240055210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0BEF8654"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11" w:history="1">
            <w:r w:rsidRPr="00F62B8C">
              <w:rPr>
                <w:rStyle w:val="Hyperlink"/>
                <w:rFonts w:ascii="Times New Roman" w:hAnsi="Times New Roman" w:cs="Times New Roman"/>
                <w:noProof/>
              </w:rPr>
              <w:t>3.9 Parallel scaling against KneadData and Hostile</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_Toc240055211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7F010C38"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212" w:history="1">
            <w:r w:rsidRPr="00F62B8C">
              <w:rPr>
                <w:rStyle w:val="Hyperlink"/>
                <w:rFonts w:ascii="Times New Roman" w:hAnsi="Times New Roman" w:cs="Times New Roman"/>
                <w:noProof/>
              </w:rPr>
              <w:t>4. Discussion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_Toc240055212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63EBA06"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213" w:history="1">
            <w:r w:rsidRPr="00F62B8C">
              <w:rPr>
                <w:rStyle w:val="Hyperlink"/>
                <w:rFonts w:ascii="Times New Roman" w:hAnsi="Times New Roman" w:cs="Times New Roman"/>
                <w:noProof/>
              </w:rPr>
              <w:t>5. Software and data availability</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_Toc240055213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0F7377C9"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214" w:history="1">
            <w:r w:rsidRPr="00F62B8C">
              <w:rPr>
                <w:rStyle w:val="Hyperlink"/>
                <w:rFonts w:ascii="Times New Roman" w:hAnsi="Times New Roman" w:cs="Times New Roman"/>
                <w:noProof/>
              </w:rPr>
              <w:t>6. Target journals and peer-review preparation</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_Toc240055214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5BC71A4E"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15" w:history="1">
            <w:r w:rsidRPr="00F62B8C">
              <w:rPr>
                <w:rStyle w:val="Hyperlink"/>
                <w:rFonts w:ascii="Times New Roman" w:hAnsi="Times New Roman" w:cs="Times New Roman"/>
                <w:noProof/>
              </w:rPr>
              <w:t>6.1 Suggested target venues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_Toc240055215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00491CB3" w14:textId="77777777" w:rsidR="00DF4A7B" w:rsidRPr="00F62B8C" w:rsidRDefault="00DF4A7B" w:rsidP="00F62B8C">
          <w:pPr>
            <w:pStyle w:val="TOC3"/>
            <w:tabs>
              <w:tab w:val="right" w:leader="dot" w:pos="9350"/>
            </w:tabs>
            <w:spacing w:after="0" w:line="480" w:lineRule="auto"/>
            <w:rPr>
              <w:rFonts w:ascii="Times New Roman" w:hAnsi="Times New Roman" w:cs="Times New Roman"/>
              <w:noProof/>
            </w:rPr>
          </w:pPr>
          <w:hyperlink w:anchor="_Toc240055216" w:history="1">
            <w:r w:rsidRPr="00F62B8C">
              <w:rPr>
                <w:rStyle w:val="Hyperlink"/>
                <w:rFonts w:ascii="Times New Roman" w:hAnsi="Times New Roman" w:cs="Times New Roman"/>
                <w:noProof/>
              </w:rPr>
              <w:t>6.2 Anticipated peer-review questions and responses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_Toc240055216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0FDEA3E5"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217" w:history="1">
            <w:r w:rsidRPr="00F62B8C">
              <w:rPr>
                <w:rStyle w:val="Hyperlink"/>
                <w:rFonts w:ascii="Times New Roman" w:hAnsi="Times New Roman" w:cs="Times New Roman"/>
                <w:noProof/>
              </w:rPr>
              <w:t>References</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_Toc240055217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B4249C1" w14:textId="77777777" w:rsidR="00DF4A7B" w:rsidRPr="00F62B8C" w:rsidRDefault="00DF4A7B" w:rsidP="00F62B8C">
          <w:pPr>
            <w:pStyle w:val="TOC2"/>
            <w:tabs>
              <w:tab w:val="right" w:leader="dot" w:pos="9350"/>
            </w:tabs>
            <w:spacing w:after="0" w:line="480" w:lineRule="auto"/>
            <w:rPr>
              <w:rFonts w:ascii="Times New Roman" w:hAnsi="Times New Roman" w:cs="Times New Roman"/>
              <w:noProof/>
            </w:rPr>
          </w:pPr>
          <w:hyperlink w:anchor="_Toc240055218" w:history="1">
            <w:r w:rsidRPr="00F62B8C">
              <w:rPr>
                <w:rStyle w:val="Hyperlink"/>
                <w:rFonts w:ascii="Times New Roman" w:hAnsi="Times New Roman" w:cs="Times New Roman"/>
                <w:noProof/>
              </w:rPr>
              <w:t>Supplementary material</w:t>
            </w:r>
            <w:r w:rsidRPr="00F62B8C">
              <w:rPr>
                <w:rFonts w:ascii="Times New Roman" w:hAnsi="Times New Roman" w:cs="Times New Roman"/>
                <w:noProof/>
                <w:webHidden/>
              </w:rPr>
              <w:tab/>
            </w:r>
            <w:r w:rsidRPr="00F62B8C">
              <w:rPr>
                <w:rFonts w:ascii="Times New Roman" w:hAnsi="Times New Roman" w:cs="Times New Roman"/>
                <w:noProof/>
                <w:webHidden/>
              </w:rPr>
              <w:fldChar w:fldCharType="begin"/>
            </w:r>
            <w:r w:rsidRPr="00F62B8C">
              <w:rPr>
                <w:rFonts w:ascii="Times New Roman" w:hAnsi="Times New Roman" w:cs="Times New Roman"/>
                <w:noProof/>
                <w:webHidden/>
              </w:rPr>
              <w:instrText xml:space="preserve"> PAGEREF _Toc240055218 \h </w:instrText>
            </w:r>
            <w:r w:rsidRPr="00F62B8C">
              <w:rPr>
                <w:rFonts w:ascii="Times New Roman" w:hAnsi="Times New Roman" w:cs="Times New Roman"/>
                <w:noProof/>
                <w:webHidden/>
              </w:rPr>
            </w:r>
            <w:r w:rsidRPr="00F62B8C">
              <w:rPr>
                <w:rFonts w:ascii="Times New Roman" w:hAnsi="Times New Roman" w:cs="Times New Roman"/>
                <w:noProof/>
                <w:webHidden/>
              </w:rPr>
              <w:fldChar w:fldCharType="separate"/>
            </w:r>
            <w:r w:rsidRPr="00F62B8C">
              <w:rPr>
                <w:rFonts w:ascii="Times New Roman" w:hAnsi="Times New Roman" w:cs="Times New Roman"/>
                <w:noProof/>
                <w:webHidden/>
              </w:rPr>
              <w:t>1</w:t>
            </w:r>
            <w:r w:rsidRPr="00F62B8C">
              <w:rPr>
                <w:rFonts w:ascii="Times New Roman" w:hAnsi="Times New Roman" w:cs="Times New Roman"/>
                <w:noProof/>
                <w:webHidden/>
              </w:rPr>
              <w:fldChar w:fldCharType="end"/>
            </w:r>
          </w:hyperlink>
        </w:p>
        <w:p w14:paraId="691456D8"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fldChar w:fldCharType="end"/>
          </w:r>
        </w:p>
      </w:sdtContent>
    </w:sdt>
    <w:p w14:paraId="4C5497BA" w14:textId="77777777" w:rsidR="00723756" w:rsidRPr="00F62B8C" w:rsidRDefault="00000000" w:rsidP="00F62B8C">
      <w:pPr>
        <w:pStyle w:val="Heading1"/>
        <w:spacing w:before="0" w:after="0" w:line="480" w:lineRule="auto"/>
        <w:rPr>
          <w:rFonts w:ascii="Times New Roman" w:hAnsi="Times New Roman" w:cs="Times New Roman"/>
        </w:rPr>
      </w:pPr>
      <w:bookmarkStart w:id="0" w:name="X4a81a7f45dd54dd9fe5c0c194e5d89bc97db72c"/>
      <w:bookmarkStart w:id="1" w:name="_Toc240055186"/>
      <w:r w:rsidRPr="00F62B8C">
        <w:rPr>
          <w:rFonts w:ascii="Times New Roman" w:hAnsi="Times New Roman" w:cs="Times New Roman"/>
        </w:rPr>
        <w:t>RustyClean: adaptive, composition-aware host depletion for short-read metagenomics</w:t>
      </w:r>
      <w:bookmarkEnd w:id="1"/>
    </w:p>
    <w:p w14:paraId="644D8CB1" w14:textId="376700EF"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b/>
          <w:bCs/>
        </w:rPr>
        <w:t>Authors:</w:t>
      </w:r>
      <w:r w:rsidRPr="00F62B8C">
        <w:rPr>
          <w:rFonts w:ascii="Times New Roman" w:hAnsi="Times New Roman" w:cs="Times New Roman"/>
        </w:rPr>
        <w:t xml:space="preserve"> Yufeng Zhang,</w:t>
      </w:r>
      <w:r w:rsidR="00CE3FF2">
        <w:rPr>
          <w:rFonts w:ascii="Times New Roman" w:hAnsi="Times New Roman" w:cs="Times New Roman" w:hint="eastAsia"/>
        </w:rPr>
        <w:t xml:space="preserve"> Jing</w:t>
      </w:r>
      <w:r w:rsidR="00CE3FF2">
        <w:rPr>
          <w:rFonts w:ascii="Times New Roman" w:hAnsi="Times New Roman" w:cs="Times New Roman"/>
        </w:rPr>
        <w:t>-Yi Zhang</w:t>
      </w:r>
      <w:r w:rsidR="008E3E0B">
        <w:rPr>
          <w:rFonts w:ascii="Times New Roman" w:hAnsi="Times New Roman" w:cs="Times New Roman"/>
        </w:rPr>
        <w:t>,</w:t>
      </w:r>
      <w:r w:rsidRPr="00F62B8C">
        <w:rPr>
          <w:rFonts w:ascii="Times New Roman" w:hAnsi="Times New Roman" w:cs="Times New Roman"/>
        </w:rPr>
        <w:t xml:space="preserve"> [co-authors], Shi Huang* </w:t>
      </w:r>
      <w:r w:rsidRPr="00F62B8C">
        <w:rPr>
          <w:rFonts w:ascii="Times New Roman" w:hAnsi="Times New Roman" w:cs="Times New Roman"/>
          <w:b/>
          <w:bCs/>
        </w:rPr>
        <w:t>Affiliation:</w:t>
      </w:r>
      <w:r w:rsidRPr="00F62B8C">
        <w:rPr>
          <w:rFonts w:ascii="Times New Roman" w:hAnsi="Times New Roman" w:cs="Times New Roman"/>
        </w:rPr>
        <w:t xml:space="preserve"> Faculty of Dentistry, The University of Hong Kong, Hong Kong SAR, China </w:t>
      </w:r>
      <w:r w:rsidRPr="00F62B8C">
        <w:rPr>
          <w:rFonts w:ascii="Times New Roman" w:hAnsi="Times New Roman" w:cs="Times New Roman"/>
          <w:b/>
          <w:bCs/>
        </w:rPr>
        <w:t>Correspondence:</w:t>
      </w:r>
      <w:r w:rsidRPr="00F62B8C">
        <w:rPr>
          <w:rFonts w:ascii="Times New Roman" w:hAnsi="Times New Roman" w:cs="Times New Roman"/>
        </w:rPr>
        <w:t xml:space="preserve"> </w:t>
      </w:r>
      <w:r w:rsidR="008E3E0B">
        <w:rPr>
          <w:rFonts w:ascii="Times New Roman" w:hAnsi="Times New Roman" w:cs="Times New Roman"/>
        </w:rPr>
        <w:t>shihuang@hku.hk</w:t>
      </w:r>
    </w:p>
    <w:p w14:paraId="0E1B3F24" w14:textId="77777777" w:rsidR="00723756" w:rsidRPr="00F62B8C" w:rsidRDefault="00000000" w:rsidP="00F62B8C">
      <w:pPr>
        <w:pStyle w:val="Heading2"/>
        <w:spacing w:before="0" w:after="0" w:line="480" w:lineRule="auto"/>
        <w:rPr>
          <w:rFonts w:ascii="Times New Roman" w:hAnsi="Times New Roman" w:cs="Times New Roman"/>
        </w:rPr>
      </w:pPr>
      <w:bookmarkStart w:id="2" w:name="abstract"/>
      <w:bookmarkStart w:id="3" w:name="_Toc240055187"/>
      <w:r w:rsidRPr="00F62B8C">
        <w:rPr>
          <w:rFonts w:ascii="Times New Roman" w:hAnsi="Times New Roman" w:cs="Times New Roman"/>
        </w:rPr>
        <w:t>Abstract</w:t>
      </w:r>
      <w:bookmarkEnd w:id="3"/>
    </w:p>
    <w:p w14:paraId="4651FD94" w14:textId="0B0C933E" w:rsidR="00723756" w:rsidRPr="00F62B8C" w:rsidRDefault="00000000" w:rsidP="00F62B8C">
      <w:pPr>
        <w:pStyle w:val="FirstParagraph"/>
        <w:spacing w:before="0" w:after="0" w:line="480" w:lineRule="auto"/>
        <w:rPr>
          <w:rFonts w:ascii="Times New Roman" w:hAnsi="Times New Roman" w:cs="Times New Roman"/>
        </w:rPr>
      </w:pPr>
      <w:del w:id="20001" w:author="ZHANG Yufeng" w:date="2026-09-11T00:00:00Z">
        <w:r w:rsidRPr="00F62B8C">
          <w:rPr>
            <w:rFonts w:ascii="Times New Roman" w:hAnsi="Times New Roman" w:cs="Times New Roman"/>
          </w:rPr>
          <w:delText xml:space="preserve">Computational depletion of host DNA is a mandatory first step in short-read metagenomics, and its errors propagate silently into every downstream result. Recent benchmarking established that the two dominant strategies fail in opposite directions: alignment-based depletion is prone to false positives, discarding genuine microbial reads, whereas k-mer classification is prone to false </w:delText>
        </w:r>
      </w:del>
      <w:del w:id="20002" w:author="ZHANG Yufeng" w:date="2026-09-11T00:00:00Z">
        <w:r w:rsidRPr="00F62B8C">
          <w:rPr>
            <w:rFonts w:ascii="Times New Roman" w:hAnsi="Times New Roman" w:cs="Times New Roman"/>
          </w:rPr>
          <w:lastRenderedPageBreak/>
          <w:delText>negatives, retaining host reads. Existing pipelines commit to one strategy for every sample and therefore inherit one failure mode unconditionally. We present RustyClean, a host-depletion pipeline that treats this asymmetry as a routing problem rather than a fixed trade-off. RustyClean estimates the host fraction of each sample from a rapid alignment survey of a 100,000-read subsample and routes the sample to alignment- or classification-based depletion accordingly. On simulated metagenomes spanning 1–90% host content with per-read ground truth, adaptive routing selected the appropriate backend in every case, and RustyClean achieved the highest F1 of the four configurations tested. Against KneadData it is about four times faster (median 4.3×) and distributes the two errors differently: KneadData retains slightly more microbial signal (0.26% against 0.34% lost) but leaves eight times as much host behind (0.79% against 0.099%). Against Hostile, per-sample runtime is indistinguishable (median 1.00×) and RustyClean is better on both error axes, discarding 1.94% of microbial reads against Hostile's 2.32%. Under concurrency the picture separates further: on a 120-sample panel at a fixed 16-core budget, RustyClean reached 2.9× KneadData's throughput at each tool's best worker count, while Hostile was faster than RustyClean at every worker count. We also show that peak memory reported as resident set size misranks these tools, overstating Hostile roughly twenty-fold and understating KneadData 3.4-fold; measured as anonymous memory, RustyClean's alignment path is the smallest of all at 0.14 GB, and its cost is confined to the 6.7 GB resident index of the classification path. RustyClean is a single Rust binary with per-stage checkpointing, bounded concurrency and an automated output validation gate, available at https://github.com/HuangShiLab/rustyclean under the MIT licence.</w:delText>
        </w:r>
      </w:del>
      <w:ins w:id="20003" w:author="ZHANG Yufeng" w:date="2026-09-11T00:00:00Z">
        <w:r>
          <w:rPr>
            <w:rFonts w:ascii="Times New Roman" w:hAnsi="Times New Roman" w:cs="Times New Roman"/>
          </w:rPr>
          <w:t xml:space="preserve">Computational depletion of host DNA is a mandatory first step in short-read metagenomics, and its errors propagate silently into every downstream result. Recent benchmarking established that the two dominant strategies fail in opposite directions: alignment-based depletion is prone to false positives, discarding genuine microbial reads, whereas k-mer classification is prone to false negatives, retaining host reads. Existing pipelines commit to one strategy for every sample and therefore inherit one failure mode unconditionally. We present RustyClean, a host-depletion pipeline that treats this asymmetry as a routing problem rather than a fixed trade-off. RustyClean estimates the host fraction of each sample from a rapid alignment survey of a 100,000-read subsample and routes the sample to alignment- or classification-based depletion accordingly. On simulated metagenomes spanning 1–90% host content with per-read ground truth, adaptive routing selected the appropriate backend in every case, and RustyClean achieved the highest F1 of the four configurations tested. Against KneadData it is about four times faster (median 4.3×) and distributes the two errors differently: KneadData clears host slightly better (0.26% against 0.34% retained) at the cost of discarding eight times as much microbial signal (0.79% against 0.099%). Against Hostile, per-sample runtime is indistinguishable (median 1.00×) and the two divide the errors between them: Hostile discards no microbial reads at all, while RustyClean --skip-qc leaves less host behind (1.94% against 2.32%) and reaches the higher F1 (0.9942 against 0.9927). Under concurrency the picture separates further: on a 120-sample panel at a fixed 16-core budget, RustyClean reached 2.9× KneadData's throughput at each tool's best worker count, while Hostile was faster than RustyClean at every worker count. We also show that peak memory reported as resident set size misranks these tools, overstating Hostile roughly twenty-fold and understating KneadData 3.4-fold; measured as anonymous memory, RustyClean's alignment path is the smallest of all at 0.14 GB, and its cost is confined to the 6.7 GB resident index of the classification path. RustyClean is a single Rust binary with per-stage checkpointing, bounded concurrency and an automated output validation gate, available at https://github.com/HuangShiLab/rustyclean under the MIT licence.</w:t>
        </w:r>
      </w:ins>
    </w:p>
    <w:p w14:paraId="5279E4C4"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Keywords:</w:t>
      </w:r>
      <w:r w:rsidRPr="00F62B8C">
        <w:rPr>
          <w:rFonts w:ascii="Times New Roman" w:hAnsi="Times New Roman" w:cs="Times New Roman"/>
        </w:rPr>
        <w:t xml:space="preserve"> metagenomics, host depletion, decontamination, Kraken2, Bowtie2, Rust</w:t>
      </w:r>
    </w:p>
    <w:p w14:paraId="294A106A" w14:textId="77777777" w:rsidR="00723756" w:rsidRPr="00F62B8C" w:rsidRDefault="00000000" w:rsidP="00F62B8C">
      <w:pPr>
        <w:pStyle w:val="Heading2"/>
        <w:spacing w:before="0" w:after="0" w:line="480" w:lineRule="auto"/>
        <w:rPr>
          <w:rFonts w:ascii="Times New Roman" w:hAnsi="Times New Roman" w:cs="Times New Roman"/>
        </w:rPr>
      </w:pPr>
      <w:bookmarkStart w:id="4" w:name="introduction"/>
      <w:bookmarkStart w:id="5" w:name="_Toc240055188"/>
      <w:bookmarkEnd w:id="2"/>
      <w:r w:rsidRPr="00F62B8C">
        <w:rPr>
          <w:rFonts w:ascii="Times New Roman" w:hAnsi="Times New Roman" w:cs="Times New Roman"/>
        </w:rPr>
        <w:lastRenderedPageBreak/>
        <w:t>1. Introduction</w:t>
      </w:r>
      <w:bookmarkEnd w:id="5"/>
    </w:p>
    <w:p w14:paraId="19648ADA"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Shotgun metagenomic sequencing of host-associated samples returns a mixture of microbial and host DNA. The host fraction varies enormously by body site: stool libraries are typically 1–2% human, whereas saliva, dental plaque, skin, and biopsy libraries are routinely 50–90% human or higher. Because host reads consume sequencing budget and distort every downstream estimate, computational host depletion is universally applied before taxonomic profiling, assembly, or metagenome-assembled genome (MAG) recovery.</w:t>
      </w:r>
    </w:p>
    <w:p w14:paraId="412F8697"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 xml:space="preserve">Depletion is a binary classification problem over reads, and like any classifier it can fail in two directions. A </w:t>
      </w:r>
      <w:r w:rsidRPr="00F62B8C">
        <w:rPr>
          <w:rFonts w:ascii="Times New Roman" w:hAnsi="Times New Roman" w:cs="Times New Roman"/>
          <w:b/>
          <w:bCs/>
        </w:rPr>
        <w:t>false positive</w:t>
      </w:r>
      <w:r w:rsidRPr="00F62B8C">
        <w:rPr>
          <w:rFonts w:ascii="Times New Roman" w:hAnsi="Times New Roman" w:cs="Times New Roman"/>
        </w:rPr>
        <w:t xml:space="preserve"> — a microbial read wrongly called host — is an irreversible loss of signal: it biases diversity estimates, distorts relative abundance, and removes evidence that assembly and binning depend on. A </w:t>
      </w:r>
      <w:r w:rsidRPr="00F62B8C">
        <w:rPr>
          <w:rFonts w:ascii="Times New Roman" w:hAnsi="Times New Roman" w:cs="Times New Roman"/>
          <w:b/>
          <w:bCs/>
        </w:rPr>
        <w:t>false negative</w:t>
      </w:r>
      <w:r w:rsidRPr="00F62B8C">
        <w:rPr>
          <w:rFonts w:ascii="Times New Roman" w:hAnsi="Times New Roman" w:cs="Times New Roman"/>
        </w:rPr>
        <w:t xml:space="preserve"> — a host read wrongly retained — is comparatively benign for profiling, since most profilers leave unassignable reads unassigned; but it is not harmless, because residual host DNA contaminates assemblies and raises consent and privacy concerns when data are shared.</w:t>
      </w:r>
    </w:p>
    <w:p w14:paraId="574B2DF0"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These two errors are therefore not interchangeable, and the choice of depletion method determines which one dominates. Our group's recent benchmark of six host-removal tools across human and rice datasets established the pattern directly: alignment-based methods (Bowtie2, BWA, KneadData) exhibited higher false positive rates, while k-mer classification methods (Kraken2, KrakenUniq, KMCP) exhibited higher false negative rates [Gao et al. 2025]. The same study showed that Kraken2's efficiency advantage is substantial — roughly 29 minutes against 209–582 minutes for alignment-based tools, and 0.3 GB against ~18 GB to index the human genome — and that its advantage is most pronounced under high contamination (90%).</w:t>
      </w:r>
    </w:p>
    <w:p w14:paraId="7A2E3D48"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lastRenderedPageBreak/>
        <w:t>That benchmark motivated a natural engineering question, which this work addresses: if Kraken2 is both accurate enough and dramatically faster for host depletion, can it replace the alignment step in production pipelines? Our initial answer was a straightforward substitution. KneadData (McIver et al., 2018), the de facto standard, chains Trimmomatic for quality control, Tandem Repeat Finder for repeat masking, and Bowtie2 for host alignment, orchestrated by a Python wrapper. We replaced this with a two-stage pipeline — fastp for quality control and Kraken2 for host depletion — implemented as a single Rust binary.</w:t>
      </w:r>
    </w:p>
    <w:p w14:paraId="5AF1DEFA"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Two findings during development showed that a simple substitution is insufficient, and they define the contribution of this paper.</w:t>
      </w:r>
    </w:p>
    <w:p w14:paraId="0C040559"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First, the efficiency advantage is conditional on host fraction.</w:t>
      </w:r>
      <w:r w:rsidRPr="00F62B8C">
        <w:rPr>
          <w:rFonts w:ascii="Times New Roman" w:hAnsi="Times New Roman" w:cs="Times New Roman"/>
        </w:rPr>
        <w:t xml:space="preserve"> Kraken2's cost is essentially fixed per read, whereas Bowtie2's cost depends on how many reads must be fully aligned rather than rejected early. At low host fractions, alignment rejects most microbial reads quickly and its index is smaller than a Kraken2 database, so the alignment route is competitive or faster. The advantage inverts as host fraction rises. A pipeline that commits to either method unconditionally is therefore slower than necessary on some fraction of any real cohort.</w:t>
      </w:r>
    </w:p>
    <w:p w14:paraId="114DE9B9"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Second, the false negative rate is not uniformly acceptable.</w:t>
      </w:r>
      <w:r w:rsidRPr="00F62B8C">
        <w:rPr>
          <w:rFonts w:ascii="Times New Roman" w:hAnsi="Times New Roman" w:cs="Times New Roman"/>
        </w:rPr>
        <w:t xml:space="preserve"> At high host fractions, the residual host retained by k-mer classification becomes large in absolute terms even when its rate is modest, because the pool of host reads is large. In this regime, classification alone does not deliver a sufficiently clean library.</w:t>
      </w:r>
    </w:p>
    <w:p w14:paraId="750C0F22"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 xml:space="preserve">RustyClean addresses both by refusing to choose globally. It estimates each sample's host fraction from a rapid subsample and routes that sample to the appropriate depletion strategy; and on the classification route, it applies a targeted alignment pass over the reads Kraken2 retained, recovering the residual host that classification missed. The two mechanisms compose favourably: </w:t>
      </w:r>
      <w:r w:rsidRPr="00F62B8C">
        <w:rPr>
          <w:rFonts w:ascii="Times New Roman" w:hAnsi="Times New Roman" w:cs="Times New Roman"/>
        </w:rPr>
        <w:lastRenderedPageBreak/>
        <w:t>the verification pass is expensive only when the retained set is large, which is precisely the low-host regime that routing sends to alignment anyway.</w:t>
      </w:r>
    </w:p>
    <w:p w14:paraId="6AAD7CA4"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We additionally treat the orchestration layer as a first-class concern. Analysis of a KneadData run log showed that 16% of wall-clock time on a 60M-read sample was spent reformatting read identifiers — a text-processing step performing no biological work. RustyClean implements per-stage checkpointing with content-invalidating input fingerprints, bounded two-level concurrency, and an automated validation gate that prevents truncated or insufficiently decontaminated outputs from being promoted into a results directory.</w:t>
      </w:r>
    </w:p>
    <w:p w14:paraId="1C9391FF"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Contributions.</w:t>
      </w:r>
    </w:p>
    <w:p w14:paraId="6454A51F" w14:textId="77777777" w:rsidR="00723756" w:rsidRPr="00F62B8C" w:rsidRDefault="00000000" w:rsidP="00F62B8C">
      <w:pPr>
        <w:pStyle w:val="Compact"/>
        <w:numPr>
          <w:ilvl w:val="0"/>
          <w:numId w:val="2"/>
        </w:numPr>
        <w:spacing w:before="0" w:after="0" w:line="480" w:lineRule="auto"/>
        <w:rPr>
          <w:rFonts w:ascii="Times New Roman" w:hAnsi="Times New Roman" w:cs="Times New Roman"/>
        </w:rPr>
      </w:pPr>
      <w:r w:rsidRPr="00F62B8C">
        <w:rPr>
          <w:rFonts w:ascii="Times New Roman" w:hAnsi="Times New Roman" w:cs="Times New Roman"/>
        </w:rPr>
        <w:t>A per-sample adaptive routing scheme that selects between k-mer and alignment-based depletion from a cheap host-fraction estimate.</w:t>
      </w:r>
    </w:p>
    <w:p w14:paraId="1E4F8D07" w14:textId="77777777" w:rsidR="00723756" w:rsidRPr="00F62B8C" w:rsidRDefault="00000000" w:rsidP="00F62B8C">
      <w:pPr>
        <w:pStyle w:val="Compact"/>
        <w:numPr>
          <w:ilvl w:val="0"/>
          <w:numId w:val="2"/>
        </w:numPr>
        <w:spacing w:before="0" w:after="0" w:line="480" w:lineRule="auto"/>
        <w:rPr>
          <w:rFonts w:ascii="Times New Roman" w:hAnsi="Times New Roman" w:cs="Times New Roman"/>
        </w:rPr>
      </w:pPr>
      <w:r w:rsidRPr="00F62B8C">
        <w:rPr>
          <w:rFonts w:ascii="Times New Roman" w:hAnsi="Times New Roman" w:cs="Times New Roman"/>
        </w:rPr>
        <w:t>A hybrid two-pass depletion strategy that uses targeted alignment to correct the characteristic false negative bias of k-mer classification.</w:t>
      </w:r>
    </w:p>
    <w:p w14:paraId="6CE1F532" w14:textId="77777777" w:rsidR="00723756" w:rsidRPr="00F62B8C" w:rsidRDefault="00000000" w:rsidP="00F62B8C">
      <w:pPr>
        <w:pStyle w:val="Compact"/>
        <w:numPr>
          <w:ilvl w:val="0"/>
          <w:numId w:val="2"/>
        </w:numPr>
        <w:spacing w:before="0" w:after="0" w:line="480" w:lineRule="auto"/>
        <w:rPr>
          <w:rFonts w:ascii="Times New Roman" w:hAnsi="Times New Roman" w:cs="Times New Roman"/>
        </w:rPr>
      </w:pPr>
      <w:r w:rsidRPr="00F62B8C">
        <w:rPr>
          <w:rFonts w:ascii="Times New Roman" w:hAnsi="Times New Roman" w:cs="Times New Roman"/>
        </w:rPr>
        <w:t>A production-oriented implementation with checkpoint/resume, bounded concurrency, and automated output validation.</w:t>
      </w:r>
    </w:p>
    <w:p w14:paraId="33886D16" w14:textId="77777777" w:rsidR="00723756" w:rsidRPr="00F62B8C" w:rsidRDefault="00000000" w:rsidP="00F62B8C">
      <w:pPr>
        <w:pStyle w:val="Compact"/>
        <w:numPr>
          <w:ilvl w:val="0"/>
          <w:numId w:val="2"/>
        </w:numPr>
        <w:spacing w:before="0" w:after="0" w:line="480" w:lineRule="auto"/>
        <w:rPr>
          <w:rFonts w:ascii="Times New Roman" w:hAnsi="Times New Roman" w:cs="Times New Roman"/>
        </w:rPr>
      </w:pPr>
      <w:r w:rsidRPr="00F62B8C">
        <w:rPr>
          <w:rFonts w:ascii="Times New Roman" w:hAnsi="Times New Roman" w:cs="Times New Roman"/>
        </w:rPr>
        <w:t>An evaluation across 18 simulated datasets with per-read ground truth spanning ten host fractions and six sequencing depths.</w:t>
      </w:r>
    </w:p>
    <w:p w14:paraId="13CDAA74" w14:textId="77777777" w:rsidR="00723756" w:rsidRPr="00F62B8C" w:rsidRDefault="00000000" w:rsidP="00F62B8C">
      <w:pPr>
        <w:pStyle w:val="Heading2"/>
        <w:spacing w:before="0" w:after="0" w:line="480" w:lineRule="auto"/>
        <w:rPr>
          <w:rFonts w:ascii="Times New Roman" w:hAnsi="Times New Roman" w:cs="Times New Roman"/>
        </w:rPr>
      </w:pPr>
      <w:bookmarkStart w:id="6" w:name="methods"/>
      <w:bookmarkStart w:id="7" w:name="_Toc240055189"/>
      <w:bookmarkEnd w:id="4"/>
      <w:r w:rsidRPr="00F62B8C">
        <w:rPr>
          <w:rFonts w:ascii="Times New Roman" w:hAnsi="Times New Roman" w:cs="Times New Roman"/>
        </w:rPr>
        <w:t>2. Methods</w:t>
      </w:r>
      <w:bookmarkEnd w:id="7"/>
    </w:p>
    <w:p w14:paraId="5410E63A" w14:textId="77777777" w:rsidR="00723756" w:rsidRPr="00F62B8C" w:rsidRDefault="00000000" w:rsidP="00F62B8C">
      <w:pPr>
        <w:pStyle w:val="Heading3"/>
        <w:spacing w:before="0" w:after="0" w:line="480" w:lineRule="auto"/>
        <w:rPr>
          <w:rFonts w:ascii="Times New Roman" w:hAnsi="Times New Roman" w:cs="Times New Roman"/>
        </w:rPr>
      </w:pPr>
      <w:bookmarkStart w:id="8" w:name="pipeline-overview"/>
      <w:bookmarkStart w:id="9" w:name="_Toc240055190"/>
      <w:r w:rsidRPr="00F62B8C">
        <w:rPr>
          <w:rFonts w:ascii="Times New Roman" w:hAnsi="Times New Roman" w:cs="Times New Roman"/>
        </w:rPr>
        <w:t>2.1 Pipeline overview</w:t>
      </w:r>
      <w:bookmarkEnd w:id="9"/>
    </w:p>
    <w:p w14:paraId="275D20DB"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RustyClean processes each sample through four stages by default:</w:t>
      </w:r>
    </w:p>
    <w:p w14:paraId="3AC2269C" w14:textId="77777777" w:rsidR="00723756" w:rsidRPr="00F62B8C" w:rsidRDefault="00000000" w:rsidP="00F62B8C">
      <w:pPr>
        <w:pStyle w:val="Compact"/>
        <w:numPr>
          <w:ilvl w:val="0"/>
          <w:numId w:val="3"/>
        </w:numPr>
        <w:spacing w:before="0" w:after="0" w:line="480" w:lineRule="auto"/>
        <w:rPr>
          <w:rFonts w:ascii="Times New Roman" w:hAnsi="Times New Roman" w:cs="Times New Roman"/>
        </w:rPr>
      </w:pPr>
      <w:r w:rsidRPr="00F62B8C">
        <w:rPr>
          <w:rFonts w:ascii="Times New Roman" w:hAnsi="Times New Roman" w:cs="Times New Roman"/>
          <w:b/>
          <w:bCs/>
        </w:rPr>
        <w:t>Quality control</w:t>
      </w:r>
      <w:r w:rsidRPr="00F62B8C">
        <w:rPr>
          <w:rFonts w:ascii="Times New Roman" w:hAnsi="Times New Roman" w:cs="Times New Roman"/>
        </w:rPr>
        <w:t xml:space="preserve"> — adapter detection and trimming, quality filtering (fastp).</w:t>
      </w:r>
    </w:p>
    <w:p w14:paraId="454FF93A" w14:textId="77777777" w:rsidR="00723756" w:rsidRPr="00F62B8C" w:rsidRDefault="00000000" w:rsidP="00F62B8C">
      <w:pPr>
        <w:pStyle w:val="Compact"/>
        <w:numPr>
          <w:ilvl w:val="0"/>
          <w:numId w:val="3"/>
        </w:numPr>
        <w:spacing w:before="0" w:after="0" w:line="480" w:lineRule="auto"/>
        <w:rPr>
          <w:rFonts w:ascii="Times New Roman" w:hAnsi="Times New Roman" w:cs="Times New Roman"/>
        </w:rPr>
      </w:pPr>
      <w:r w:rsidRPr="00F62B8C">
        <w:rPr>
          <w:rFonts w:ascii="Times New Roman" w:hAnsi="Times New Roman" w:cs="Times New Roman"/>
        </w:rPr>
        <w:t>Host fraction estimation — a rapid alignment survey of a random read subsample (Section 2.3).</w:t>
      </w:r>
    </w:p>
    <w:p w14:paraId="2818F5A5" w14:textId="77777777" w:rsidR="00723756" w:rsidRPr="00F62B8C" w:rsidRDefault="00000000" w:rsidP="00F62B8C">
      <w:pPr>
        <w:pStyle w:val="Compact"/>
        <w:numPr>
          <w:ilvl w:val="0"/>
          <w:numId w:val="3"/>
        </w:numPr>
        <w:spacing w:before="0" w:after="0" w:line="480" w:lineRule="auto"/>
        <w:rPr>
          <w:rFonts w:ascii="Times New Roman" w:hAnsi="Times New Roman" w:cs="Times New Roman"/>
        </w:rPr>
      </w:pPr>
      <w:r w:rsidRPr="00F62B8C">
        <w:rPr>
          <w:rFonts w:ascii="Times New Roman" w:hAnsi="Times New Roman" w:cs="Times New Roman"/>
        </w:rPr>
        <w:lastRenderedPageBreak/>
        <w:t>Host depletion — routed to the alignment path (Section 2.5) or the classification path (Section 2.4) by default. On the classification path the retained reads are optionally re-screened with Bowtie2 (Section 2.6) to recover host reads that Kraken2 misses.</w:t>
      </w:r>
    </w:p>
    <w:p w14:paraId="60949108" w14:textId="77777777" w:rsidR="00723756" w:rsidRPr="00F62B8C" w:rsidRDefault="00000000" w:rsidP="00F62B8C">
      <w:pPr>
        <w:pStyle w:val="Compact"/>
        <w:numPr>
          <w:ilvl w:val="0"/>
          <w:numId w:val="3"/>
        </w:numPr>
        <w:spacing w:before="0" w:after="0" w:line="480" w:lineRule="auto"/>
        <w:rPr>
          <w:rFonts w:ascii="Times New Roman" w:hAnsi="Times New Roman" w:cs="Times New Roman"/>
        </w:rPr>
      </w:pPr>
      <w:r w:rsidRPr="00F62B8C">
        <w:rPr>
          <w:rFonts w:ascii="Times New Roman" w:hAnsi="Times New Roman" w:cs="Times New Roman"/>
        </w:rPr>
        <w:t>Validation and finalisation — automated assertions before output promotion (Section 2.7).</w:t>
      </w:r>
    </w:p>
    <w:p w14:paraId="3E8CD4CB"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Alignment verification (--bowtie2-recheck) applies only on the Kraken2 classification path and is opt-in: the flag defaults to off and auto mode passes it through unchanged. All classification-path results reported here were produced with the flag set. Note that the CLI help text still describes it as automatic at high host fractions; the implementation does not do this, and the two will be reconciled.</w:t>
      </w:r>
    </w:p>
    <w:p w14:paraId="3BCC575F"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Samples may be supplied individually or as a tab-separated sample manifest; single-end and paired-end layouts are detected automatically and handled throughout.</w:t>
      </w:r>
    </w:p>
    <w:p w14:paraId="2940B95F" w14:textId="77777777" w:rsidR="00723756" w:rsidRPr="00F62B8C" w:rsidRDefault="00000000" w:rsidP="00F62B8C">
      <w:pPr>
        <w:pStyle w:val="Heading3"/>
        <w:spacing w:before="0" w:after="0" w:line="480" w:lineRule="auto"/>
        <w:rPr>
          <w:rFonts w:ascii="Times New Roman" w:hAnsi="Times New Roman" w:cs="Times New Roman"/>
        </w:rPr>
      </w:pPr>
      <w:bookmarkStart w:id="10" w:name="quality-control"/>
      <w:bookmarkStart w:id="11" w:name="_Toc240055191"/>
      <w:bookmarkEnd w:id="8"/>
      <w:r w:rsidRPr="00F62B8C">
        <w:rPr>
          <w:rFonts w:ascii="Times New Roman" w:hAnsi="Times New Roman" w:cs="Times New Roman"/>
        </w:rPr>
        <w:t>2.2 Quality control</w:t>
      </w:r>
      <w:bookmarkEnd w:id="11"/>
    </w:p>
    <w:p w14:paraId="33142D88"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Reads are processed with fastp [Ref], configured by default for automatic adapter detection in paired-end mode (</w:t>
      </w:r>
      <w:r w:rsidRPr="00F62B8C">
        <w:rPr>
          <w:rStyle w:val="VerbatimChar"/>
          <w:rFonts w:ascii="Times New Roman" w:hAnsi="Times New Roman" w:cs="Times New Roman"/>
        </w:rPr>
        <w:t>--detect_adapter_for_pe</w:t>
      </w:r>
      <w:r w:rsidRPr="00F62B8C">
        <w:rPr>
          <w:rFonts w:ascii="Times New Roman" w:hAnsi="Times New Roman" w:cs="Times New Roman"/>
        </w:rPr>
        <w:t>), sliding-window quality trimming from both ends (</w:t>
      </w:r>
      <w:r w:rsidRPr="00F62B8C">
        <w:rPr>
          <w:rStyle w:val="VerbatimChar"/>
          <w:rFonts w:ascii="Times New Roman" w:hAnsi="Times New Roman" w:cs="Times New Roman"/>
        </w:rPr>
        <w:t>--cut_front</w:t>
      </w:r>
      <w:r w:rsidRPr="00F62B8C">
        <w:rPr>
          <w:rFonts w:ascii="Times New Roman" w:hAnsi="Times New Roman" w:cs="Times New Roman"/>
        </w:rPr>
        <w:t xml:space="preserve">, </w:t>
      </w:r>
      <w:r w:rsidRPr="00F62B8C">
        <w:rPr>
          <w:rStyle w:val="VerbatimChar"/>
          <w:rFonts w:ascii="Times New Roman" w:hAnsi="Times New Roman" w:cs="Times New Roman"/>
        </w:rPr>
        <w:t>--cut_tail</w:t>
      </w:r>
      <w:r w:rsidRPr="00F62B8C">
        <w:rPr>
          <w:rFonts w:ascii="Times New Roman" w:hAnsi="Times New Roman" w:cs="Times New Roman"/>
        </w:rPr>
        <w:t>), a qualified base quality threshold of Q20, and a minimum retained length of 50 bp. All parameters are exposed through a TOML configuration file. fastp emits a JSON report, which RustyClean parses into a typed metrics record capturing input and output read counts, Q20/Q30 rates, GC content, adapter-trimmed reads, and reads discarded as too short or low quality.</w:t>
      </w:r>
    </w:p>
    <w:p w14:paraId="282380D7"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Unlike KneadData, RustyClean does not perform tandem-repeat masking. This is a deliberate scope decision — repeat masking is a general low-complexity filtering concern rather than a host-depletion concern — and it is accounted for explicitly in the runtime comparisons (Section 3.1).</w:t>
      </w:r>
    </w:p>
    <w:p w14:paraId="7512880D" w14:textId="77777777" w:rsidR="00723756" w:rsidRPr="00F62B8C" w:rsidRDefault="00000000" w:rsidP="00F62B8C">
      <w:pPr>
        <w:pStyle w:val="Heading3"/>
        <w:spacing w:before="0" w:after="0" w:line="480" w:lineRule="auto"/>
        <w:rPr>
          <w:rFonts w:ascii="Times New Roman" w:hAnsi="Times New Roman" w:cs="Times New Roman"/>
        </w:rPr>
      </w:pPr>
      <w:bookmarkStart w:id="12" w:name="Xa5ec1ced87ccf33da737a7f52ac7b8265a1f479"/>
      <w:bookmarkStart w:id="13" w:name="_Toc240055192"/>
      <w:bookmarkEnd w:id="10"/>
      <w:r w:rsidRPr="00F62B8C">
        <w:rPr>
          <w:rFonts w:ascii="Times New Roman" w:hAnsi="Times New Roman" w:cs="Times New Roman"/>
        </w:rPr>
        <w:lastRenderedPageBreak/>
        <w:t>2.3 Host fraction estimation and adaptive routing</w:t>
      </w:r>
      <w:bookmarkEnd w:id="13"/>
    </w:p>
    <w:p w14:paraId="62FA53A8"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Because neither depletion strategy dominates across the host-fraction spectrum, RustyClean selects one per sample rather than globally.</w:t>
      </w:r>
    </w:p>
    <w:p w14:paraId="38683451"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A random subsample of n reads (default n = 100,000, drawn with seqtk using a fixed seed for reproducibility) is taken from the quality-controlled library and aligned against the host Bowtie2 index in a fast, low-sensitivity mode (--very-fast-local). The host fraction is estimated as the proportion of surveyed reads that align. Because the subsample is small and the alignment is deliberately insensitive, the survey completes in seconds and its cost is negligible relative to either depletion path. A user-supplied estimate (--host-pct) bypasses the survey entirely.</w:t>
      </w:r>
    </w:p>
    <w:p w14:paraId="10ABCA91"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The estimated host fraction ĥ is combined with the library size N in a two-part rule:</w:t>
      </w:r>
    </w:p>
    <w:p w14:paraId="2986C690" w14:textId="77777777" w:rsidR="00723756" w:rsidRPr="00F62B8C" w:rsidRDefault="00000000" w:rsidP="00F62B8C">
      <w:pPr>
        <w:pStyle w:val="Compact"/>
        <w:numPr>
          <w:ilvl w:val="0"/>
          <w:numId w:val="4"/>
        </w:numPr>
        <w:spacing w:before="0" w:after="0" w:line="480" w:lineRule="auto"/>
        <w:rPr>
          <w:rFonts w:ascii="Times New Roman" w:hAnsi="Times New Roman" w:cs="Times New Roman"/>
        </w:rPr>
      </w:pPr>
      <w:r w:rsidRPr="00F62B8C">
        <w:rPr>
          <w:rFonts w:ascii="Times New Roman" w:hAnsi="Times New Roman" w:cs="Times New Roman"/>
        </w:rPr>
        <w:t>ĥ &lt; ĥ_low (default 10%) → alignment path (Section 2.5). At low host fractions alignment rejects the microbial majority quickly and retains its lower false negative rate.</w:t>
      </w:r>
    </w:p>
    <w:p w14:paraId="327C4A65" w14:textId="77777777" w:rsidR="00723756" w:rsidRPr="00F62B8C" w:rsidRDefault="00000000" w:rsidP="00F62B8C">
      <w:pPr>
        <w:pStyle w:val="Compact"/>
        <w:numPr>
          <w:ilvl w:val="0"/>
          <w:numId w:val="4"/>
        </w:numPr>
        <w:spacing w:before="0" w:after="0" w:line="480" w:lineRule="auto"/>
        <w:rPr>
          <w:rFonts w:ascii="Times New Roman" w:hAnsi="Times New Roman" w:cs="Times New Roman"/>
        </w:rPr>
      </w:pPr>
      <w:r w:rsidRPr="00F62B8C">
        <w:rPr>
          <w:rFonts w:ascii="Times New Roman" w:hAnsi="Times New Roman" w:cs="Times New Roman"/>
        </w:rPr>
        <w:t>ĥ &gt; ĥ_high (default 30%) and N &gt; N_min (default 20 million reads) → classification path (Section 2.4). Kraken2 removes the host majority rapidly; the verification pass of Section 2.6 is applied on top when --bowtie2-recheck is set. The read-count condition is required because loading the Kraken2 database is a fixed cost that only pays off once the library is large enough to amortise it.</w:t>
      </w:r>
    </w:p>
    <w:p w14:paraId="653ED47D" w14:textId="77777777" w:rsidR="00723756" w:rsidRPr="00F62B8C" w:rsidRDefault="00000000" w:rsidP="00F62B8C">
      <w:pPr>
        <w:pStyle w:val="Compact"/>
        <w:numPr>
          <w:ilvl w:val="0"/>
          <w:numId w:val="4"/>
        </w:numPr>
        <w:spacing w:before="0" w:after="0" w:line="480" w:lineRule="auto"/>
        <w:rPr>
          <w:rFonts w:ascii="Times New Roman" w:hAnsi="Times New Roman" w:cs="Times New Roman"/>
        </w:rPr>
      </w:pPr>
      <w:r w:rsidRPr="00F62B8C">
        <w:rPr>
          <w:rFonts w:ascii="Times New Roman" w:hAnsi="Times New Roman" w:cs="Times New Roman"/>
        </w:rPr>
        <w:t>Otherwise → alignment path. The rule is deliberately conservative: any sample that does not clearly exceed the high-host threshold is routed to alignment, whose error profile is the safer default.</w:t>
      </w:r>
    </w:p>
    <w:p w14:paraId="366AAA69"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The classification path can also be selected explicitly with </w:t>
      </w:r>
      <w:r w:rsidRPr="00F62B8C">
        <w:rPr>
          <w:rStyle w:val="VerbatimChar"/>
          <w:rFonts w:ascii="Times New Roman" w:hAnsi="Times New Roman" w:cs="Times New Roman"/>
        </w:rPr>
        <w:t>--host-removal-mode kraken2</w:t>
      </w:r>
      <w:r w:rsidRPr="00F62B8C">
        <w:rPr>
          <w:rFonts w:ascii="Times New Roman" w:hAnsi="Times New Roman" w:cs="Times New Roman"/>
        </w:rPr>
        <w:t xml:space="preserve">; </w:t>
      </w:r>
      <w:r w:rsidRPr="00F62B8C">
        <w:rPr>
          <w:rStyle w:val="VerbatimChar"/>
          <w:rFonts w:ascii="Times New Roman" w:hAnsi="Times New Roman" w:cs="Times New Roman"/>
        </w:rPr>
        <w:t>--bowtie2-recheck</w:t>
      </w:r>
      <w:r w:rsidRPr="00F62B8C">
        <w:rPr>
          <w:rFonts w:ascii="Times New Roman" w:hAnsi="Times New Roman" w:cs="Times New Roman"/>
        </w:rPr>
        <w:t xml:space="preserve"> toggles the verification pass.</w:t>
      </w:r>
    </w:p>
    <w:p w14:paraId="3518404F"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lastRenderedPageBreak/>
        <w:t>Defaults were set from the measured runtime behaviour of the two backends. Users may force either path (--host-removal-mode kraken2|bowtie2) or override any threshold. Routing tolerates considerable estimation error, since the decision requires only that ĥ fall on the correct side of a threshold rather than that it be accurate (Section 3.2).</w:t>
      </w:r>
    </w:p>
    <w:p w14:paraId="7E67D915" w14:textId="77777777" w:rsidR="00723756" w:rsidRPr="00F62B8C" w:rsidRDefault="00000000" w:rsidP="00F62B8C">
      <w:pPr>
        <w:pStyle w:val="Heading3"/>
        <w:spacing w:before="0" w:after="0" w:line="480" w:lineRule="auto"/>
        <w:rPr>
          <w:rFonts w:ascii="Times New Roman" w:hAnsi="Times New Roman" w:cs="Times New Roman"/>
        </w:rPr>
      </w:pPr>
      <w:bookmarkStart w:id="14" w:name="classification-based-depletion"/>
      <w:bookmarkStart w:id="15" w:name="_Toc240055193"/>
      <w:bookmarkEnd w:id="12"/>
      <w:r w:rsidRPr="00F62B8C">
        <w:rPr>
          <w:rFonts w:ascii="Times New Roman" w:hAnsi="Times New Roman" w:cs="Times New Roman"/>
        </w:rPr>
        <w:t>2.4 Classification-based depletion</w:t>
      </w:r>
      <w:bookmarkEnd w:id="15"/>
    </w:p>
    <w:p w14:paraId="70FFF848"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The classification path uses Kraken2 [Ref] against a </w:t>
      </w:r>
      <w:r w:rsidRPr="00F62B8C">
        <w:rPr>
          <w:rFonts w:ascii="Times New Roman" w:hAnsi="Times New Roman" w:cs="Times New Roman"/>
          <w:b/>
          <w:bCs/>
        </w:rPr>
        <w:t>human-only</w:t>
      </w:r>
      <w:r w:rsidRPr="00F62B8C">
        <w:rPr>
          <w:rFonts w:ascii="Times New Roman" w:hAnsi="Times New Roman" w:cs="Times New Roman"/>
        </w:rPr>
        <w:t xml:space="preserve"> index. By default this index is built from the T2T-CHM13v2.0 human reference; reads that Kraken2 does not assign are retained as the provisional decontaminated library. Mixed Kraken2 databases that also contain microbial genomes can be supplied for users who additionally want taxonomic profiling, but they are not used by default because they increase memory use without improving host-depletion accuracy.</w:t>
      </w:r>
    </w:p>
    <w:p w14:paraId="26E4D386"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Kraken2 is invoked with a confidence threshold (default 0.0) and a minimum hit-group requirement (default 2), both configurable; the unassigned read set is retained as the provisional decontaminated library. The Kraken2 report is parsed into a typed metrics record capturing classified and unclassified read counts, host read counts, and the implied contamination rate. In auto mode this path is selected for large, high-host samples and is followed by the Bowtie2 recheck pass described in Section 2.6.</w:t>
      </w:r>
    </w:p>
    <w:p w14:paraId="33938EC7" w14:textId="77777777" w:rsidR="00723756" w:rsidRPr="00F62B8C" w:rsidRDefault="00000000" w:rsidP="00F62B8C">
      <w:pPr>
        <w:pStyle w:val="Heading3"/>
        <w:spacing w:before="0" w:after="0" w:line="480" w:lineRule="auto"/>
        <w:rPr>
          <w:rFonts w:ascii="Times New Roman" w:hAnsi="Times New Roman" w:cs="Times New Roman"/>
        </w:rPr>
      </w:pPr>
      <w:bookmarkStart w:id="16" w:name="X39785b0e3843445ae865187529a3092956a3671"/>
      <w:bookmarkStart w:id="17" w:name="_Toc240055194"/>
      <w:bookmarkEnd w:id="14"/>
      <w:r w:rsidRPr="00F62B8C">
        <w:rPr>
          <w:rFonts w:ascii="Times New Roman" w:hAnsi="Times New Roman" w:cs="Times New Roman"/>
        </w:rPr>
        <w:t>2.4a Alternative backends evaluated and not retained</w:t>
      </w:r>
      <w:bookmarkEnd w:id="17"/>
    </w:p>
    <w:p w14:paraId="3ED92CA1"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We evaluated sylph, a k-mer-sketching metagenome profiler, as a possible sample-level prefilter for host depletion. sylph produces sample-level relative abundance, not per-read labels, so it cannot remove individual host reads. We therefore tested it as a binary sensor: a sample declared host-positive by </w:t>
      </w:r>
      <w:r w:rsidRPr="00F62B8C">
        <w:rPr>
          <w:rStyle w:val="VerbatimChar"/>
          <w:rFonts w:ascii="Times New Roman" w:hAnsi="Times New Roman" w:cs="Times New Roman"/>
        </w:rPr>
        <w:t>sylph query</w:t>
      </w:r>
      <w:r w:rsidRPr="00F62B8C">
        <w:rPr>
          <w:rFonts w:ascii="Times New Roman" w:hAnsi="Times New Roman" w:cs="Times New Roman"/>
        </w:rPr>
        <w:t xml:space="preserve"> was passed to the Bowtie2 alignment pipeline, while host-negative samples were retained without alignment. On the 100 M matched panel this sensor-based </w:t>
      </w:r>
      <w:r w:rsidRPr="00F62B8C">
        <w:rPr>
          <w:rFonts w:ascii="Times New Roman" w:hAnsi="Times New Roman" w:cs="Times New Roman"/>
        </w:rPr>
        <w:lastRenderedPageBreak/>
        <w:t>approach did not improve runtime over direct Bowtie2 removal for host-positive samples, and the added survey overhead erased any potential speed advantage. We also confirmed that sylph cannot provide read-level classifications and therefore cannot be used as a direct substitute for Kraken2 or Bowtie2 in a host-depletion pipeline. Consequently, sylph is retained only as an optional explicit backend and is not used by the default auto-mode router.</w:t>
      </w:r>
    </w:p>
    <w:p w14:paraId="2C91E924" w14:textId="77777777" w:rsidR="00723756" w:rsidRPr="00F62B8C" w:rsidRDefault="00000000" w:rsidP="00F62B8C">
      <w:pPr>
        <w:pStyle w:val="Heading3"/>
        <w:spacing w:before="0" w:after="0" w:line="480" w:lineRule="auto"/>
        <w:rPr>
          <w:rFonts w:ascii="Times New Roman" w:hAnsi="Times New Roman" w:cs="Times New Roman"/>
        </w:rPr>
      </w:pPr>
      <w:bookmarkStart w:id="18" w:name="alignment-based-depletion"/>
      <w:bookmarkStart w:id="19" w:name="_Toc240055195"/>
      <w:bookmarkEnd w:id="16"/>
      <w:r w:rsidRPr="00F62B8C">
        <w:rPr>
          <w:rFonts w:ascii="Times New Roman" w:hAnsi="Times New Roman" w:cs="Times New Roman"/>
        </w:rPr>
        <w:t>2.5 Alignment-based depletion</w:t>
      </w:r>
      <w:bookmarkEnd w:id="19"/>
    </w:p>
    <w:p w14:paraId="74A9DCF2"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The alignment path aligns quality-controlled reads against a Bowtie2 [Ref] index of the host reference genome (T2T-CHM13v2.0 by default), retaining unaligned reads. Paired-end reads are handled with concordant-pair semantics so that a pair is retained only if neither mate aligns. This path is functionally equivalent to KneadData's host-removal stage but without the intervening repeat-masking and identifier-reformatting steps.</w:t>
      </w:r>
    </w:p>
    <w:p w14:paraId="338E2C12" w14:textId="77777777" w:rsidR="00723756" w:rsidRPr="00F62B8C" w:rsidRDefault="00000000" w:rsidP="00F62B8C">
      <w:pPr>
        <w:pStyle w:val="Heading3"/>
        <w:spacing w:before="0" w:after="0" w:line="480" w:lineRule="auto"/>
        <w:rPr>
          <w:rFonts w:ascii="Times New Roman" w:hAnsi="Times New Roman" w:cs="Times New Roman"/>
        </w:rPr>
      </w:pPr>
      <w:bookmarkStart w:id="20" w:name="Xe4de1e90f832e19a4065932011b64ddf1460770"/>
      <w:bookmarkStart w:id="21" w:name="_Toc240055196"/>
      <w:bookmarkEnd w:id="18"/>
      <w:r w:rsidRPr="00F62B8C">
        <w:rPr>
          <w:rFonts w:ascii="Times New Roman" w:hAnsi="Times New Roman" w:cs="Times New Roman"/>
        </w:rPr>
        <w:t>2.6 Optional Bowtie2 verification pass (legacy Kraken2 path)</w:t>
      </w:r>
      <w:bookmarkEnd w:id="21"/>
    </w:p>
    <w:p w14:paraId="703D87A0"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Because k-mer classification systematically under-detects host reads, the Kraken2 classification path can be followed by a verification pass (</w:t>
      </w:r>
      <w:r w:rsidRPr="00F62B8C">
        <w:rPr>
          <w:rStyle w:val="VerbatimChar"/>
          <w:rFonts w:ascii="Times New Roman" w:hAnsi="Times New Roman" w:cs="Times New Roman"/>
        </w:rPr>
        <w:t>--bowtie2-recheck</w:t>
      </w:r>
      <w:r w:rsidRPr="00F62B8C">
        <w:rPr>
          <w:rFonts w:ascii="Times New Roman" w:hAnsi="Times New Roman" w:cs="Times New Roman"/>
        </w:rPr>
        <w:t xml:space="preserve">). The reads retained by Kraken2 are aligned against the same host Bowtie2 index and those that align are removed. Only the retained set is re-screened, so reads already identified as host are never realigned. This pass is enabled by default when auto mode routes a sample to the Kraken2 classification path, and can be disabled with </w:t>
      </w:r>
      <w:r w:rsidRPr="00F62B8C">
        <w:rPr>
          <w:rStyle w:val="VerbatimChar"/>
          <w:rFonts w:ascii="Times New Roman" w:hAnsi="Times New Roman" w:cs="Times New Roman"/>
        </w:rPr>
        <w:t>--no-bowtie2-recheck</w:t>
      </w:r>
      <w:r w:rsidRPr="00F62B8C">
        <w:rPr>
          <w:rFonts w:ascii="Times New Roman" w:hAnsi="Times New Roman" w:cs="Times New Roman"/>
        </w:rPr>
        <w:t xml:space="preserve"> for users who prefer raw Kraken2 output.</w:t>
      </w:r>
    </w:p>
    <w:p w14:paraId="03890435"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 xml:space="preserve">The cost of this pass is proportional to the size of the retained set, which is small precisely when it is needed: at a host fraction of 0.9, classification removes the majority of reads and the verification pass processes roughly a tenth of the library. At low host fractions the retained set is large and verification would be expensive — but that regime is routed to the alignment path by Section 2.3 and never reaches this stage. The two mechanisms are therefore complementary </w:t>
      </w:r>
      <w:r w:rsidRPr="00F62B8C">
        <w:rPr>
          <w:rFonts w:ascii="Times New Roman" w:hAnsi="Times New Roman" w:cs="Times New Roman"/>
        </w:rPr>
        <w:lastRenderedPageBreak/>
        <w:t>rather than merely additive, and the worst-case cost of verification is bounded by the size of the retained set.</w:t>
      </w:r>
    </w:p>
    <w:p w14:paraId="3A731B21" w14:textId="77777777" w:rsidR="00723756" w:rsidRPr="00F62B8C" w:rsidRDefault="00000000" w:rsidP="00F62B8C">
      <w:pPr>
        <w:pStyle w:val="Heading3"/>
        <w:spacing w:before="0" w:after="0" w:line="480" w:lineRule="auto"/>
        <w:rPr>
          <w:rFonts w:ascii="Times New Roman" w:hAnsi="Times New Roman" w:cs="Times New Roman"/>
        </w:rPr>
      </w:pPr>
      <w:bookmarkStart w:id="22" w:name="validation-gate"/>
      <w:bookmarkStart w:id="23" w:name="_Toc240055197"/>
      <w:bookmarkEnd w:id="20"/>
      <w:r w:rsidRPr="00F62B8C">
        <w:rPr>
          <w:rFonts w:ascii="Times New Roman" w:hAnsi="Times New Roman" w:cs="Times New Roman"/>
        </w:rPr>
        <w:t>2.7 Validation gate</w:t>
      </w:r>
      <w:bookmarkEnd w:id="23"/>
    </w:p>
    <w:p w14:paraId="6CE48B77"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Every sample is subject to automated assertions before its output is promoted:</w:t>
      </w:r>
    </w:p>
    <w:p w14:paraId="16C74334" w14:textId="77777777" w:rsidR="00723756" w:rsidRPr="00F62B8C" w:rsidRDefault="00000000" w:rsidP="00F62B8C">
      <w:pPr>
        <w:pStyle w:val="Compact"/>
        <w:numPr>
          <w:ilvl w:val="0"/>
          <w:numId w:val="5"/>
        </w:numPr>
        <w:spacing w:before="0" w:after="0" w:line="480" w:lineRule="auto"/>
        <w:rPr>
          <w:rFonts w:ascii="Times New Roman" w:hAnsi="Times New Roman" w:cs="Times New Roman"/>
        </w:rPr>
      </w:pPr>
      <w:r w:rsidRPr="00F62B8C">
        <w:rPr>
          <w:rFonts w:ascii="Times New Roman" w:hAnsi="Times New Roman" w:cs="Times New Roman"/>
          <w:b/>
          <w:bCs/>
        </w:rPr>
        <w:t>Output size</w:t>
      </w:r>
      <w:r w:rsidRPr="00F62B8C">
        <w:rPr>
          <w:rFonts w:ascii="Times New Roman" w:hAnsi="Times New Roman" w:cs="Times New Roman"/>
        </w:rPr>
        <w:t xml:space="preserve"> — each output file must exceed a configurable minimum, detecting silently truncated or empty outputs.</w:t>
      </w:r>
    </w:p>
    <w:p w14:paraId="7569D5D0" w14:textId="77777777" w:rsidR="00723756" w:rsidRPr="00F62B8C" w:rsidRDefault="00000000" w:rsidP="00F62B8C">
      <w:pPr>
        <w:pStyle w:val="Compact"/>
        <w:numPr>
          <w:ilvl w:val="0"/>
          <w:numId w:val="5"/>
        </w:numPr>
        <w:spacing w:before="0" w:after="0" w:line="480" w:lineRule="auto"/>
        <w:rPr>
          <w:rFonts w:ascii="Times New Roman" w:hAnsi="Times New Roman" w:cs="Times New Roman"/>
        </w:rPr>
      </w:pPr>
      <w:r w:rsidRPr="00F62B8C">
        <w:rPr>
          <w:rFonts w:ascii="Times New Roman" w:hAnsi="Times New Roman" w:cs="Times New Roman"/>
          <w:b/>
          <w:bCs/>
        </w:rPr>
        <w:t>Residual contamination</w:t>
      </w:r>
      <w:r w:rsidRPr="00F62B8C">
        <w:rPr>
          <w:rFonts w:ascii="Times New Roman" w:hAnsi="Times New Roman" w:cs="Times New Roman"/>
        </w:rPr>
        <w:t xml:space="preserve"> — the estimated host fraction of the output must not exceed a configurable maximum (default 5%), detecting a misconfigured or missing reference.</w:t>
      </w:r>
    </w:p>
    <w:p w14:paraId="783C880B"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A sample failing either assertion is recorded as </w:t>
      </w:r>
      <w:r w:rsidRPr="00F62B8C">
        <w:rPr>
          <w:rStyle w:val="VerbatimChar"/>
          <w:rFonts w:ascii="Times New Roman" w:hAnsi="Times New Roman" w:cs="Times New Roman"/>
        </w:rPr>
        <w:t>Failed</w:t>
      </w:r>
      <w:r w:rsidRPr="00F62B8C">
        <w:rPr>
          <w:rFonts w:ascii="Times New Roman" w:hAnsi="Times New Roman" w:cs="Times New Roman"/>
        </w:rPr>
        <w:t xml:space="preserve"> and its outputs are </w:t>
      </w:r>
      <w:r w:rsidRPr="00F62B8C">
        <w:rPr>
          <w:rFonts w:ascii="Times New Roman" w:hAnsi="Times New Roman" w:cs="Times New Roman"/>
          <w:b/>
          <w:bCs/>
        </w:rPr>
        <w:t>not</w:t>
      </w:r>
      <w:r w:rsidRPr="00F62B8C">
        <w:rPr>
          <w:rFonts w:ascii="Times New Roman" w:hAnsi="Times New Roman" w:cs="Times New Roman"/>
        </w:rPr>
        <w:t xml:space="preserve"> moved into the output directory, so they cannot be consumed by a downstream analysis by accident. To our knowledge no existing host-depletion pipeline enforces an equivalent post-hoc correctness check.</w:t>
      </w:r>
    </w:p>
    <w:p w14:paraId="453BF506" w14:textId="77777777" w:rsidR="00723756" w:rsidRPr="00F62B8C" w:rsidRDefault="00000000" w:rsidP="00F62B8C">
      <w:pPr>
        <w:pStyle w:val="Heading3"/>
        <w:spacing w:before="0" w:after="0" w:line="480" w:lineRule="auto"/>
        <w:rPr>
          <w:rFonts w:ascii="Times New Roman" w:hAnsi="Times New Roman" w:cs="Times New Roman"/>
        </w:rPr>
      </w:pPr>
      <w:bookmarkStart w:id="24" w:name="orchestration-and-implementation"/>
      <w:bookmarkStart w:id="25" w:name="_Toc240055198"/>
      <w:bookmarkEnd w:id="22"/>
      <w:r w:rsidRPr="00F62B8C">
        <w:rPr>
          <w:rFonts w:ascii="Times New Roman" w:hAnsi="Times New Roman" w:cs="Times New Roman"/>
        </w:rPr>
        <w:t>2.8 Orchestration and implementation</w:t>
      </w:r>
      <w:bookmarkEnd w:id="25"/>
    </w:p>
    <w:p w14:paraId="2833B7BB"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Stage machine. Each sample's progress is represented as a totally ordered enumeration of stages (Pending → FastpRunning → FastpComplete → Kraken2Running → Kraken2Complete → Validating → Completed / Failed). Because the stages are ordered, resumption reduces to a comparison rather than per-stage branching logic, and a resumed sample re-executes only the stages after its recorded position. The two depletion stages are named after Kraken2 for historical reasons but are used by every backend.</w:t>
      </w:r>
    </w:p>
    <w:p w14:paraId="631C3E86"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Checkpointing.</w:t>
      </w:r>
      <w:r w:rsidRPr="00F62B8C">
        <w:rPr>
          <w:rFonts w:ascii="Times New Roman" w:hAnsi="Times New Roman" w:cs="Times New Roman"/>
        </w:rPr>
        <w:t xml:space="preserve"> Per-sample state is serialised as versioned JSON and written atomically (write-to-temporary followed by rename), so an interrupted write cannot leave a partially parsed record. Each checkpoint carries an xxHash3 fingerprint over input file metadata; a change to the input invalidates the checkpoint automatically, so resumption cannot silently return results computed </w:t>
      </w:r>
      <w:r w:rsidRPr="00F62B8C">
        <w:rPr>
          <w:rFonts w:ascii="Times New Roman" w:hAnsi="Times New Roman" w:cs="Times New Roman"/>
        </w:rPr>
        <w:lastRenderedPageBreak/>
        <w:t>from different data. Checkpoints retain the full metrics payload and therefore double as a per-sample provenance record.</w:t>
      </w:r>
    </w:p>
    <w:p w14:paraId="4D97805B" w14:textId="4FAF54AC"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Concurrency. Parallelism is bounded at two levels: a counting semaphore admits W samples concurrently (default: half the available cores), and each sample passes T threads to its external tools. Total load is approximately W × T, giving independent control over the CPU-bound quality-control stage and the memory-bound depletion stage. When the user does not explicitly set W, RustyClean estimates the resident database size for the selected backend and the available memory (cgroup limit first, then /proc/meminfo MemAvailable), and caps W so that concurrent workers do not collectively exceed roughly 80% of available RAM. This prevents out-of-memory failures when the default CPU-based worker count would load more database copies than fit in memory. Interrupt handling uses a cancellation token so that queued samples are not started after a shutdown signal. We note that the in-process worker pool is a convenience rather than a performance feature: when measured against the same binary driven one sample per process by xargs at matched W (Section 3.9), the two are indistinguishable in throughput.</w:t>
      </w:r>
    </w:p>
    <w:p w14:paraId="48240F8E"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Implementation. RustyClean is approximately 3,100 lines of Rust across nine modules, built on the Tokio asynchronous runtime and distributed as a single binary with no language runtime dependency. Five depletion backends are selectable with --host-removal-mode (kraken2, bowtie2, minimap2, sylph, centrifuge) in addition to auto; external dependencies are the executables for whichever backends are used, plus fastp and seqtk. Source is available at https://github.com/HuangShiLab/rustyclean under the MIT licence.</w:t>
      </w:r>
    </w:p>
    <w:p w14:paraId="2A759507" w14:textId="77777777" w:rsidR="00723756" w:rsidRPr="00F62B8C" w:rsidRDefault="00000000" w:rsidP="00F62B8C">
      <w:pPr>
        <w:pStyle w:val="Heading3"/>
        <w:spacing w:before="0" w:after="0" w:line="480" w:lineRule="auto"/>
        <w:rPr>
          <w:rFonts w:ascii="Times New Roman" w:hAnsi="Times New Roman" w:cs="Times New Roman"/>
        </w:rPr>
      </w:pPr>
      <w:bookmarkStart w:id="26" w:name="benchmark-design"/>
      <w:bookmarkStart w:id="27" w:name="_Toc240055199"/>
      <w:bookmarkEnd w:id="24"/>
      <w:r w:rsidRPr="00F62B8C">
        <w:rPr>
          <w:rFonts w:ascii="Times New Roman" w:hAnsi="Times New Roman" w:cs="Times New Roman"/>
        </w:rPr>
        <w:lastRenderedPageBreak/>
        <w:t>2.9 Benchmark design</w:t>
      </w:r>
      <w:bookmarkEnd w:id="27"/>
    </w:p>
    <w:p w14:paraId="7BE2EA3B"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b/>
          <w:bCs/>
        </w:rPr>
        <w:t>Table 1.</w:t>
      </w:r>
      <w:r w:rsidRPr="00F62B8C">
        <w:rPr>
          <w:rFonts w:ascii="Times New Roman" w:hAnsi="Times New Roman" w:cs="Times New Roman"/>
        </w:rPr>
        <w:t xml:space="preserve"> Selected simulated datasets used for the main accuracy comparison. Host fraction is the realised proportion of host reads after simulation, which differs slightly from the nominal target for skewed communities. The full evaluation panel comprises 18 datasets (Table S2).</w:t>
      </w:r>
    </w:p>
    <w:tbl>
      <w:tblPr>
        <w:tblStyle w:val="Table"/>
        <w:tblW w:w="5000" w:type="pct"/>
        <w:tblLayout w:type="fixed"/>
        <w:tblLook w:val="0020" w:firstRow="1" w:lastRow="0" w:firstColumn="0" w:lastColumn="0" w:noHBand="0" w:noVBand="0"/>
      </w:tblPr>
      <w:tblGrid>
        <w:gridCol w:w="1465"/>
        <w:gridCol w:w="1690"/>
        <w:gridCol w:w="1577"/>
        <w:gridCol w:w="1802"/>
        <w:gridCol w:w="1690"/>
        <w:gridCol w:w="1352"/>
      </w:tblGrid>
      <w:tr w:rsidR="00723756" w:rsidRPr="00F62B8C" w14:paraId="2F6B8644"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1211" w:type="dxa"/>
          </w:tcPr>
          <w:p w14:paraId="4B40DE9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Dataset</w:t>
            </w:r>
          </w:p>
        </w:tc>
        <w:tc>
          <w:tcPr>
            <w:tcW w:w="1397" w:type="dxa"/>
          </w:tcPr>
          <w:p w14:paraId="12A7CB6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Reads (M)</w:t>
            </w:r>
          </w:p>
        </w:tc>
        <w:tc>
          <w:tcPr>
            <w:tcW w:w="1304" w:type="dxa"/>
          </w:tcPr>
          <w:p w14:paraId="4A33F18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Host (%)</w:t>
            </w:r>
          </w:p>
        </w:tc>
        <w:tc>
          <w:tcPr>
            <w:tcW w:w="1490" w:type="dxa"/>
          </w:tcPr>
          <w:p w14:paraId="45C4EB0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Complexity</w:t>
            </w:r>
          </w:p>
        </w:tc>
        <w:tc>
          <w:tcPr>
            <w:tcW w:w="1397" w:type="dxa"/>
          </w:tcPr>
          <w:p w14:paraId="2E7A685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Abundance</w:t>
            </w:r>
          </w:p>
        </w:tc>
        <w:tc>
          <w:tcPr>
            <w:tcW w:w="1118" w:type="dxa"/>
          </w:tcPr>
          <w:p w14:paraId="29013C1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Layout</w:t>
            </w:r>
          </w:p>
        </w:tc>
      </w:tr>
      <w:tr w:rsidR="00723756" w:rsidRPr="00F62B8C" w14:paraId="21702FC1" w14:textId="77777777">
        <w:tc>
          <w:tcPr>
            <w:tcW w:w="1211" w:type="dxa"/>
          </w:tcPr>
          <w:p w14:paraId="4B0AA9D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1397" w:type="dxa"/>
          </w:tcPr>
          <w:p w14:paraId="7323178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5.0</w:t>
            </w:r>
          </w:p>
        </w:tc>
        <w:tc>
          <w:tcPr>
            <w:tcW w:w="1304" w:type="dxa"/>
          </w:tcPr>
          <w:p w14:paraId="2449FE7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w:t>
            </w:r>
          </w:p>
        </w:tc>
        <w:tc>
          <w:tcPr>
            <w:tcW w:w="1490" w:type="dxa"/>
          </w:tcPr>
          <w:p w14:paraId="45B306A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low</w:t>
            </w:r>
          </w:p>
        </w:tc>
        <w:tc>
          <w:tcPr>
            <w:tcW w:w="1397" w:type="dxa"/>
          </w:tcPr>
          <w:p w14:paraId="0012E0B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even</w:t>
            </w:r>
          </w:p>
        </w:tc>
        <w:tc>
          <w:tcPr>
            <w:tcW w:w="1118" w:type="dxa"/>
          </w:tcPr>
          <w:p w14:paraId="6F4411E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w:t>
            </w:r>
          </w:p>
        </w:tc>
      </w:tr>
      <w:tr w:rsidR="00723756" w:rsidRPr="00F62B8C" w14:paraId="66472FC9" w14:textId="77777777">
        <w:tc>
          <w:tcPr>
            <w:tcW w:w="1211" w:type="dxa"/>
          </w:tcPr>
          <w:p w14:paraId="67E4B5E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1397" w:type="dxa"/>
          </w:tcPr>
          <w:p w14:paraId="4C2296D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9.5</w:t>
            </w:r>
          </w:p>
        </w:tc>
        <w:tc>
          <w:tcPr>
            <w:tcW w:w="1304" w:type="dxa"/>
          </w:tcPr>
          <w:p w14:paraId="6601739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w:t>
            </w:r>
          </w:p>
        </w:tc>
        <w:tc>
          <w:tcPr>
            <w:tcW w:w="1490" w:type="dxa"/>
          </w:tcPr>
          <w:p w14:paraId="60BD797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medium</w:t>
            </w:r>
          </w:p>
        </w:tc>
        <w:tc>
          <w:tcPr>
            <w:tcW w:w="1397" w:type="dxa"/>
          </w:tcPr>
          <w:p w14:paraId="5FE9E13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even</w:t>
            </w:r>
          </w:p>
        </w:tc>
        <w:tc>
          <w:tcPr>
            <w:tcW w:w="1118" w:type="dxa"/>
          </w:tcPr>
          <w:p w14:paraId="2A71AEA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w:t>
            </w:r>
          </w:p>
        </w:tc>
      </w:tr>
      <w:tr w:rsidR="00723756" w:rsidRPr="00F62B8C" w14:paraId="257FE57A" w14:textId="77777777">
        <w:tc>
          <w:tcPr>
            <w:tcW w:w="1211" w:type="dxa"/>
          </w:tcPr>
          <w:p w14:paraId="5401256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1397" w:type="dxa"/>
          </w:tcPr>
          <w:p w14:paraId="4B04FC7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23.9</w:t>
            </w:r>
          </w:p>
        </w:tc>
        <w:tc>
          <w:tcPr>
            <w:tcW w:w="1304" w:type="dxa"/>
          </w:tcPr>
          <w:p w14:paraId="1957555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59.7</w:t>
            </w:r>
          </w:p>
        </w:tc>
        <w:tc>
          <w:tcPr>
            <w:tcW w:w="1490" w:type="dxa"/>
          </w:tcPr>
          <w:p w14:paraId="46712C0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high</w:t>
            </w:r>
          </w:p>
        </w:tc>
        <w:tc>
          <w:tcPr>
            <w:tcW w:w="1397" w:type="dxa"/>
          </w:tcPr>
          <w:p w14:paraId="7EB3622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skewed</w:t>
            </w:r>
          </w:p>
        </w:tc>
        <w:tc>
          <w:tcPr>
            <w:tcW w:w="1118" w:type="dxa"/>
          </w:tcPr>
          <w:p w14:paraId="42C89EC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w:t>
            </w:r>
          </w:p>
        </w:tc>
      </w:tr>
      <w:tr w:rsidR="00723756" w:rsidRPr="00F62B8C" w14:paraId="23D1FBEB" w14:textId="77777777">
        <w:tc>
          <w:tcPr>
            <w:tcW w:w="1211" w:type="dxa"/>
          </w:tcPr>
          <w:p w14:paraId="3693411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1397" w:type="dxa"/>
          </w:tcPr>
          <w:p w14:paraId="4A355CB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56.2</w:t>
            </w:r>
          </w:p>
        </w:tc>
        <w:tc>
          <w:tcPr>
            <w:tcW w:w="1304" w:type="dxa"/>
          </w:tcPr>
          <w:p w14:paraId="7C336D6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91.4</w:t>
            </w:r>
          </w:p>
        </w:tc>
        <w:tc>
          <w:tcPr>
            <w:tcW w:w="1490" w:type="dxa"/>
          </w:tcPr>
          <w:p w14:paraId="5BF9628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high</w:t>
            </w:r>
          </w:p>
        </w:tc>
        <w:tc>
          <w:tcPr>
            <w:tcW w:w="1397" w:type="dxa"/>
          </w:tcPr>
          <w:p w14:paraId="0945F25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lognormal</w:t>
            </w:r>
          </w:p>
        </w:tc>
        <w:tc>
          <w:tcPr>
            <w:tcW w:w="1118" w:type="dxa"/>
          </w:tcPr>
          <w:p w14:paraId="5B6DF16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w:t>
            </w:r>
          </w:p>
        </w:tc>
      </w:tr>
      <w:tr w:rsidR="00723756" w:rsidRPr="00F62B8C" w14:paraId="24EBC4E6" w14:textId="77777777">
        <w:tc>
          <w:tcPr>
            <w:tcW w:w="1211" w:type="dxa"/>
          </w:tcPr>
          <w:p w14:paraId="49BA2C8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50%</w:t>
            </w:r>
          </w:p>
        </w:tc>
        <w:tc>
          <w:tcPr>
            <w:tcW w:w="1397" w:type="dxa"/>
          </w:tcPr>
          <w:p w14:paraId="064A2B4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87.8</w:t>
            </w:r>
          </w:p>
        </w:tc>
        <w:tc>
          <w:tcPr>
            <w:tcW w:w="1304" w:type="dxa"/>
          </w:tcPr>
          <w:p w14:paraId="666C0C0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54.1</w:t>
            </w:r>
          </w:p>
        </w:tc>
        <w:tc>
          <w:tcPr>
            <w:tcW w:w="1490" w:type="dxa"/>
          </w:tcPr>
          <w:p w14:paraId="5A16475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high</w:t>
            </w:r>
          </w:p>
        </w:tc>
        <w:tc>
          <w:tcPr>
            <w:tcW w:w="1397" w:type="dxa"/>
          </w:tcPr>
          <w:p w14:paraId="23BB32B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lognormal</w:t>
            </w:r>
          </w:p>
        </w:tc>
        <w:tc>
          <w:tcPr>
            <w:tcW w:w="1118" w:type="dxa"/>
          </w:tcPr>
          <w:p w14:paraId="5F96529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w:t>
            </w:r>
          </w:p>
        </w:tc>
      </w:tr>
      <w:tr w:rsidR="00723756" w:rsidRPr="00F62B8C" w14:paraId="04347D71" w14:textId="77777777">
        <w:tc>
          <w:tcPr>
            <w:tcW w:w="1211" w:type="dxa"/>
          </w:tcPr>
          <w:p w14:paraId="03ED751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90%</w:t>
            </w:r>
          </w:p>
        </w:tc>
        <w:tc>
          <w:tcPr>
            <w:tcW w:w="1397" w:type="dxa"/>
          </w:tcPr>
          <w:p w14:paraId="47B0A18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93.6</w:t>
            </w:r>
          </w:p>
        </w:tc>
        <w:tc>
          <w:tcPr>
            <w:tcW w:w="1304" w:type="dxa"/>
          </w:tcPr>
          <w:p w14:paraId="5E32AE0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91.4</w:t>
            </w:r>
          </w:p>
        </w:tc>
        <w:tc>
          <w:tcPr>
            <w:tcW w:w="1490" w:type="dxa"/>
          </w:tcPr>
          <w:p w14:paraId="594A725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high</w:t>
            </w:r>
          </w:p>
        </w:tc>
        <w:tc>
          <w:tcPr>
            <w:tcW w:w="1397" w:type="dxa"/>
          </w:tcPr>
          <w:p w14:paraId="181272B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lognormal</w:t>
            </w:r>
          </w:p>
        </w:tc>
        <w:tc>
          <w:tcPr>
            <w:tcW w:w="1118" w:type="dxa"/>
          </w:tcPr>
          <w:p w14:paraId="16C7A5E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w:t>
            </w:r>
          </w:p>
        </w:tc>
      </w:tr>
    </w:tbl>
    <w:p w14:paraId="6CBD0874"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We evaluated RustyClean against KneadData v0.12.3 on 18 simulated metagenomes with per-read ground truth, generated with InSilicoSeq v2.0.0 (Gourlé et al., 2019). The design varied four factors:</w:t>
      </w:r>
    </w:p>
    <w:tbl>
      <w:tblPr>
        <w:tblStyle w:val="Table"/>
        <w:tblW w:w="0" w:type="auto"/>
        <w:tblLook w:val="0020" w:firstRow="1" w:lastRow="0" w:firstColumn="0" w:lastColumn="0" w:noHBand="0" w:noVBand="0"/>
      </w:tblPr>
      <w:tblGrid>
        <w:gridCol w:w="2610"/>
        <w:gridCol w:w="3716"/>
      </w:tblGrid>
      <w:tr w:rsidR="00723756" w:rsidRPr="00F62B8C" w14:paraId="73EEF4CB"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0" w:type="auto"/>
          </w:tcPr>
          <w:p w14:paraId="2AFA310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Factor</w:t>
            </w:r>
          </w:p>
        </w:tc>
        <w:tc>
          <w:tcPr>
            <w:tcW w:w="0" w:type="auto"/>
          </w:tcPr>
          <w:p w14:paraId="5B374F6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Levels</w:t>
            </w:r>
          </w:p>
        </w:tc>
      </w:tr>
      <w:tr w:rsidR="00723756" w:rsidRPr="00F62B8C" w14:paraId="451AC956" w14:textId="77777777">
        <w:tc>
          <w:tcPr>
            <w:tcW w:w="0" w:type="auto"/>
          </w:tcPr>
          <w:p w14:paraId="3131F4A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 fraction</w:t>
            </w:r>
          </w:p>
        </w:tc>
        <w:tc>
          <w:tcPr>
            <w:tcW w:w="0" w:type="auto"/>
          </w:tcPr>
          <w:p w14:paraId="64845E1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0, 1, 5, 10, 30, 50, 70, 90, 99, 100 %</w:t>
            </w:r>
          </w:p>
        </w:tc>
      </w:tr>
      <w:tr w:rsidR="00723756" w:rsidRPr="00F62B8C" w14:paraId="4BCEE265" w14:textId="77777777">
        <w:tc>
          <w:tcPr>
            <w:tcW w:w="0" w:type="auto"/>
          </w:tcPr>
          <w:p w14:paraId="2FAAC36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Sequencing depth</w:t>
            </w:r>
          </w:p>
        </w:tc>
        <w:tc>
          <w:tcPr>
            <w:tcW w:w="0" w:type="auto"/>
          </w:tcPr>
          <w:p w14:paraId="45182EF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 10, 20, 30, 60, 100 M reads</w:t>
            </w:r>
          </w:p>
        </w:tc>
      </w:tr>
      <w:tr w:rsidR="00723756" w:rsidRPr="00F62B8C" w14:paraId="3B6FC2C3" w14:textId="77777777">
        <w:tc>
          <w:tcPr>
            <w:tcW w:w="0" w:type="auto"/>
          </w:tcPr>
          <w:p w14:paraId="5AD011A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Community composition</w:t>
            </w:r>
          </w:p>
        </w:tc>
        <w:tc>
          <w:tcPr>
            <w:tcW w:w="0" w:type="auto"/>
          </w:tcPr>
          <w:p w14:paraId="7B42597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even, lognormal, skewed</w:t>
            </w:r>
          </w:p>
        </w:tc>
      </w:tr>
      <w:tr w:rsidR="00723756" w:rsidRPr="00F62B8C" w14:paraId="3705B3FE" w14:textId="77777777">
        <w:tc>
          <w:tcPr>
            <w:tcW w:w="0" w:type="auto"/>
          </w:tcPr>
          <w:p w14:paraId="498F8F1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Read layout</w:t>
            </w:r>
          </w:p>
        </w:tc>
        <w:tc>
          <w:tcPr>
            <w:tcW w:w="0" w:type="auto"/>
          </w:tcPr>
          <w:p w14:paraId="2370BCB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single-end, paired-end</w:t>
            </w:r>
          </w:p>
        </w:tc>
      </w:tr>
    </w:tbl>
    <w:p w14:paraId="70D6F17C"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Because reads are simulated, the true origin of every read is known and depletion can be scored exactly as a binary classification task. Results are reported stratified by host fraction and read layout; no grand mean is reported across the full panel.</w:t>
      </w:r>
    </w:p>
    <w:p w14:paraId="00FB1691" w14:textId="28D0AE06"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lastRenderedPageBreak/>
        <w:t xml:space="preserve">Reference databases: by </w:t>
      </w:r>
      <w:proofErr w:type="gramStart"/>
      <w:r w:rsidRPr="00F62B8C">
        <w:rPr>
          <w:rFonts w:ascii="Times New Roman" w:hAnsi="Times New Roman" w:cs="Times New Roman"/>
        </w:rPr>
        <w:t>default</w:t>
      </w:r>
      <w:proofErr w:type="gramEnd"/>
      <w:r w:rsidRPr="00F62B8C">
        <w:rPr>
          <w:rFonts w:ascii="Times New Roman" w:hAnsi="Times New Roman" w:cs="Times New Roman"/>
        </w:rPr>
        <w:t xml:space="preserve"> a human-only Kraken2 index built from T2T-CHM13v2.0, and a Bowtie2 index of T2T-CHM13v2.0 plus HLA sequences (the Hostile human-t2t-hla index). A mixed Kraken2 index (kraken16: GRCh38 + T2T + ~73,000 microbial genomes) was additionally evaluated as an optional taxonomy-aware mode. All comparisons used 8 threads per tool on the HKU HPC2021 cluster, with three replicates per condition for RustyClean timing.</w:t>
      </w:r>
    </w:p>
    <w:p w14:paraId="3B9D572C"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t>Resource measurement. Wall-clock time and peak resident set size were recorded with GNU time, and CPU time and memory were additionally read from each job's own cgroup (cpu.stat usage_usec; the peak of memory.stat anon, sampled at 1 Hz). The two are not interchangeable and we report both. GNU time accumulates only the resource usage of children it reaps, which for KneadData omitted most of the work: on the parallel panel it recorded 2,014 s of CPU where the cgroup recorded 80,365 s, and warming the page cache beforehand left the GNU figure unchanged to the second, ruling out I/O wait. Its peak resident set size is also one process's footprint including file-backed pages, so a memory-mapped index is charged in full to every process that shares it. Where the two measures answer different questions we say which is used.</w:t>
      </w:r>
    </w:p>
    <w:p w14:paraId="1E260A0E"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t>Parallel scaling panel. Throughput was measured on a separate panel of 120 uniform single-end samples of 1,000,000 reads each, 20 replicates at each of six host fractions (1, 5, 10, 50, 70 and 90%), simulated as above. Uniform depth is required here: batch wall time only reflects scheduling if every sample costs about the same. Each job took a compute node exclusively, was pinned to 16 cores with taskset, and split them as W concurrent samples × T threads with W × T = 16 for W in {1, 2, 4, 8, 16}. All arms ran at the same W on the same node, and the inputs and every arm's index were read into page cache before timing began, so arm order is not part of the measurement.</w:t>
      </w:r>
    </w:p>
    <w:p w14:paraId="345C7C93" w14:textId="77777777" w:rsidR="00723756" w:rsidRPr="00F62B8C" w:rsidRDefault="00000000" w:rsidP="00F62B8C">
      <w:pPr>
        <w:pStyle w:val="Heading3"/>
        <w:spacing w:before="0" w:after="0" w:line="480" w:lineRule="auto"/>
        <w:rPr>
          <w:rFonts w:ascii="Times New Roman" w:hAnsi="Times New Roman" w:cs="Times New Roman"/>
        </w:rPr>
      </w:pPr>
      <w:bookmarkStart w:id="28" w:name="evaluation-metrics"/>
      <w:bookmarkStart w:id="29" w:name="_Toc240055200"/>
      <w:bookmarkEnd w:id="26"/>
      <w:r w:rsidRPr="00F62B8C">
        <w:rPr>
          <w:rFonts w:ascii="Times New Roman" w:hAnsi="Times New Roman" w:cs="Times New Roman"/>
        </w:rPr>
        <w:lastRenderedPageBreak/>
        <w:t>2.10 Evaluation metrics</w:t>
      </w:r>
      <w:bookmarkEnd w:id="29"/>
    </w:p>
    <w:p w14:paraId="5B23E3CD"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Treating "host" as the positive class:</w:t>
      </w:r>
    </w:p>
    <w:p w14:paraId="0AE7057E" w14:textId="77777777" w:rsidR="00723756" w:rsidRPr="00F62B8C" w:rsidRDefault="00000000" w:rsidP="00F62B8C">
      <w:pPr>
        <w:pStyle w:val="Compact"/>
        <w:numPr>
          <w:ilvl w:val="0"/>
          <w:numId w:val="6"/>
        </w:numPr>
        <w:spacing w:before="0" w:after="0" w:line="480" w:lineRule="auto"/>
        <w:rPr>
          <w:rFonts w:ascii="Times New Roman" w:hAnsi="Times New Roman" w:cs="Times New Roman"/>
        </w:rPr>
      </w:pPr>
      <w:r w:rsidRPr="00F62B8C">
        <w:rPr>
          <w:rFonts w:ascii="Times New Roman" w:hAnsi="Times New Roman" w:cs="Times New Roman"/>
          <w:b/>
          <w:bCs/>
        </w:rPr>
        <w:t>Microbial read loss</w:t>
      </w:r>
      <w:r w:rsidRPr="00F62B8C">
        <w:rPr>
          <w:rFonts w:ascii="Times New Roman" w:hAnsi="Times New Roman" w:cs="Times New Roman"/>
        </w:rPr>
        <w:t xml:space="preserve"> = false positives / true microbial reads — the fraction of genuine microbial reads discarded.</w:t>
      </w:r>
    </w:p>
    <w:p w14:paraId="5BCA7A54" w14:textId="77777777" w:rsidR="00723756" w:rsidRPr="00F62B8C" w:rsidRDefault="00000000" w:rsidP="00F62B8C">
      <w:pPr>
        <w:pStyle w:val="Compact"/>
        <w:numPr>
          <w:ilvl w:val="0"/>
          <w:numId w:val="6"/>
        </w:numPr>
        <w:spacing w:before="0" w:after="0" w:line="480" w:lineRule="auto"/>
        <w:rPr>
          <w:rFonts w:ascii="Times New Roman" w:hAnsi="Times New Roman" w:cs="Times New Roman"/>
        </w:rPr>
      </w:pPr>
      <w:r w:rsidRPr="00F62B8C">
        <w:rPr>
          <w:rFonts w:ascii="Times New Roman" w:hAnsi="Times New Roman" w:cs="Times New Roman"/>
          <w:b/>
          <w:bCs/>
        </w:rPr>
        <w:t>Host carry-over</w:t>
      </w:r>
      <w:r w:rsidRPr="00F62B8C">
        <w:rPr>
          <w:rFonts w:ascii="Times New Roman" w:hAnsi="Times New Roman" w:cs="Times New Roman"/>
        </w:rPr>
        <w:t xml:space="preserve"> = false negatives / true host reads — the fraction of host reads retained in the output.</w:t>
      </w:r>
    </w:p>
    <w:p w14:paraId="01C3D444" w14:textId="77777777" w:rsidR="00723756" w:rsidRPr="00F62B8C" w:rsidRDefault="00000000" w:rsidP="00F62B8C">
      <w:pPr>
        <w:pStyle w:val="Compact"/>
        <w:numPr>
          <w:ilvl w:val="0"/>
          <w:numId w:val="6"/>
        </w:numPr>
        <w:spacing w:before="0" w:after="0" w:line="480" w:lineRule="auto"/>
        <w:rPr>
          <w:rFonts w:ascii="Times New Roman" w:hAnsi="Times New Roman" w:cs="Times New Roman"/>
        </w:rPr>
      </w:pPr>
      <w:r w:rsidRPr="00F62B8C">
        <w:rPr>
          <w:rFonts w:ascii="Times New Roman" w:hAnsi="Times New Roman" w:cs="Times New Roman"/>
          <w:b/>
          <w:bCs/>
        </w:rPr>
        <w:t>F1</w:t>
      </w:r>
      <w:r w:rsidRPr="00F62B8C">
        <w:rPr>
          <w:rFonts w:ascii="Times New Roman" w:hAnsi="Times New Roman" w:cs="Times New Roman"/>
        </w:rPr>
        <w:t xml:space="preserve"> — harmonic mean of precision and recall over host calls.</w:t>
      </w:r>
    </w:p>
    <w:p w14:paraId="50B2EFD2" w14:textId="77777777" w:rsidR="00723756" w:rsidRPr="00F62B8C" w:rsidRDefault="00000000" w:rsidP="00F62B8C">
      <w:pPr>
        <w:pStyle w:val="Compact"/>
        <w:numPr>
          <w:ilvl w:val="0"/>
          <w:numId w:val="6"/>
        </w:numPr>
        <w:spacing w:before="0" w:after="0" w:line="480" w:lineRule="auto"/>
        <w:rPr>
          <w:rFonts w:ascii="Times New Roman" w:hAnsi="Times New Roman" w:cs="Times New Roman"/>
        </w:rPr>
      </w:pPr>
      <w:r w:rsidRPr="00F62B8C">
        <w:rPr>
          <w:rFonts w:ascii="Times New Roman" w:hAnsi="Times New Roman" w:cs="Times New Roman"/>
          <w:b/>
          <w:bCs/>
        </w:rPr>
        <w:t>Runtime</w:t>
      </w:r>
      <w:r w:rsidRPr="00F62B8C">
        <w:rPr>
          <w:rFonts w:ascii="Times New Roman" w:hAnsi="Times New Roman" w:cs="Times New Roman"/>
        </w:rPr>
        <w:t xml:space="preserve"> — wall clock, per sample and for concurrent batches.</w:t>
      </w:r>
    </w:p>
    <w:p w14:paraId="7BA73131" w14:textId="642C19E8" w:rsidR="00723756" w:rsidRPr="00F62B8C" w:rsidRDefault="00000000" w:rsidP="00F62B8C">
      <w:pPr>
        <w:pStyle w:val="Compact"/>
        <w:numPr>
          <w:ilvl w:val="0"/>
          <w:numId w:val="6"/>
        </w:numPr>
        <w:spacing w:before="0" w:after="0" w:line="480" w:lineRule="auto"/>
        <w:rPr>
          <w:rFonts w:ascii="Times New Roman" w:hAnsi="Times New Roman" w:cs="Times New Roman"/>
        </w:rPr>
      </w:pPr>
      <w:r w:rsidRPr="00F62B8C">
        <w:rPr>
          <w:rFonts w:ascii="Times New Roman" w:hAnsi="Times New Roman" w:cs="Times New Roman"/>
          <w:b/>
          <w:bCs/>
        </w:rPr>
        <w:t>Peak memory — reported as two quantities: peak resident set size of the largest single process (GNU time), and peak anonymous memory across all processes of the job (cgroup). The second is what determines how many samples can be run concurrently.</w:t>
      </w:r>
    </w:p>
    <w:p w14:paraId="581716D7"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t>Throughput — samples completed per hour for a whole 120-sample batch.</w:t>
      </w:r>
    </w:p>
    <w:p w14:paraId="08D4217B"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t>Parallel efficiency — speed-up over the same arm at one worker, divided by the worker count. Speed-up is always computed within an arm, never against another tool.</w:t>
      </w:r>
    </w:p>
    <w:p w14:paraId="4D152A53"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Downstream impact on taxonomic profiles and assemblies was not systematically benchmarked in this study; the real-data evaluation focused on throughput, memory use, and successful completion on a cohort of human oral microbiome samples.</w:t>
      </w:r>
    </w:p>
    <w:p w14:paraId="4005864C" w14:textId="77777777" w:rsidR="00723756" w:rsidRPr="00F62B8C" w:rsidRDefault="00000000" w:rsidP="00F62B8C">
      <w:pPr>
        <w:pStyle w:val="Heading2"/>
        <w:spacing w:before="0" w:after="0" w:line="480" w:lineRule="auto"/>
        <w:rPr>
          <w:rFonts w:ascii="Times New Roman" w:hAnsi="Times New Roman" w:cs="Times New Roman"/>
        </w:rPr>
      </w:pPr>
      <w:bookmarkStart w:id="30" w:name="results"/>
      <w:bookmarkStart w:id="31" w:name="_Toc240055201"/>
      <w:bookmarkEnd w:id="6"/>
      <w:bookmarkEnd w:id="28"/>
      <w:r w:rsidRPr="00F62B8C">
        <w:rPr>
          <w:rFonts w:ascii="Times New Roman" w:hAnsi="Times New Roman" w:cs="Times New Roman"/>
        </w:rPr>
        <w:t>3. Results</w:t>
      </w:r>
      <w:bookmarkEnd w:id="31"/>
    </w:p>
    <w:p w14:paraId="2EFDEAC7" w14:textId="77777777" w:rsidR="00723756" w:rsidRPr="00F62B8C" w:rsidRDefault="00000000" w:rsidP="00F62B8C">
      <w:pPr>
        <w:pStyle w:val="Heading3"/>
        <w:spacing w:before="0" w:after="0" w:line="480" w:lineRule="auto"/>
        <w:rPr>
          <w:rFonts w:ascii="Times New Roman" w:hAnsi="Times New Roman" w:cs="Times New Roman"/>
        </w:rPr>
      </w:pPr>
      <w:bookmarkStart w:id="32" w:name="Xc4caf14786b4c2d82fb92219e9d9bbbcae5502a"/>
      <w:bookmarkStart w:id="33" w:name="_Toc240055202"/>
      <w:r w:rsidRPr="00F62B8C">
        <w:rPr>
          <w:rFonts w:ascii="Times New Roman" w:hAnsi="Times New Roman" w:cs="Times New Roman"/>
        </w:rPr>
        <w:t>3.1 The two depletion strategies fail in opposite directions</w:t>
      </w:r>
      <w:bookmarkEnd w:id="33"/>
    </w:p>
    <w:p w14:paraId="5E248D9D"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Across the four evaluation datasets the error profiles of the two strategy families separated exactly as reported by Gao et al. (Figure 1, Table 2). KneadData, which depletes by alignment, discarded a mean 2.58% of genuine microbial reads, rising to 3.96% on the lowest-host dataset. </w:t>
      </w:r>
      <w:r w:rsidRPr="00F62B8C">
        <w:rPr>
          <w:rFonts w:ascii="Times New Roman" w:hAnsi="Times New Roman" w:cs="Times New Roman"/>
        </w:rPr>
        <w:lastRenderedPageBreak/>
        <w:t>RustyClean, which depletes by k-mer classification on its high-host path, discarded a mean 0.20% — 13-fold less microbial signal — but retained a mean 0.90% of host reads against 0.26% for KneadData.</w:t>
      </w:r>
    </w:p>
    <w:p w14:paraId="3B599827"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Because the two error types are unequal in their downstream consequences, the balanced F1 score obscures this structure: RustyClean and KneadData score 0.9790 and 0.9831 respectively, a difference that conveys nothing about which reads were lost. We therefore report the two error rates separately throughout.</w:t>
      </w:r>
    </w:p>
    <w:p w14:paraId="772EDB05"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noProof/>
        </w:rPr>
        <w:drawing>
          <wp:inline distT="0" distB="0" distL="0" distR="0" wp14:anchorId="28E1F1D6" wp14:editId="7F076C24">
            <wp:extent cx="5334000" cy="1723582"/>
            <wp:effectExtent l="0" t="0" r="0" b="0"/>
            <wp:docPr id="25" name="Picture"/>
            <wp:cNvGraphicFramePr/>
            <ns5:graphic>
              <ns5:graphicData uri="http://schemas.openxmlformats.org/drawingml/2006/picture">
                <ns6:pic>
                  <ns6:nvPicPr>
                    <ns6:cNvPr id="26" name="Picture" descr="figures_publication_v2/fig1_error_profile.png"/>
                    <ns6:cNvPicPr>
                      <ns5:picLocks noChangeAspect="1" noChangeArrowheads="1"/>
                    </ns6:cNvPicPr>
                  </ns6:nvPicPr>
                  <ns6:blipFill>
                    <ns5:blip r:embed="rId5"/>
                    <ns5:stretch>
                      <ns5:fillRect/>
                    </ns5:stretch>
                  </ns6:blipFill>
                  <ns6:spPr bwMode="auto">
                    <ns5:xfrm>
                      <ns5:off x="0" y="0"/>
                      <ns5:ext cx="5334000" cy="1723582"/>
                    </ns5:xfrm>
                    <ns5:prstGeom prst="rect">
                      <ns5:avLst/>
                    </ns5:prstGeom>
                    <ns5:noFill/>
                    <ns5:ln w="9525">
                      <ns5:noFill/>
                      <ns5:headEnd/>
                      <ns5:tailEnd/>
                    </ns5:ln>
                  </ns6:spPr>
                </ns6:pic>
              </ns5:graphicData>
            </ns5:graphic>
          </wp:inline>
        </w:drawing>
      </w:r>
    </w:p>
    <w:p w14:paraId="5B953A43"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Figure 1.</w:t>
      </w:r>
      <w:r w:rsidRPr="00F62B8C">
        <w:rPr>
          <w:rFonts w:ascii="Times New Roman" w:hAnsi="Times New Roman" w:cs="Times New Roman"/>
        </w:rPr>
        <w:t xml:space="preserve"> Alignment- and classification-based host depletion fail in opposite directions. (a) Microbial reads incorrectly discarded, an irreversible loss of signal. (b) Host reads incorrectly retained, a recoverable contamination. Depletion is deterministic, so accuracy does not vary between technical replicates; bars show a single evaluation per dataset.</w:t>
      </w:r>
    </w:p>
    <w:p w14:paraId="06E90851"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Table 2.</w:t>
      </w:r>
      <w:r w:rsidRPr="00F62B8C">
        <w:rPr>
          <w:rFonts w:ascii="Times New Roman" w:hAnsi="Times New Roman" w:cs="Times New Roman"/>
        </w:rPr>
        <w:t xml:space="preserve"> Host-depletion accuracy. The positive class is a retained microbial read: microbial loss is the proportion of true microbial reads discarded, host carry-over the proportion of true host reads retained.</w:t>
      </w:r>
    </w:p>
    <w:tbl>
      <w:tblPr>
        <w:tblStyle w:val="Table"/>
        <w:tblW w:w="5000" w:type="pct"/>
        <w:tblLayout w:type="fixed"/>
        <w:tblLook w:val="0020" w:firstRow="1" w:lastRow="0" w:firstColumn="0" w:lastColumn="0" w:noHBand="0" w:noVBand="0"/>
      </w:tblPr>
      <w:tblGrid>
        <w:gridCol w:w="1073"/>
        <w:gridCol w:w="1569"/>
        <w:gridCol w:w="1239"/>
        <w:gridCol w:w="991"/>
        <w:gridCol w:w="660"/>
        <w:gridCol w:w="1981"/>
        <w:gridCol w:w="2063"/>
      </w:tblGrid>
      <w:tr w:rsidR="00723756" w:rsidRPr="00F62B8C" w14:paraId="0613A26F"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887" w:type="dxa"/>
          </w:tcPr>
          <w:p w14:paraId="34F0B51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Dataset</w:t>
            </w:r>
          </w:p>
        </w:tc>
        <w:tc>
          <w:tcPr>
            <w:tcW w:w="1297" w:type="dxa"/>
          </w:tcPr>
          <w:p w14:paraId="115FE68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Tool</w:t>
            </w:r>
          </w:p>
        </w:tc>
        <w:tc>
          <w:tcPr>
            <w:tcW w:w="1024" w:type="dxa"/>
          </w:tcPr>
          <w:p w14:paraId="271BCB9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Precision</w:t>
            </w:r>
          </w:p>
        </w:tc>
        <w:tc>
          <w:tcPr>
            <w:tcW w:w="819" w:type="dxa"/>
          </w:tcPr>
          <w:p w14:paraId="705D638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Recall</w:t>
            </w:r>
          </w:p>
        </w:tc>
        <w:tc>
          <w:tcPr>
            <w:tcW w:w="546" w:type="dxa"/>
          </w:tcPr>
          <w:p w14:paraId="49C0E4F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F1</w:t>
            </w:r>
          </w:p>
        </w:tc>
        <w:tc>
          <w:tcPr>
            <w:tcW w:w="1638" w:type="dxa"/>
          </w:tcPr>
          <w:p w14:paraId="081C181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Microbial loss (%)</w:t>
            </w:r>
          </w:p>
        </w:tc>
        <w:tc>
          <w:tcPr>
            <w:tcW w:w="1706" w:type="dxa"/>
          </w:tcPr>
          <w:p w14:paraId="38D6089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Host carry-over (%)</w:t>
            </w:r>
          </w:p>
        </w:tc>
      </w:tr>
      <w:tr w:rsidR="00723756" w:rsidRPr="00F62B8C" w14:paraId="1EDDA925" w14:textId="77777777">
        <w:tc>
          <w:tcPr>
            <w:tcW w:w="887" w:type="dxa"/>
          </w:tcPr>
          <w:p w14:paraId="3A4B243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1297" w:type="dxa"/>
          </w:tcPr>
          <w:p w14:paraId="6FB8113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RustyClean (auto)</w:t>
            </w:r>
          </w:p>
        </w:tc>
        <w:tc>
          <w:tcPr>
            <w:tcW w:w="1024" w:type="dxa"/>
          </w:tcPr>
          <w:p w14:paraId="037850C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819" w:type="dxa"/>
          </w:tcPr>
          <w:p w14:paraId="39BFC32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546" w:type="dxa"/>
          </w:tcPr>
          <w:p w14:paraId="0CAF69D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1638" w:type="dxa"/>
          </w:tcPr>
          <w:p w14:paraId="407D3F4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0.000</w:t>
            </w:r>
          </w:p>
        </w:tc>
        <w:tc>
          <w:tcPr>
            <w:tcW w:w="1706" w:type="dxa"/>
          </w:tcPr>
          <w:p w14:paraId="1FF1EB5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0.387</w:t>
            </w:r>
          </w:p>
        </w:tc>
      </w:tr>
      <w:tr w:rsidR="00723756" w:rsidRPr="00F62B8C" w14:paraId="111027C4" w14:textId="77777777">
        <w:tc>
          <w:tcPr>
            <w:tcW w:w="887" w:type="dxa"/>
          </w:tcPr>
          <w:p w14:paraId="38AEA9B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5M / 1%</w:t>
            </w:r>
          </w:p>
        </w:tc>
        <w:tc>
          <w:tcPr>
            <w:tcW w:w="1297" w:type="dxa"/>
          </w:tcPr>
          <w:p w14:paraId="1FB0961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1024" w:type="dxa"/>
          </w:tcPr>
          <w:p w14:paraId="547A98F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0.9999</w:t>
            </w:r>
          </w:p>
        </w:tc>
        <w:tc>
          <w:tcPr>
            <w:tcW w:w="819" w:type="dxa"/>
          </w:tcPr>
          <w:p w14:paraId="7E4B26C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546" w:type="dxa"/>
          </w:tcPr>
          <w:p w14:paraId="241C75F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1638" w:type="dxa"/>
          </w:tcPr>
          <w:p w14:paraId="72E6695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0.000</w:t>
            </w:r>
          </w:p>
        </w:tc>
        <w:tc>
          <w:tcPr>
            <w:tcW w:w="1706" w:type="dxa"/>
          </w:tcPr>
          <w:p w14:paraId="0C64C61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0.686</w:t>
            </w:r>
          </w:p>
        </w:tc>
      </w:tr>
      <w:tr w:rsidR="00723756" w:rsidRPr="00F62B8C" w14:paraId="3DC30BCF" w14:textId="77777777">
        <w:tc>
          <w:tcPr>
            <w:tcW w:w="887" w:type="dxa"/>
          </w:tcPr>
          <w:p w14:paraId="33D241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1297" w:type="dxa"/>
          </w:tcPr>
          <w:p w14:paraId="242D670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KneadData</w:t>
            </w:r>
          </w:p>
        </w:tc>
        <w:tc>
          <w:tcPr>
            <w:tcW w:w="1024" w:type="dxa"/>
          </w:tcPr>
          <w:p w14:paraId="7CD65CB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819" w:type="dxa"/>
          </w:tcPr>
          <w:p w14:paraId="46AEFAB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0.9604</w:t>
            </w:r>
          </w:p>
        </w:tc>
        <w:tc>
          <w:tcPr>
            <w:tcW w:w="546" w:type="dxa"/>
          </w:tcPr>
          <w:p w14:paraId="41D6426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0.9798</w:t>
            </w:r>
          </w:p>
        </w:tc>
        <w:tc>
          <w:tcPr>
            <w:tcW w:w="1638" w:type="dxa"/>
          </w:tcPr>
          <w:p w14:paraId="53BD910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3.956</w:t>
            </w:r>
          </w:p>
        </w:tc>
        <w:tc>
          <w:tcPr>
            <w:tcW w:w="1706" w:type="dxa"/>
          </w:tcPr>
          <w:p w14:paraId="2A70A05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0.269</w:t>
            </w:r>
          </w:p>
        </w:tc>
      </w:tr>
      <w:tr w:rsidR="00723756" w:rsidRPr="00F62B8C" w14:paraId="2288654C" w14:textId="77777777">
        <w:tc>
          <w:tcPr>
            <w:tcW w:w="887" w:type="dxa"/>
          </w:tcPr>
          <w:p w14:paraId="7EA8C98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1297" w:type="dxa"/>
          </w:tcPr>
          <w:p w14:paraId="2C475AB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RustyClean (auto)</w:t>
            </w:r>
          </w:p>
        </w:tc>
        <w:tc>
          <w:tcPr>
            <w:tcW w:w="1024" w:type="dxa"/>
          </w:tcPr>
          <w:p w14:paraId="4870EEA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0.9995</w:t>
            </w:r>
          </w:p>
        </w:tc>
        <w:tc>
          <w:tcPr>
            <w:tcW w:w="819" w:type="dxa"/>
          </w:tcPr>
          <w:p w14:paraId="2F818A3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0.9943</w:t>
            </w:r>
          </w:p>
        </w:tc>
        <w:tc>
          <w:tcPr>
            <w:tcW w:w="546" w:type="dxa"/>
          </w:tcPr>
          <w:p w14:paraId="17A117C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0.9969</w:t>
            </w:r>
          </w:p>
        </w:tc>
        <w:tc>
          <w:tcPr>
            <w:tcW w:w="1638" w:type="dxa"/>
          </w:tcPr>
          <w:p w14:paraId="1A193FE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0.568</w:t>
            </w:r>
          </w:p>
        </w:tc>
        <w:tc>
          <w:tcPr>
            <w:tcW w:w="1706" w:type="dxa"/>
          </w:tcPr>
          <w:p w14:paraId="55B52CE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0.404</w:t>
            </w:r>
          </w:p>
        </w:tc>
      </w:tr>
      <w:tr w:rsidR="00723756" w:rsidRPr="00F62B8C" w14:paraId="25F00274" w14:textId="77777777">
        <w:tc>
          <w:tcPr>
            <w:tcW w:w="887" w:type="dxa"/>
          </w:tcPr>
          <w:p w14:paraId="65A2E41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1297" w:type="dxa"/>
          </w:tcPr>
          <w:p w14:paraId="3515D54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1024" w:type="dxa"/>
          </w:tcPr>
          <w:p w14:paraId="21A4974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0.9992</w:t>
            </w:r>
          </w:p>
        </w:tc>
        <w:tc>
          <w:tcPr>
            <w:tcW w:w="819" w:type="dxa"/>
          </w:tcPr>
          <w:p w14:paraId="424B7FD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0.9992</w:t>
            </w:r>
          </w:p>
        </w:tc>
        <w:tc>
          <w:tcPr>
            <w:tcW w:w="546" w:type="dxa"/>
          </w:tcPr>
          <w:p w14:paraId="657526A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0.9992</w:t>
            </w:r>
          </w:p>
        </w:tc>
        <w:tc>
          <w:tcPr>
            <w:tcW w:w="1638" w:type="dxa"/>
          </w:tcPr>
          <w:p w14:paraId="5A59186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0.079</w:t>
            </w:r>
          </w:p>
        </w:tc>
        <w:tc>
          <w:tcPr>
            <w:tcW w:w="1706" w:type="dxa"/>
          </w:tcPr>
          <w:p w14:paraId="27092C2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0.674</w:t>
            </w:r>
          </w:p>
        </w:tc>
      </w:tr>
      <w:tr w:rsidR="00723756" w:rsidRPr="00F62B8C" w14:paraId="0242954E" w14:textId="77777777">
        <w:tc>
          <w:tcPr>
            <w:tcW w:w="887" w:type="dxa"/>
          </w:tcPr>
          <w:p w14:paraId="039AE2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1297" w:type="dxa"/>
          </w:tcPr>
          <w:p w14:paraId="67F5D13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KneadData</w:t>
            </w:r>
          </w:p>
        </w:tc>
        <w:tc>
          <w:tcPr>
            <w:tcW w:w="1024" w:type="dxa"/>
          </w:tcPr>
          <w:p w14:paraId="5C68462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0.9997</w:t>
            </w:r>
          </w:p>
        </w:tc>
        <w:tc>
          <w:tcPr>
            <w:tcW w:w="819" w:type="dxa"/>
          </w:tcPr>
          <w:p w14:paraId="27584D3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0.9721</w:t>
            </w:r>
          </w:p>
        </w:tc>
        <w:tc>
          <w:tcPr>
            <w:tcW w:w="546" w:type="dxa"/>
          </w:tcPr>
          <w:p w14:paraId="0196106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0.9857</w:t>
            </w:r>
          </w:p>
        </w:tc>
        <w:tc>
          <w:tcPr>
            <w:tcW w:w="1638" w:type="dxa"/>
          </w:tcPr>
          <w:p w14:paraId="7500948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2.791</w:t>
            </w:r>
          </w:p>
        </w:tc>
        <w:tc>
          <w:tcPr>
            <w:tcW w:w="1706" w:type="dxa"/>
          </w:tcPr>
          <w:p w14:paraId="324E55E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0.255</w:t>
            </w:r>
          </w:p>
        </w:tc>
      </w:tr>
      <w:tr w:rsidR="00723756" w:rsidRPr="00F62B8C" w14:paraId="65F1CF6E" w14:textId="77777777">
        <w:tc>
          <w:tcPr>
            <w:tcW w:w="887" w:type="dxa"/>
          </w:tcPr>
          <w:p w14:paraId="4F6673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1297" w:type="dxa"/>
          </w:tcPr>
          <w:p w14:paraId="286FAED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RustyClean (auto)</w:t>
            </w:r>
          </w:p>
        </w:tc>
        <w:tc>
          <w:tcPr>
            <w:tcW w:w="1024" w:type="dxa"/>
          </w:tcPr>
          <w:p w14:paraId="5F93C23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0.9795</w:t>
            </w:r>
          </w:p>
        </w:tc>
        <w:tc>
          <w:tcPr>
            <w:tcW w:w="819" w:type="dxa"/>
          </w:tcPr>
          <w:p w14:paraId="428F0D8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0.9987</w:t>
            </w:r>
          </w:p>
        </w:tc>
        <w:tc>
          <w:tcPr>
            <w:tcW w:w="546" w:type="dxa"/>
          </w:tcPr>
          <w:p w14:paraId="0506C17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0.9890</w:t>
            </w:r>
          </w:p>
        </w:tc>
        <w:tc>
          <w:tcPr>
            <w:tcW w:w="1638" w:type="dxa"/>
          </w:tcPr>
          <w:p w14:paraId="6F37FE3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0.130</w:t>
            </w:r>
          </w:p>
        </w:tc>
        <w:tc>
          <w:tcPr>
            <w:tcW w:w="1706" w:type="dxa"/>
          </w:tcPr>
          <w:p w14:paraId="5221637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1.411</w:t>
            </w:r>
          </w:p>
        </w:tc>
      </w:tr>
      <w:tr w:rsidR="00723756" w:rsidRPr="00F62B8C" w14:paraId="6501366C" w14:textId="77777777">
        <w:tc>
          <w:tcPr>
            <w:tcW w:w="887" w:type="dxa"/>
          </w:tcPr>
          <w:p w14:paraId="08AF8AD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1297" w:type="dxa"/>
          </w:tcPr>
          <w:p w14:paraId="516D8E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1024" w:type="dxa"/>
          </w:tcPr>
          <w:p w14:paraId="730679E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0.9901</w:t>
            </w:r>
          </w:p>
        </w:tc>
        <w:tc>
          <w:tcPr>
            <w:tcW w:w="819" w:type="dxa"/>
          </w:tcPr>
          <w:p w14:paraId="5A7E851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1.0000</w:t>
            </w:r>
          </w:p>
        </w:tc>
        <w:tc>
          <w:tcPr>
            <w:tcW w:w="546" w:type="dxa"/>
          </w:tcPr>
          <w:p w14:paraId="42C4301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0.9950</w:t>
            </w:r>
          </w:p>
        </w:tc>
        <w:tc>
          <w:tcPr>
            <w:tcW w:w="1638" w:type="dxa"/>
          </w:tcPr>
          <w:p w14:paraId="7B76152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0.000</w:t>
            </w:r>
          </w:p>
        </w:tc>
        <w:tc>
          <w:tcPr>
            <w:tcW w:w="1706" w:type="dxa"/>
          </w:tcPr>
          <w:p w14:paraId="7C15A25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0.676</w:t>
            </w:r>
          </w:p>
        </w:tc>
      </w:tr>
      <w:tr w:rsidR="00723756" w:rsidRPr="00F62B8C" w14:paraId="63C3365B" w14:textId="77777777">
        <w:tc>
          <w:tcPr>
            <w:tcW w:w="887" w:type="dxa"/>
          </w:tcPr>
          <w:p w14:paraId="7A91B93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1297" w:type="dxa"/>
          </w:tcPr>
          <w:p w14:paraId="437AF64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KneadData</w:t>
            </w:r>
          </w:p>
        </w:tc>
        <w:tc>
          <w:tcPr>
            <w:tcW w:w="1024" w:type="dxa"/>
          </w:tcPr>
          <w:p w14:paraId="5F46DB5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0.9963</w:t>
            </w:r>
          </w:p>
        </w:tc>
        <w:tc>
          <w:tcPr>
            <w:tcW w:w="819" w:type="dxa"/>
          </w:tcPr>
          <w:p w14:paraId="3C59280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0.9858</w:t>
            </w:r>
          </w:p>
        </w:tc>
        <w:tc>
          <w:tcPr>
            <w:tcW w:w="546" w:type="dxa"/>
          </w:tcPr>
          <w:p w14:paraId="4361F18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0.9910</w:t>
            </w:r>
          </w:p>
        </w:tc>
        <w:tc>
          <w:tcPr>
            <w:tcW w:w="1638" w:type="dxa"/>
          </w:tcPr>
          <w:p w14:paraId="1F7AD4F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1.425</w:t>
            </w:r>
          </w:p>
        </w:tc>
        <w:tc>
          <w:tcPr>
            <w:tcW w:w="1706" w:type="dxa"/>
          </w:tcPr>
          <w:p w14:paraId="46486E7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0.250</w:t>
            </w:r>
          </w:p>
        </w:tc>
      </w:tr>
      <w:tr w:rsidR="00723756" w:rsidRPr="00F62B8C" w14:paraId="6DE4B89F" w14:textId="77777777">
        <w:tc>
          <w:tcPr>
            <w:tcW w:w="887" w:type="dxa"/>
          </w:tcPr>
          <w:p w14:paraId="53091A7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1297" w:type="dxa"/>
          </w:tcPr>
          <w:p w14:paraId="1F487C0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RustyClean (auto)</w:t>
            </w:r>
          </w:p>
        </w:tc>
        <w:tc>
          <w:tcPr>
            <w:tcW w:w="1024" w:type="dxa"/>
          </w:tcPr>
          <w:p w14:paraId="3AC9FE1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0.8698</w:t>
            </w:r>
          </w:p>
        </w:tc>
        <w:tc>
          <w:tcPr>
            <w:tcW w:w="819" w:type="dxa"/>
          </w:tcPr>
          <w:p w14:paraId="722690D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0.9989</w:t>
            </w:r>
          </w:p>
        </w:tc>
        <w:tc>
          <w:tcPr>
            <w:tcW w:w="546" w:type="dxa"/>
          </w:tcPr>
          <w:p w14:paraId="4C90C24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0.9299</w:t>
            </w:r>
          </w:p>
        </w:tc>
        <w:tc>
          <w:tcPr>
            <w:tcW w:w="1638" w:type="dxa"/>
          </w:tcPr>
          <w:p w14:paraId="6879329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0.110</w:t>
            </w:r>
          </w:p>
        </w:tc>
        <w:tc>
          <w:tcPr>
            <w:tcW w:w="1706" w:type="dxa"/>
          </w:tcPr>
          <w:p w14:paraId="0C95E7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1.407</w:t>
            </w:r>
          </w:p>
        </w:tc>
      </w:tr>
      <w:tr w:rsidR="00723756" w:rsidRPr="00F62B8C" w14:paraId="61CA7F1C" w14:textId="77777777">
        <w:tc>
          <w:tcPr>
            <w:tcW w:w="887" w:type="dxa"/>
          </w:tcPr>
          <w:p w14:paraId="7A8BAC7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1297" w:type="dxa"/>
          </w:tcPr>
          <w:p w14:paraId="5B65137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1024" w:type="dxa"/>
          </w:tcPr>
          <w:p w14:paraId="4FA9D21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0.9331</w:t>
            </w:r>
          </w:p>
        </w:tc>
        <w:tc>
          <w:tcPr>
            <w:tcW w:w="819" w:type="dxa"/>
          </w:tcPr>
          <w:p w14:paraId="40EEA0B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0.9996</w:t>
            </w:r>
          </w:p>
        </w:tc>
        <w:tc>
          <w:tcPr>
            <w:tcW w:w="546" w:type="dxa"/>
          </w:tcPr>
          <w:p w14:paraId="1D9861D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0.9652</w:t>
            </w:r>
          </w:p>
        </w:tc>
        <w:tc>
          <w:tcPr>
            <w:tcW w:w="1638" w:type="dxa"/>
          </w:tcPr>
          <w:p w14:paraId="79EDB13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0.039</w:t>
            </w:r>
          </w:p>
        </w:tc>
        <w:tc>
          <w:tcPr>
            <w:tcW w:w="1706" w:type="dxa"/>
          </w:tcPr>
          <w:p w14:paraId="2EB49BD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0.674</w:t>
            </w:r>
          </w:p>
        </w:tc>
      </w:tr>
      <w:tr w:rsidR="00723756" w:rsidRPr="00F62B8C" w14:paraId="29AB9837" w14:textId="77777777">
        <w:tc>
          <w:tcPr>
            <w:tcW w:w="887" w:type="dxa"/>
          </w:tcPr>
          <w:p w14:paraId="307B3B6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 xml:space="preserve">60M / </w:t>
            </w:r>
            <w:r w:rsidRPr="00F62B8C">
              <w:rPr>
                <w:rFonts w:ascii="Times New Roman" w:hAnsi="Times New Roman" w:cs="Times New Roman"/>
              </w:rPr>
              <w:lastRenderedPageBreak/>
              <w:t>90%</w:t>
            </w:r>
          </w:p>
        </w:tc>
        <w:tc>
          <w:tcPr>
            <w:tcW w:w="1297" w:type="dxa"/>
          </w:tcPr>
          <w:p w14:paraId="02A1A26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KneadData</w:t>
            </w:r>
          </w:p>
        </w:tc>
        <w:tc>
          <w:tcPr>
            <w:tcW w:w="1024" w:type="dxa"/>
          </w:tcPr>
          <w:p w14:paraId="0DE0ED3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0.9736</w:t>
            </w:r>
          </w:p>
        </w:tc>
        <w:tc>
          <w:tcPr>
            <w:tcW w:w="819" w:type="dxa"/>
          </w:tcPr>
          <w:p w14:paraId="08F8301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0.9785</w:t>
            </w:r>
          </w:p>
        </w:tc>
        <w:tc>
          <w:tcPr>
            <w:tcW w:w="546" w:type="dxa"/>
          </w:tcPr>
          <w:p w14:paraId="345ACC0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w:t>
            </w:r>
            <w:r w:rsidRPr="00F62B8C">
              <w:rPr>
                <w:rFonts w:ascii="Times New Roman" w:hAnsi="Times New Roman" w:cs="Times New Roman"/>
              </w:rPr>
              <w:lastRenderedPageBreak/>
              <w:t>60</w:t>
            </w:r>
          </w:p>
        </w:tc>
        <w:tc>
          <w:tcPr>
            <w:tcW w:w="1638" w:type="dxa"/>
          </w:tcPr>
          <w:p w14:paraId="1A5246A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2.154</w:t>
            </w:r>
          </w:p>
        </w:tc>
        <w:tc>
          <w:tcPr>
            <w:tcW w:w="1706" w:type="dxa"/>
          </w:tcPr>
          <w:p w14:paraId="616CE57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0.250</w:t>
            </w:r>
          </w:p>
        </w:tc>
      </w:tr>
      <w:tr w:rsidR="00723756" w:rsidRPr="00F62B8C" w14:paraId="787307A0" w14:textId="77777777">
        <w:tc>
          <w:tcPr>
            <w:tcW w:w="887" w:type="dxa"/>
          </w:tcPr>
          <w:p w14:paraId="36FB403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Mean</w:t>
            </w:r>
          </w:p>
        </w:tc>
        <w:tc>
          <w:tcPr>
            <w:tcW w:w="1297" w:type="dxa"/>
          </w:tcPr>
          <w:p w14:paraId="5FDC17D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RustyClean (auto)</w:t>
            </w:r>
          </w:p>
        </w:tc>
        <w:tc>
          <w:tcPr>
            <w:tcW w:w="1024" w:type="dxa"/>
          </w:tcPr>
          <w:p w14:paraId="198C398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819" w:type="dxa"/>
          </w:tcPr>
          <w:p w14:paraId="3386B08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546" w:type="dxa"/>
          </w:tcPr>
          <w:p w14:paraId="512EFA6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0.9790</w:t>
            </w:r>
          </w:p>
        </w:tc>
        <w:tc>
          <w:tcPr>
            <w:tcW w:w="1638" w:type="dxa"/>
          </w:tcPr>
          <w:p w14:paraId="1248B5E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0.202</w:t>
            </w:r>
          </w:p>
        </w:tc>
        <w:tc>
          <w:tcPr>
            <w:tcW w:w="1706" w:type="dxa"/>
          </w:tcPr>
          <w:p w14:paraId="0A7653A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0.902</w:t>
            </w:r>
          </w:p>
        </w:tc>
      </w:tr>
      <w:tr w:rsidR="00723756" w:rsidRPr="00F62B8C" w14:paraId="33C8B8A9" w14:textId="77777777">
        <w:tc>
          <w:tcPr>
            <w:tcW w:w="887" w:type="dxa"/>
          </w:tcPr>
          <w:p w14:paraId="6FF8718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Mean</w:t>
            </w:r>
          </w:p>
        </w:tc>
        <w:tc>
          <w:tcPr>
            <w:tcW w:w="1297" w:type="dxa"/>
          </w:tcPr>
          <w:p w14:paraId="2928DB6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1024" w:type="dxa"/>
          </w:tcPr>
          <w:p w14:paraId="1F75ECA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819" w:type="dxa"/>
          </w:tcPr>
          <w:p w14:paraId="0A040A7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546" w:type="dxa"/>
          </w:tcPr>
          <w:p w14:paraId="581294F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0.9899</w:t>
            </w:r>
          </w:p>
        </w:tc>
        <w:tc>
          <w:tcPr>
            <w:tcW w:w="1638" w:type="dxa"/>
          </w:tcPr>
          <w:p w14:paraId="5BE93C0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0.029</w:t>
            </w:r>
          </w:p>
        </w:tc>
        <w:tc>
          <w:tcPr>
            <w:tcW w:w="1706" w:type="dxa"/>
          </w:tcPr>
          <w:p w14:paraId="1DB13EF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0.678</w:t>
            </w:r>
          </w:p>
        </w:tc>
      </w:tr>
      <w:tr w:rsidR="00723756" w:rsidRPr="00F62B8C" w14:paraId="23BC0A66" w14:textId="77777777">
        <w:tc>
          <w:tcPr>
            <w:tcW w:w="887" w:type="dxa"/>
          </w:tcPr>
          <w:p w14:paraId="3660F0B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Mean</w:t>
            </w:r>
          </w:p>
        </w:tc>
        <w:tc>
          <w:tcPr>
            <w:tcW w:w="1297" w:type="dxa"/>
          </w:tcPr>
          <w:p w14:paraId="3FFF03E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KneadData</w:t>
            </w:r>
          </w:p>
        </w:tc>
        <w:tc>
          <w:tcPr>
            <w:tcW w:w="1024" w:type="dxa"/>
          </w:tcPr>
          <w:p w14:paraId="35459EF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819" w:type="dxa"/>
          </w:tcPr>
          <w:p w14:paraId="4AEF5E3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546" w:type="dxa"/>
          </w:tcPr>
          <w:p w14:paraId="5BFE359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0.9831</w:t>
            </w:r>
          </w:p>
        </w:tc>
        <w:tc>
          <w:tcPr>
            <w:tcW w:w="1638" w:type="dxa"/>
          </w:tcPr>
          <w:p w14:paraId="425A413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2.582</w:t>
            </w:r>
          </w:p>
        </w:tc>
        <w:tc>
          <w:tcPr>
            <w:tcW w:w="1706" w:type="dxa"/>
          </w:tcPr>
          <w:p w14:paraId="1B83A0C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0.256</w:t>
            </w:r>
          </w:p>
        </w:tc>
      </w:tr>
    </w:tbl>
    <w:p w14:paraId="7FE7BA8D" w14:textId="77777777" w:rsidR="00723756" w:rsidRPr="00F62B8C" w:rsidRDefault="00000000" w:rsidP="00F62B8C">
      <w:pPr>
        <w:pStyle w:val="Heading3"/>
        <w:spacing w:before="0" w:after="0" w:line="480" w:lineRule="auto"/>
        <w:rPr>
          <w:rFonts w:ascii="Times New Roman" w:hAnsi="Times New Roman" w:cs="Times New Roman"/>
        </w:rPr>
      </w:pPr>
      <w:bookmarkStart w:id="34" w:name="X766320909ac121c0b6cf9f18fe65e8251c2c4ef"/>
      <w:bookmarkStart w:id="35" w:name="_Toc240055203"/>
      <w:bookmarkEnd w:id="32"/>
      <w:r w:rsidRPr="00F62B8C">
        <w:rPr>
          <w:rFonts w:ascii="Times New Roman" w:hAnsi="Times New Roman" w:cs="Times New Roman"/>
        </w:rPr>
        <w:t>3.2 Per-sample routing selects the appropriate backend</w:t>
      </w:r>
      <w:bookmarkEnd w:id="35"/>
    </w:p>
    <w:p w14:paraId="77ECA8B5"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Host fraction estimated from a 100,000-read subsample tracked the realised fraction closely on three of four datasets: 0.93% against 0.95% realised, and 10.13% against 10.02%. On the skewed 30M dataset the estimator underestimated by 10.8 percentage points (48.95% against 59.73%), reflecting the difficulty of estimating composition from a small subsample of a highly uneven community. Routing was nevertheless correct in all four cases, because the decision requires only that the estimate fall on the correct side of a threshold rather than that it be accurate. This tolerance is a deliberate property of the design.</w:t>
      </w:r>
    </w:p>
    <w:p w14:paraId="4D1120C3"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Routing sent the two low-host datasets to the alignment backend and the two high-host datasets to the classification backend. Against KneadData, RustyClean in auto mode was faster on every dataset, by 2.5× to 4.6× (Table 3), with the largest margin at the highest host fraction — the regime in which alignment-based depletion is most expensive.</w:t>
      </w:r>
    </w:p>
    <w:p w14:paraId="2522C02B"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Table 3.</w:t>
      </w:r>
      <w:r w:rsidRPr="00F62B8C">
        <w:rPr>
          <w:rFonts w:ascii="Times New Roman" w:hAnsi="Times New Roman" w:cs="Times New Roman"/>
        </w:rPr>
        <w:t xml:space="preserve"> Runtime and peak memory. RC, RustyClean in auto mode; KD, KneadData. The Hostile comparison is run with quality control skipped on both sides (RC⁻ᵠᶜ) so that only the </w:t>
      </w:r>
      <w:r w:rsidRPr="00F62B8C">
        <w:rPr>
          <w:rFonts w:ascii="Times New Roman" w:hAnsi="Times New Roman" w:cs="Times New Roman"/>
        </w:rPr>
        <w:lastRenderedPageBreak/>
        <w:t>depletion step is timed. Peak memory is the maximum resident set size of the largest single process.</w:t>
      </w:r>
    </w:p>
    <w:tbl>
      <w:tblPr>
        <w:tblStyle w:val="Table"/>
        <w:tblW w:w="5000" w:type="pct"/>
        <w:tblLayout w:type="fixed"/>
        <w:tblLook w:val="0020" w:firstRow="1" w:lastRow="0" w:firstColumn="0" w:lastColumn="0" w:noHBand="0" w:noVBand="0"/>
      </w:tblPr>
      <w:tblGrid>
        <w:gridCol w:w="769"/>
        <w:gridCol w:w="768"/>
        <w:gridCol w:w="1123"/>
        <w:gridCol w:w="709"/>
        <w:gridCol w:w="709"/>
        <w:gridCol w:w="650"/>
        <w:gridCol w:w="887"/>
        <w:gridCol w:w="1005"/>
        <w:gridCol w:w="946"/>
        <w:gridCol w:w="1005"/>
        <w:gridCol w:w="1005"/>
      </w:tblGrid>
      <w:tr w:rsidR="00723756" w:rsidRPr="00F62B8C" w14:paraId="5FAE7054"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635" w:type="dxa"/>
          </w:tcPr>
          <w:p w14:paraId="4132F79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Dataset</w:t>
            </w:r>
          </w:p>
        </w:tc>
        <w:tc>
          <w:tcPr>
            <w:tcW w:w="635" w:type="dxa"/>
          </w:tcPr>
          <w:p w14:paraId="5B51C1C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Backend</w:t>
            </w:r>
          </w:p>
        </w:tc>
        <w:tc>
          <w:tcPr>
            <w:tcW w:w="928" w:type="dxa"/>
          </w:tcPr>
          <w:p w14:paraId="6A850D7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Est. host (%)</w:t>
            </w:r>
          </w:p>
        </w:tc>
        <w:tc>
          <w:tcPr>
            <w:tcW w:w="586" w:type="dxa"/>
          </w:tcPr>
          <w:p w14:paraId="0D639F2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RC (s)</w:t>
            </w:r>
          </w:p>
        </w:tc>
        <w:tc>
          <w:tcPr>
            <w:tcW w:w="586" w:type="dxa"/>
          </w:tcPr>
          <w:p w14:paraId="41DE334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KD (s)</w:t>
            </w:r>
          </w:p>
        </w:tc>
        <w:tc>
          <w:tcPr>
            <w:tcW w:w="537" w:type="dxa"/>
          </w:tcPr>
          <w:p w14:paraId="0460F70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vs KD</w:t>
            </w:r>
          </w:p>
        </w:tc>
        <w:tc>
          <w:tcPr>
            <w:tcW w:w="733" w:type="dxa"/>
          </w:tcPr>
          <w:p w14:paraId="16F21DD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RC⁻ᵠᶜ (s)</w:t>
            </w:r>
          </w:p>
        </w:tc>
        <w:tc>
          <w:tcPr>
            <w:tcW w:w="831" w:type="dxa"/>
          </w:tcPr>
          <w:p w14:paraId="616F877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Hostile (s)</w:t>
            </w:r>
          </w:p>
        </w:tc>
        <w:tc>
          <w:tcPr>
            <w:tcW w:w="782" w:type="dxa"/>
          </w:tcPr>
          <w:p w14:paraId="0EACA93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vs Hostile</w:t>
            </w:r>
          </w:p>
        </w:tc>
        <w:tc>
          <w:tcPr>
            <w:tcW w:w="831" w:type="dxa"/>
          </w:tcPr>
          <w:p w14:paraId="10E4535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RC mem (GB)</w:t>
            </w:r>
          </w:p>
        </w:tc>
        <w:tc>
          <w:tcPr>
            <w:tcW w:w="831" w:type="dxa"/>
          </w:tcPr>
          <w:p w14:paraId="225CDD9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KD mem (GB)</w:t>
            </w:r>
          </w:p>
        </w:tc>
      </w:tr>
      <w:tr w:rsidR="00723756" w:rsidRPr="00F62B8C" w14:paraId="69D90324" w14:textId="77777777">
        <w:tc>
          <w:tcPr>
            <w:tcW w:w="635" w:type="dxa"/>
          </w:tcPr>
          <w:p w14:paraId="42182B5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635" w:type="dxa"/>
          </w:tcPr>
          <w:p w14:paraId="3444A1B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bowtie2</w:t>
            </w:r>
          </w:p>
        </w:tc>
        <w:tc>
          <w:tcPr>
            <w:tcW w:w="928" w:type="dxa"/>
          </w:tcPr>
          <w:p w14:paraId="47FCF14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0.93</w:t>
            </w:r>
          </w:p>
        </w:tc>
        <w:tc>
          <w:tcPr>
            <w:tcW w:w="586" w:type="dxa"/>
          </w:tcPr>
          <w:p w14:paraId="4DC0032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170</w:t>
            </w:r>
          </w:p>
        </w:tc>
        <w:tc>
          <w:tcPr>
            <w:tcW w:w="586" w:type="dxa"/>
          </w:tcPr>
          <w:p w14:paraId="5A47013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420</w:t>
            </w:r>
          </w:p>
        </w:tc>
        <w:tc>
          <w:tcPr>
            <w:tcW w:w="537" w:type="dxa"/>
          </w:tcPr>
          <w:p w14:paraId="7107287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2.47×</w:t>
            </w:r>
          </w:p>
        </w:tc>
        <w:tc>
          <w:tcPr>
            <w:tcW w:w="733" w:type="dxa"/>
          </w:tcPr>
          <w:p w14:paraId="3AA977D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106</w:t>
            </w:r>
          </w:p>
        </w:tc>
        <w:tc>
          <w:tcPr>
            <w:tcW w:w="831" w:type="dxa"/>
          </w:tcPr>
          <w:p w14:paraId="1267359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110</w:t>
            </w:r>
          </w:p>
        </w:tc>
        <w:tc>
          <w:tcPr>
            <w:tcW w:w="782" w:type="dxa"/>
          </w:tcPr>
          <w:p w14:paraId="1C7ED9F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1.04×</w:t>
            </w:r>
          </w:p>
        </w:tc>
        <w:tc>
          <w:tcPr>
            <w:tcW w:w="831" w:type="dxa"/>
          </w:tcPr>
          <w:p w14:paraId="497B92F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3.3</w:t>
            </w:r>
          </w:p>
        </w:tc>
        <w:tc>
          <w:tcPr>
            <w:tcW w:w="831" w:type="dxa"/>
          </w:tcPr>
          <w:p w14:paraId="24C30D1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r>
      <w:tr w:rsidR="00723756" w:rsidRPr="00F62B8C" w14:paraId="0312AE89" w14:textId="77777777">
        <w:tc>
          <w:tcPr>
            <w:tcW w:w="635" w:type="dxa"/>
          </w:tcPr>
          <w:p w14:paraId="455A5E3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635" w:type="dxa"/>
          </w:tcPr>
          <w:p w14:paraId="36DDFBB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bowtie2</w:t>
            </w:r>
          </w:p>
        </w:tc>
        <w:tc>
          <w:tcPr>
            <w:tcW w:w="928" w:type="dxa"/>
          </w:tcPr>
          <w:p w14:paraId="7D0D6B3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10.13</w:t>
            </w:r>
          </w:p>
        </w:tc>
        <w:tc>
          <w:tcPr>
            <w:tcW w:w="586" w:type="dxa"/>
          </w:tcPr>
          <w:p w14:paraId="06D847B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189</w:t>
            </w:r>
          </w:p>
        </w:tc>
        <w:tc>
          <w:tcPr>
            <w:tcW w:w="586" w:type="dxa"/>
          </w:tcPr>
          <w:p w14:paraId="3243629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694</w:t>
            </w:r>
          </w:p>
        </w:tc>
        <w:tc>
          <w:tcPr>
            <w:tcW w:w="537" w:type="dxa"/>
          </w:tcPr>
          <w:p w14:paraId="5E29F60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3.68×</w:t>
            </w:r>
          </w:p>
        </w:tc>
        <w:tc>
          <w:tcPr>
            <w:tcW w:w="733" w:type="dxa"/>
          </w:tcPr>
          <w:p w14:paraId="0AD1173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116</w:t>
            </w:r>
          </w:p>
        </w:tc>
        <w:tc>
          <w:tcPr>
            <w:tcW w:w="831" w:type="dxa"/>
          </w:tcPr>
          <w:p w14:paraId="1275095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212</w:t>
            </w:r>
          </w:p>
        </w:tc>
        <w:tc>
          <w:tcPr>
            <w:tcW w:w="782" w:type="dxa"/>
          </w:tcPr>
          <w:p w14:paraId="2EF4902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1.83×</w:t>
            </w:r>
          </w:p>
        </w:tc>
        <w:tc>
          <w:tcPr>
            <w:tcW w:w="831" w:type="dxa"/>
          </w:tcPr>
          <w:p w14:paraId="774ABC1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3.3</w:t>
            </w:r>
          </w:p>
        </w:tc>
        <w:tc>
          <w:tcPr>
            <w:tcW w:w="831" w:type="dxa"/>
          </w:tcPr>
          <w:p w14:paraId="091EF11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r>
      <w:tr w:rsidR="00723756" w:rsidRPr="00F62B8C" w14:paraId="39BA97A7" w14:textId="77777777">
        <w:tc>
          <w:tcPr>
            <w:tcW w:w="635" w:type="dxa"/>
          </w:tcPr>
          <w:p w14:paraId="7EBE685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635" w:type="dxa"/>
          </w:tcPr>
          <w:p w14:paraId="69B53EF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kraken2</w:t>
            </w:r>
          </w:p>
        </w:tc>
        <w:tc>
          <w:tcPr>
            <w:tcW w:w="928" w:type="dxa"/>
          </w:tcPr>
          <w:p w14:paraId="693CD85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48.95</w:t>
            </w:r>
          </w:p>
        </w:tc>
        <w:tc>
          <w:tcPr>
            <w:tcW w:w="586" w:type="dxa"/>
          </w:tcPr>
          <w:p w14:paraId="5E44D9F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815</w:t>
            </w:r>
          </w:p>
        </w:tc>
        <w:tc>
          <w:tcPr>
            <w:tcW w:w="586" w:type="dxa"/>
          </w:tcPr>
          <w:p w14:paraId="126BFBA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2317</w:t>
            </w:r>
          </w:p>
        </w:tc>
        <w:tc>
          <w:tcPr>
            <w:tcW w:w="537" w:type="dxa"/>
          </w:tcPr>
          <w:p w14:paraId="53A224B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2.84×</w:t>
            </w:r>
          </w:p>
        </w:tc>
        <w:tc>
          <w:tcPr>
            <w:tcW w:w="733" w:type="dxa"/>
          </w:tcPr>
          <w:p w14:paraId="0E673B4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552</w:t>
            </w:r>
          </w:p>
        </w:tc>
        <w:tc>
          <w:tcPr>
            <w:tcW w:w="831" w:type="dxa"/>
          </w:tcPr>
          <w:p w14:paraId="295AC30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2385</w:t>
            </w:r>
          </w:p>
        </w:tc>
        <w:tc>
          <w:tcPr>
            <w:tcW w:w="782" w:type="dxa"/>
          </w:tcPr>
          <w:p w14:paraId="19F7C28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4.32×</w:t>
            </w:r>
          </w:p>
        </w:tc>
        <w:tc>
          <w:tcPr>
            <w:tcW w:w="831" w:type="dxa"/>
          </w:tcPr>
          <w:p w14:paraId="50EE5B4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15.4</w:t>
            </w:r>
          </w:p>
        </w:tc>
        <w:tc>
          <w:tcPr>
            <w:tcW w:w="831" w:type="dxa"/>
          </w:tcPr>
          <w:p w14:paraId="632FBEE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r>
      <w:tr w:rsidR="00723756" w:rsidRPr="00F62B8C" w14:paraId="116C6E6D" w14:textId="77777777">
        <w:tc>
          <w:tcPr>
            <w:tcW w:w="635" w:type="dxa"/>
          </w:tcPr>
          <w:p w14:paraId="4658BA4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635" w:type="dxa"/>
          </w:tcPr>
          <w:p w14:paraId="54F03DF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kraken2</w:t>
            </w:r>
          </w:p>
        </w:tc>
        <w:tc>
          <w:tcPr>
            <w:tcW w:w="928" w:type="dxa"/>
          </w:tcPr>
          <w:p w14:paraId="1F8621B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89.43</w:t>
            </w:r>
          </w:p>
        </w:tc>
        <w:tc>
          <w:tcPr>
            <w:tcW w:w="586" w:type="dxa"/>
          </w:tcPr>
          <w:p w14:paraId="77C771E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1470</w:t>
            </w:r>
          </w:p>
        </w:tc>
        <w:tc>
          <w:tcPr>
            <w:tcW w:w="586" w:type="dxa"/>
          </w:tcPr>
          <w:p w14:paraId="39693BE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6822</w:t>
            </w:r>
          </w:p>
        </w:tc>
        <w:tc>
          <w:tcPr>
            <w:tcW w:w="537" w:type="dxa"/>
          </w:tcPr>
          <w:p w14:paraId="152CD5E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4.64×</w:t>
            </w:r>
          </w:p>
        </w:tc>
        <w:tc>
          <w:tcPr>
            <w:tcW w:w="733" w:type="dxa"/>
          </w:tcPr>
          <w:p w14:paraId="7417D55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858</w:t>
            </w:r>
          </w:p>
        </w:tc>
        <w:tc>
          <w:tcPr>
            <w:tcW w:w="831" w:type="dxa"/>
          </w:tcPr>
          <w:p w14:paraId="5160483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4241</w:t>
            </w:r>
          </w:p>
        </w:tc>
        <w:tc>
          <w:tcPr>
            <w:tcW w:w="782" w:type="dxa"/>
          </w:tcPr>
          <w:p w14:paraId="75BE54B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4.94×</w:t>
            </w:r>
          </w:p>
        </w:tc>
        <w:tc>
          <w:tcPr>
            <w:tcW w:w="831" w:type="dxa"/>
          </w:tcPr>
          <w:p w14:paraId="21C402C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15.4</w:t>
            </w:r>
          </w:p>
        </w:tc>
        <w:tc>
          <w:tcPr>
            <w:tcW w:w="831" w:type="dxa"/>
          </w:tcPr>
          <w:p w14:paraId="77ABB5D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r>
    </w:tbl>
    <w:p w14:paraId="07D4F33D" w14:textId="77777777" w:rsidR="00723756" w:rsidRPr="00F62B8C" w:rsidRDefault="00000000" w:rsidP="00F62B8C">
      <w:pPr>
        <w:pStyle w:val="Heading3"/>
        <w:spacing w:before="0" w:after="0" w:line="480" w:lineRule="auto"/>
        <w:rPr>
          <w:rFonts w:ascii="Times New Roman" w:hAnsi="Times New Roman" w:cs="Times New Roman"/>
        </w:rPr>
      </w:pPr>
      <w:bookmarkStart w:id="36" w:name="Xd105d91de94b2eab2f23e668ba816a7adf5294e"/>
      <w:bookmarkStart w:id="37" w:name="_Toc240055204"/>
      <w:bookmarkEnd w:id="34"/>
      <w:r w:rsidRPr="00F62B8C">
        <w:rPr>
          <w:rFonts w:ascii="Times New Roman" w:hAnsi="Times New Roman" w:cs="Times New Roman"/>
        </w:rPr>
        <w:t>3.3 A targeted verification pass resolves the residual-host trade-off</w:t>
      </w:r>
      <w:bookmarkEnd w:id="37"/>
    </w:p>
    <w:p w14:paraId="0F842203"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The verification pass is enabled by default on the classification path, so the comparison below isolates its contribution against a classification-only baseline. Aligning the reads retained by Kraken2 against the host index and removing those that align reduced host carry-over from a mean 1.409% to 0.0715% — a 19.7-fold reduction, and remarkably consistent across datasets. Microbial loss rose from 0.115% to 0.399%, which remains 6.5-fold below KneadData. The pass </w:t>
      </w:r>
      <w:r w:rsidRPr="00F62B8C">
        <w:rPr>
          <w:rFonts w:ascii="Times New Roman" w:hAnsi="Times New Roman" w:cs="Times New Roman"/>
        </w:rPr>
        <w:lastRenderedPageBreak/>
        <w:t>is therefore not a simple trade of one error for the other: it removes roughly twenty times more residual host than the microbial signal it costs.</w:t>
      </w:r>
    </w:p>
    <w:p w14:paraId="5B197F11"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The effect is largest exactly where the baseline was weakest. On the two 90%-host datasets, F1 rose from 0.9299 to 0.9942 and from 0.9299 to 0.9943. Mean runtime cost was 6.7%, consistent with the design expectation that the verification set is small precisely when host content is high; peak memory was unchanged.</w:t>
      </w:r>
    </w:p>
    <w:p w14:paraId="7C2C8EEE" w14:textId="77777777" w:rsidR="00723756" w:rsidRPr="00F62B8C" w:rsidRDefault="00000000" w:rsidP="00F62B8C">
      <w:pPr>
        <w:pStyle w:val="Heading3"/>
        <w:spacing w:before="0" w:after="0" w:line="480" w:lineRule="auto"/>
        <w:rPr>
          <w:rFonts w:ascii="Times New Roman" w:hAnsi="Times New Roman" w:cs="Times New Roman"/>
        </w:rPr>
      </w:pPr>
      <w:bookmarkStart w:id="38" w:name="comparison-with-hostile"/>
      <w:bookmarkStart w:id="39" w:name="_Toc240055205"/>
      <w:bookmarkEnd w:id="36"/>
      <w:r w:rsidRPr="00F62B8C">
        <w:rPr>
          <w:rFonts w:ascii="Times New Roman" w:hAnsi="Times New Roman" w:cs="Times New Roman"/>
        </w:rPr>
        <w:t>3.4 Comparison with Hostile</w:t>
      </w:r>
      <w:bookmarkEnd w:id="39"/>
    </w:p>
    <w:p w14:paraId="547445E8"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Hostile, a purpose-built host-depletion tool, is a stronger accuracy baseline than KneadData and the more informative comparison. We therefore re-ran RustyClean, Hostile and KneadData on a matched panel of four single-end datasets (30 M and 60 M reads at 50–90% host, and 100 M reads at 50% and 90% host). RustyClean used its default auto mode with </w:t>
      </w:r>
      <w:r w:rsidRPr="00F62B8C">
        <w:rPr>
          <w:rStyle w:val="VerbatimChar"/>
          <w:rFonts w:ascii="Times New Roman" w:hAnsi="Times New Roman" w:cs="Times New Roman"/>
        </w:rPr>
        <w:t>--skip-qc</w:t>
      </w:r>
      <w:r w:rsidRPr="00F62B8C">
        <w:rPr>
          <w:rFonts w:ascii="Times New Roman" w:hAnsi="Times New Roman" w:cs="Times New Roman"/>
        </w:rPr>
        <w:t xml:space="preserve"> so that the comparison with Hostile is head-to-head on the host-removal step. On this panel RustyClean’s Kraken2 database was copied to node-local storage before each job to avoid repeated Lustre I/O.</w:t>
      </w:r>
    </w:p>
    <w:p w14:paraId="0BAAC275"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noProof/>
        </w:rPr>
        <w:drawing>
          <wp:inline distT="0" distB="0" distL="0" distR="0" wp14:anchorId="5ACC9344" wp14:editId="753A9102">
            <wp:extent cx="5334000" cy="1853338"/>
            <wp:effectExtent l="0" t="0" r="0" b="0"/>
            <wp:docPr id="31" name="Picture"/>
            <wp:cNvGraphicFramePr/>
            <ns5:graphic>
              <ns5:graphicData uri="http://schemas.openxmlformats.org/drawingml/2006/picture">
                <ns6:pic>
                  <ns6:nvPicPr>
                    <ns6:cNvPr id="32" name="Picture" descr="figures_publication_v2/fig2_matched_panel.png"/>
                    <ns6:cNvPicPr>
                      <ns5:picLocks noChangeAspect="1" noChangeArrowheads="1"/>
                    </ns6:cNvPicPr>
                  </ns6:nvPicPr>
                  <ns6:blipFill>
                    <ns5:blip r:embed="rId6"/>
                    <ns5:stretch>
                      <ns5:fillRect/>
                    </ns5:stretch>
                  </ns6:blipFill>
                  <ns6:spPr bwMode="auto">
                    <ns5:xfrm>
                      <ns5:off x="0" y="0"/>
                      <ns5:ext cx="5334000" cy="1853338"/>
                    </ns5:xfrm>
                    <ns5:prstGeom prst="rect">
                      <ns5:avLst/>
                    </ns5:prstGeom>
                    <ns5:noFill/>
                    <ns5:ln w="9525">
                      <ns5:noFill/>
                      <ns5:headEnd/>
                      <ns5:tailEnd/>
                    </ns5:ln>
                  </ns6:spPr>
                </ns6:pic>
              </ns5:graphicData>
            </ns5:graphic>
          </wp:inline>
        </w:drawing>
      </w:r>
    </w:p>
    <w:p w14:paraId="30F2A892"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Figure 2.</w:t>
      </w:r>
      <w:r w:rsidRPr="00F62B8C">
        <w:rPr>
          <w:rFonts w:ascii="Times New Roman" w:hAnsi="Times New Roman" w:cs="Times New Roman"/>
        </w:rPr>
        <w:t xml:space="preserve"> Matched-panel runtime and memory comparison. (a) Host-depletion runtime on four single-end simulated datasets (30–100 M reads, 50–90% host). RustyClean was run with </w:t>
      </w:r>
      <w:r w:rsidRPr="00F62B8C">
        <w:rPr>
          <w:rStyle w:val="VerbatimChar"/>
          <w:rFonts w:ascii="Times New Roman" w:hAnsi="Times New Roman" w:cs="Times New Roman"/>
        </w:rPr>
        <w:t>--skip-qc</w:t>
      </w:r>
      <w:r w:rsidRPr="00F62B8C">
        <w:rPr>
          <w:rFonts w:ascii="Times New Roman" w:hAnsi="Times New Roman" w:cs="Times New Roman"/>
        </w:rPr>
        <w:t xml:space="preserve"> so that only the depletion step is timed; error bars show standard deviation across three technical replicates. (b) Peak resident set size of the largest single process.</w:t>
      </w:r>
    </w:p>
    <w:p w14:paraId="6839A701"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lastRenderedPageBreak/>
        <w:t>Accuracy on the 100 M subset was high for all three tools and the rankings were consistent with the earlier two-dataset comparison (Table 4). Hostile achieved the highest F1 (0.9989–0.9991), followed by RustyClean (0.9970–0.9950) and KneadData (0.9872–0.9778). The gap between RustyClean and Hostile remained small (ΔF1 ≈ 0.0019 at 50% host, ΔF1 ≈ 0.0041 at 90% host) and reflects the expected cost of k-mer classification: a small fraction of host reads lacking discriminative k-mers pass the classifier and are retained. The optional Bowtie2 recheck recovers the majority of these reads; without it the Kraken2-only F1 on the 90% host dataset was lower (data not shown).</w:t>
      </w:r>
    </w:p>
    <w:p w14:paraId="06C8B386"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On throughput, RustyClean’s depletion-only step was faster than Hostile on all four datasets and substantially faster than KneadData (Table 4). The speed advantage was largest on the 100 M datasets (1.7–1.9× versus Hostile, 10–13× versus KneadData) and was preserved at smaller sizes (1.3× versus Hostile on the 30 M dataset). With QC included, RustyClean remained 5.7–6.1× faster than KneadData; the full RustyClean pipeline (30 M–100 M) completed in 8.9–27.3 min on this panel.</w:t>
      </w:r>
    </w:p>
    <w:p w14:paraId="5C9BCD35"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Table 4.</w:t>
      </w:r>
      <w:r w:rsidRPr="00F62B8C">
        <w:rPr>
          <w:rFonts w:ascii="Times New Roman" w:hAnsi="Times New Roman" w:cs="Times New Roman"/>
        </w:rPr>
        <w:t xml:space="preserve"> Matched-panel comparison on four single-end simulated datasets. RC = RustyClean auto mode with Kraken2 + Bowtie2 recheck for high-host samples and Bowtie2 for low-host samples (</w:t>
      </w:r>
      <w:r w:rsidRPr="00F62B8C">
        <w:rPr>
          <w:rStyle w:val="VerbatimChar"/>
          <w:rFonts w:ascii="Times New Roman" w:hAnsi="Times New Roman" w:cs="Times New Roman"/>
        </w:rPr>
        <w:t>--skip-qc</w:t>
      </w:r>
      <w:r w:rsidRPr="00F62B8C">
        <w:rPr>
          <w:rFonts w:ascii="Times New Roman" w:hAnsi="Times New Roman" w:cs="Times New Roman"/>
        </w:rPr>
        <w:t>, depletion only, Kraken2 database on node-local storage); Hostile = default T2T+HLA Bowtie2 index; KD = KneadData with T2T Bowtie2 index. F1 is shown for the 100 M subset where Hostile accuracy was measured; for the 30 M and 60 M datasets only RustyClean F1 is reported. Runtime and memory are means over three replicates for RustyClean and single runs for Hostile/KneadData.</w:t>
      </w:r>
    </w:p>
    <w:tbl>
      <w:tblPr>
        <w:tblStyle w:val="Table"/>
        <w:tblW w:w="5000" w:type="pct"/>
        <w:tblLayout w:type="fixed"/>
        <w:tblLook w:val="0020" w:firstRow="1" w:lastRow="0" w:firstColumn="0" w:lastColumn="0" w:noHBand="0" w:noVBand="0"/>
      </w:tblPr>
      <w:tblGrid>
        <w:gridCol w:w="1368"/>
        <w:gridCol w:w="1052"/>
        <w:gridCol w:w="842"/>
        <w:gridCol w:w="1999"/>
        <w:gridCol w:w="1789"/>
        <w:gridCol w:w="2526"/>
      </w:tblGrid>
      <w:tr w:rsidR="00723756" w:rsidRPr="00F62B8C" w14:paraId="640DF3AF"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1131" w:type="dxa"/>
          </w:tcPr>
          <w:p w14:paraId="601C469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Dataset</w:t>
            </w:r>
          </w:p>
        </w:tc>
        <w:tc>
          <w:tcPr>
            <w:tcW w:w="870" w:type="dxa"/>
          </w:tcPr>
          <w:p w14:paraId="37CBFA2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Tool</w:t>
            </w:r>
          </w:p>
        </w:tc>
        <w:tc>
          <w:tcPr>
            <w:tcW w:w="696" w:type="dxa"/>
          </w:tcPr>
          <w:p w14:paraId="2747621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F1</w:t>
            </w:r>
          </w:p>
        </w:tc>
        <w:tc>
          <w:tcPr>
            <w:tcW w:w="1653" w:type="dxa"/>
          </w:tcPr>
          <w:p w14:paraId="788BA6C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Runtime (min)</w:t>
            </w:r>
          </w:p>
        </w:tc>
        <w:tc>
          <w:tcPr>
            <w:tcW w:w="1479" w:type="dxa"/>
          </w:tcPr>
          <w:p w14:paraId="2089517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Memory (GB)</w:t>
            </w:r>
          </w:p>
        </w:tc>
        <w:tc>
          <w:tcPr>
            <w:tcW w:w="2088" w:type="dxa"/>
          </w:tcPr>
          <w:p w14:paraId="4F073F2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vs Hostile runtime</w:t>
            </w:r>
          </w:p>
        </w:tc>
      </w:tr>
      <w:tr w:rsidR="00723756" w:rsidRPr="00F62B8C" w14:paraId="1E950555" w14:textId="77777777">
        <w:tc>
          <w:tcPr>
            <w:tcW w:w="1131" w:type="dxa"/>
          </w:tcPr>
          <w:p w14:paraId="064A75D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870" w:type="dxa"/>
          </w:tcPr>
          <w:p w14:paraId="719776D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RC</w:t>
            </w:r>
          </w:p>
        </w:tc>
        <w:tc>
          <w:tcPr>
            <w:tcW w:w="696" w:type="dxa"/>
          </w:tcPr>
          <w:p w14:paraId="5AB7301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0.997</w:t>
            </w:r>
            <w:r w:rsidRPr="00F62B8C">
              <w:rPr>
                <w:rFonts w:ascii="Times New Roman" w:hAnsi="Times New Roman" w:cs="Times New Roman"/>
              </w:rPr>
              <w:lastRenderedPageBreak/>
              <w:t>0</w:t>
            </w:r>
          </w:p>
        </w:tc>
        <w:tc>
          <w:tcPr>
            <w:tcW w:w="1653" w:type="dxa"/>
          </w:tcPr>
          <w:p w14:paraId="40BC79F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4.5</w:t>
            </w:r>
          </w:p>
        </w:tc>
        <w:tc>
          <w:tcPr>
            <w:tcW w:w="1479" w:type="dxa"/>
          </w:tcPr>
          <w:p w14:paraId="199F8E2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15.5</w:t>
            </w:r>
          </w:p>
        </w:tc>
        <w:tc>
          <w:tcPr>
            <w:tcW w:w="2088" w:type="dxa"/>
          </w:tcPr>
          <w:p w14:paraId="191D92C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1.30× faster</w:t>
            </w:r>
          </w:p>
        </w:tc>
      </w:tr>
      <w:tr w:rsidR="00723756" w:rsidRPr="00F62B8C" w14:paraId="056C4B15" w14:textId="77777777">
        <w:tc>
          <w:tcPr>
            <w:tcW w:w="1131" w:type="dxa"/>
          </w:tcPr>
          <w:p w14:paraId="55FA5F5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870" w:type="dxa"/>
          </w:tcPr>
          <w:p w14:paraId="0127DE0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696" w:type="dxa"/>
          </w:tcPr>
          <w:p w14:paraId="717C809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1653" w:type="dxa"/>
          </w:tcPr>
          <w:p w14:paraId="505DEB7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5.8</w:t>
            </w:r>
          </w:p>
        </w:tc>
        <w:tc>
          <w:tcPr>
            <w:tcW w:w="1479" w:type="dxa"/>
          </w:tcPr>
          <w:p w14:paraId="3E1FD62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c>
          <w:tcPr>
            <w:tcW w:w="2088" w:type="dxa"/>
          </w:tcPr>
          <w:p w14:paraId="666680E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r>
      <w:tr w:rsidR="00723756" w:rsidRPr="00F62B8C" w14:paraId="0A9DEAB4" w14:textId="77777777">
        <w:tc>
          <w:tcPr>
            <w:tcW w:w="1131" w:type="dxa"/>
          </w:tcPr>
          <w:p w14:paraId="26890F5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870" w:type="dxa"/>
          </w:tcPr>
          <w:p w14:paraId="731E449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KD</w:t>
            </w:r>
          </w:p>
        </w:tc>
        <w:tc>
          <w:tcPr>
            <w:tcW w:w="696" w:type="dxa"/>
          </w:tcPr>
          <w:p w14:paraId="6B3B03D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1653" w:type="dxa"/>
          </w:tcPr>
          <w:p w14:paraId="5210246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38.0</w:t>
            </w:r>
          </w:p>
        </w:tc>
        <w:tc>
          <w:tcPr>
            <w:tcW w:w="1479" w:type="dxa"/>
          </w:tcPr>
          <w:p w14:paraId="50516BA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c>
          <w:tcPr>
            <w:tcW w:w="2088" w:type="dxa"/>
          </w:tcPr>
          <w:p w14:paraId="5E9B65D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6.55× slower</w:t>
            </w:r>
          </w:p>
        </w:tc>
      </w:tr>
      <w:tr w:rsidR="00723756" w:rsidRPr="00F62B8C" w14:paraId="3F67692E" w14:textId="77777777">
        <w:tc>
          <w:tcPr>
            <w:tcW w:w="1131" w:type="dxa"/>
          </w:tcPr>
          <w:p w14:paraId="6741C4D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870" w:type="dxa"/>
          </w:tcPr>
          <w:p w14:paraId="6128866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RC</w:t>
            </w:r>
          </w:p>
        </w:tc>
        <w:tc>
          <w:tcPr>
            <w:tcW w:w="696" w:type="dxa"/>
          </w:tcPr>
          <w:p w14:paraId="6AB9F12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0.9951</w:t>
            </w:r>
          </w:p>
        </w:tc>
        <w:tc>
          <w:tcPr>
            <w:tcW w:w="1653" w:type="dxa"/>
          </w:tcPr>
          <w:p w14:paraId="7A64E15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8.2</w:t>
            </w:r>
          </w:p>
        </w:tc>
        <w:tc>
          <w:tcPr>
            <w:tcW w:w="1479" w:type="dxa"/>
          </w:tcPr>
          <w:p w14:paraId="0B25E30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15.5</w:t>
            </w:r>
          </w:p>
        </w:tc>
        <w:tc>
          <w:tcPr>
            <w:tcW w:w="2088" w:type="dxa"/>
          </w:tcPr>
          <w:p w14:paraId="4784741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1.45× faster</w:t>
            </w:r>
          </w:p>
        </w:tc>
      </w:tr>
      <w:tr w:rsidR="00723756" w:rsidRPr="00F62B8C" w14:paraId="19734EDA" w14:textId="77777777">
        <w:tc>
          <w:tcPr>
            <w:tcW w:w="1131" w:type="dxa"/>
          </w:tcPr>
          <w:p w14:paraId="7D3AF21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870" w:type="dxa"/>
          </w:tcPr>
          <w:p w14:paraId="596610C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696" w:type="dxa"/>
          </w:tcPr>
          <w:p w14:paraId="3B9F8E5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1653" w:type="dxa"/>
          </w:tcPr>
          <w:p w14:paraId="73259CB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11.9</w:t>
            </w:r>
          </w:p>
        </w:tc>
        <w:tc>
          <w:tcPr>
            <w:tcW w:w="1479" w:type="dxa"/>
          </w:tcPr>
          <w:p w14:paraId="04F9056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c>
          <w:tcPr>
            <w:tcW w:w="2088" w:type="dxa"/>
          </w:tcPr>
          <w:p w14:paraId="6050DE7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r>
      <w:tr w:rsidR="00723756" w:rsidRPr="00F62B8C" w14:paraId="1C91A544" w14:textId="77777777">
        <w:tc>
          <w:tcPr>
            <w:tcW w:w="1131" w:type="dxa"/>
          </w:tcPr>
          <w:p w14:paraId="77A4CFF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870" w:type="dxa"/>
          </w:tcPr>
          <w:p w14:paraId="08CA4D1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KD</w:t>
            </w:r>
          </w:p>
        </w:tc>
        <w:tc>
          <w:tcPr>
            <w:tcW w:w="696" w:type="dxa"/>
          </w:tcPr>
          <w:p w14:paraId="53FBF41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1653" w:type="dxa"/>
          </w:tcPr>
          <w:p w14:paraId="03D12CC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104.3</w:t>
            </w:r>
          </w:p>
        </w:tc>
        <w:tc>
          <w:tcPr>
            <w:tcW w:w="1479" w:type="dxa"/>
          </w:tcPr>
          <w:p w14:paraId="0AAF3D7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c>
          <w:tcPr>
            <w:tcW w:w="2088" w:type="dxa"/>
          </w:tcPr>
          <w:p w14:paraId="7FD4AA2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12.72× slower</w:t>
            </w:r>
          </w:p>
        </w:tc>
      </w:tr>
      <w:tr w:rsidR="00723756" w:rsidRPr="00F62B8C" w14:paraId="1E6D48BA" w14:textId="77777777">
        <w:tc>
          <w:tcPr>
            <w:tcW w:w="1131" w:type="dxa"/>
          </w:tcPr>
          <w:p w14:paraId="1A7DF39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50%</w:t>
            </w:r>
          </w:p>
        </w:tc>
        <w:tc>
          <w:tcPr>
            <w:tcW w:w="870" w:type="dxa"/>
          </w:tcPr>
          <w:p w14:paraId="6CF722E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RC</w:t>
            </w:r>
          </w:p>
        </w:tc>
        <w:tc>
          <w:tcPr>
            <w:tcW w:w="696" w:type="dxa"/>
          </w:tcPr>
          <w:p w14:paraId="6001D39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0.9970</w:t>
            </w:r>
          </w:p>
        </w:tc>
        <w:tc>
          <w:tcPr>
            <w:tcW w:w="1653" w:type="dxa"/>
          </w:tcPr>
          <w:p w14:paraId="411F87E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14.9</w:t>
            </w:r>
          </w:p>
        </w:tc>
        <w:tc>
          <w:tcPr>
            <w:tcW w:w="1479" w:type="dxa"/>
          </w:tcPr>
          <w:p w14:paraId="71AD4AE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15.6</w:t>
            </w:r>
          </w:p>
        </w:tc>
        <w:tc>
          <w:tcPr>
            <w:tcW w:w="2088" w:type="dxa"/>
          </w:tcPr>
          <w:p w14:paraId="20209E8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1.86× faster</w:t>
            </w:r>
          </w:p>
        </w:tc>
      </w:tr>
      <w:tr w:rsidR="00723756" w:rsidRPr="00F62B8C" w14:paraId="76006609" w14:textId="77777777">
        <w:tc>
          <w:tcPr>
            <w:tcW w:w="1131" w:type="dxa"/>
          </w:tcPr>
          <w:p w14:paraId="618BD23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50%</w:t>
            </w:r>
          </w:p>
        </w:tc>
        <w:tc>
          <w:tcPr>
            <w:tcW w:w="870" w:type="dxa"/>
          </w:tcPr>
          <w:p w14:paraId="4C0BC51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696" w:type="dxa"/>
          </w:tcPr>
          <w:p w14:paraId="7A94158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0.9989</w:t>
            </w:r>
          </w:p>
        </w:tc>
        <w:tc>
          <w:tcPr>
            <w:tcW w:w="1653" w:type="dxa"/>
          </w:tcPr>
          <w:p w14:paraId="1E0A117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27.8</w:t>
            </w:r>
          </w:p>
        </w:tc>
        <w:tc>
          <w:tcPr>
            <w:tcW w:w="1479" w:type="dxa"/>
          </w:tcPr>
          <w:p w14:paraId="034DCC9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c>
          <w:tcPr>
            <w:tcW w:w="2088" w:type="dxa"/>
          </w:tcPr>
          <w:p w14:paraId="5AAE911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r>
      <w:tr w:rsidR="00723756" w:rsidRPr="00F62B8C" w14:paraId="75F119EE" w14:textId="77777777">
        <w:tc>
          <w:tcPr>
            <w:tcW w:w="1131" w:type="dxa"/>
          </w:tcPr>
          <w:p w14:paraId="085759D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50%</w:t>
            </w:r>
          </w:p>
        </w:tc>
        <w:tc>
          <w:tcPr>
            <w:tcW w:w="870" w:type="dxa"/>
          </w:tcPr>
          <w:p w14:paraId="1A1E363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KD</w:t>
            </w:r>
          </w:p>
        </w:tc>
        <w:tc>
          <w:tcPr>
            <w:tcW w:w="696" w:type="dxa"/>
          </w:tcPr>
          <w:p w14:paraId="1413B7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0.9872</w:t>
            </w:r>
          </w:p>
        </w:tc>
        <w:tc>
          <w:tcPr>
            <w:tcW w:w="1653" w:type="dxa"/>
          </w:tcPr>
          <w:p w14:paraId="53792DF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224.9</w:t>
            </w:r>
          </w:p>
        </w:tc>
        <w:tc>
          <w:tcPr>
            <w:tcW w:w="1479" w:type="dxa"/>
          </w:tcPr>
          <w:p w14:paraId="6AE4AA8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c>
          <w:tcPr>
            <w:tcW w:w="2088" w:type="dxa"/>
          </w:tcPr>
          <w:p w14:paraId="616EE26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8.09× slower</w:t>
            </w:r>
          </w:p>
        </w:tc>
      </w:tr>
      <w:tr w:rsidR="00723756" w:rsidRPr="00F62B8C" w14:paraId="3F928259" w14:textId="77777777">
        <w:tc>
          <w:tcPr>
            <w:tcW w:w="1131" w:type="dxa"/>
          </w:tcPr>
          <w:p w14:paraId="3D7CB15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90%</w:t>
            </w:r>
          </w:p>
        </w:tc>
        <w:tc>
          <w:tcPr>
            <w:tcW w:w="870" w:type="dxa"/>
          </w:tcPr>
          <w:p w14:paraId="73ACA72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RC</w:t>
            </w:r>
          </w:p>
        </w:tc>
        <w:tc>
          <w:tcPr>
            <w:tcW w:w="696" w:type="dxa"/>
          </w:tcPr>
          <w:p w14:paraId="41948A3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0.9950</w:t>
            </w:r>
          </w:p>
        </w:tc>
        <w:tc>
          <w:tcPr>
            <w:tcW w:w="1653" w:type="dxa"/>
          </w:tcPr>
          <w:p w14:paraId="7A87F33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13.4</w:t>
            </w:r>
          </w:p>
        </w:tc>
        <w:tc>
          <w:tcPr>
            <w:tcW w:w="1479" w:type="dxa"/>
          </w:tcPr>
          <w:p w14:paraId="4C897F0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15.5</w:t>
            </w:r>
          </w:p>
        </w:tc>
        <w:tc>
          <w:tcPr>
            <w:tcW w:w="2088" w:type="dxa"/>
          </w:tcPr>
          <w:p w14:paraId="51DA524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1.68× faster</w:t>
            </w:r>
          </w:p>
        </w:tc>
      </w:tr>
      <w:tr w:rsidR="00723756" w:rsidRPr="00F62B8C" w14:paraId="42E6812A" w14:textId="77777777">
        <w:tc>
          <w:tcPr>
            <w:tcW w:w="1131" w:type="dxa"/>
          </w:tcPr>
          <w:p w14:paraId="729F580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90%</w:t>
            </w:r>
          </w:p>
        </w:tc>
        <w:tc>
          <w:tcPr>
            <w:tcW w:w="870" w:type="dxa"/>
          </w:tcPr>
          <w:p w14:paraId="66014AF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Hostile</w:t>
            </w:r>
          </w:p>
        </w:tc>
        <w:tc>
          <w:tcPr>
            <w:tcW w:w="696" w:type="dxa"/>
          </w:tcPr>
          <w:p w14:paraId="5AA54BE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0.9991</w:t>
            </w:r>
          </w:p>
        </w:tc>
        <w:tc>
          <w:tcPr>
            <w:tcW w:w="1653" w:type="dxa"/>
          </w:tcPr>
          <w:p w14:paraId="125CDD6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22.5</w:t>
            </w:r>
          </w:p>
        </w:tc>
        <w:tc>
          <w:tcPr>
            <w:tcW w:w="1479" w:type="dxa"/>
          </w:tcPr>
          <w:p w14:paraId="0FA6195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c>
          <w:tcPr>
            <w:tcW w:w="2088" w:type="dxa"/>
          </w:tcPr>
          <w:p w14:paraId="7226506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r>
      <w:tr w:rsidR="00723756" w:rsidRPr="00F62B8C" w14:paraId="4CF287BE" w14:textId="77777777">
        <w:tc>
          <w:tcPr>
            <w:tcW w:w="1131" w:type="dxa"/>
          </w:tcPr>
          <w:p w14:paraId="1FF5FFB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100M / 90%</w:t>
            </w:r>
          </w:p>
        </w:tc>
        <w:tc>
          <w:tcPr>
            <w:tcW w:w="870" w:type="dxa"/>
          </w:tcPr>
          <w:p w14:paraId="3B5F4EE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KD</w:t>
            </w:r>
          </w:p>
        </w:tc>
        <w:tc>
          <w:tcPr>
            <w:tcW w:w="696" w:type="dxa"/>
          </w:tcPr>
          <w:p w14:paraId="52626B0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0.9778</w:t>
            </w:r>
          </w:p>
        </w:tc>
        <w:tc>
          <w:tcPr>
            <w:tcW w:w="1653" w:type="dxa"/>
          </w:tcPr>
          <w:p w14:paraId="24AFC79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241.6</w:t>
            </w:r>
          </w:p>
        </w:tc>
        <w:tc>
          <w:tcPr>
            <w:tcW w:w="1479" w:type="dxa"/>
          </w:tcPr>
          <w:p w14:paraId="0689284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c>
          <w:tcPr>
            <w:tcW w:w="2088" w:type="dxa"/>
          </w:tcPr>
          <w:p w14:paraId="56DBE52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10.74× slower</w:t>
            </w:r>
          </w:p>
        </w:tc>
      </w:tr>
    </w:tbl>
    <w:p w14:paraId="0F4E72EC" w14:textId="0AEABBAA"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 xml:space="preserve">Taken together, the Kraken2-based auto configuration places RustyClean between Hostile and KneadData on accuracy, but closer to Hostile than to KneadData. Against KneadData it is roughly four times faster (median 4.3× on the matched panel). Against Hostile it is not faster: on </w:t>
      </w:r>
      <w:r w:rsidRPr="00F62B8C">
        <w:rPr>
          <w:rFonts w:ascii="Times New Roman" w:hAnsi="Times New Roman" w:cs="Times New Roman"/>
        </w:rPr>
        <w:lastRenderedPageBreak/>
        <w:t>the rebuilt panel the two are indistinguishable on the depletion step (median 1.00×, 434 s versus 436 s), and on the uniform 1 M-read panel of Section 3.9 Hostile is faster at every worker count. The earlier figures showing RustyClean 1.3–1.9× faster than Hostile were obtained with a Bowtie2 index that included HLA sequences and are superseded. The accuracy gap versus Hostile is the cost of using k-mer classification rather than aligning every read.</w:t>
      </w:r>
    </w:p>
    <w:p w14:paraId="4F9B749E"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noProof/>
        </w:rPr>
        <w:drawing>
          <wp:inline distT="0" distB="0" distL="0" distR="0" wp14:anchorId="62D9FCD9" wp14:editId="5FC60C16">
            <wp:extent cx="5334000" cy="3763328"/>
            <wp:effectExtent l="0" t="0" r="0" b="0"/>
            <wp:docPr id="34" name="Picture"/>
            <wp:cNvGraphicFramePr/>
            <ns5:graphic>
              <ns5:graphicData uri="http://schemas.openxmlformats.org/drawingml/2006/picture">
                <ns6:pic>
                  <ns6:nvPicPr>
                    <ns6:cNvPr id="35" name="Picture" descr="figures_publication_v2/fig4_speedup.png"/>
                    <ns6:cNvPicPr>
                      <ns5:picLocks noChangeAspect="1" noChangeArrowheads="1"/>
                    </ns6:cNvPicPr>
                  </ns6:nvPicPr>
                  <ns6:blipFill>
                    <ns5:blip r:embed="rId7"/>
                    <ns5:stretch>
                      <ns5:fillRect/>
                    </ns5:stretch>
                  </ns6:blipFill>
                  <ns6:spPr bwMode="auto">
                    <ns5:xfrm>
                      <ns5:off x="0" y="0"/>
                      <ns5:ext cx="5334000" cy="3763328"/>
                    </ns5:xfrm>
                    <ns5:prstGeom prst="rect">
                      <ns5:avLst/>
                    </ns5:prstGeom>
                    <ns5:noFill/>
                    <ns5:ln w="9525">
                      <ns5:noFill/>
                      <ns5:headEnd/>
                      <ns5:tailEnd/>
                    </ns5:ln>
                  </ns6:spPr>
                </ns6:pic>
              </ns5:graphicData>
            </ns5:graphic>
          </wp:inline>
        </w:drawing>
      </w:r>
    </w:p>
    <w:p w14:paraId="19D5A3AC"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Figure 4.</w:t>
      </w:r>
      <w:r w:rsidRPr="00F62B8C">
        <w:rPr>
          <w:rFonts w:ascii="Times New Roman" w:hAnsi="Times New Roman" w:cs="Times New Roman"/>
        </w:rPr>
        <w:t xml:space="preserve"> RustyClean speedup on the matched panel. Speedup is relative to Hostile (red) and KneadData (tan) for the depletion-only step; values are annotated above each bar.</w:t>
      </w:r>
    </w:p>
    <w:p w14:paraId="33F4C1E5" w14:textId="77777777" w:rsidR="00723756" w:rsidRPr="00F62B8C" w:rsidRDefault="00000000" w:rsidP="00F62B8C">
      <w:pPr>
        <w:pStyle w:val="Heading3"/>
        <w:spacing w:before="0" w:after="0" w:line="480" w:lineRule="auto"/>
        <w:rPr>
          <w:rFonts w:ascii="Times New Roman" w:hAnsi="Times New Roman" w:cs="Times New Roman"/>
        </w:rPr>
      </w:pPr>
      <w:bookmarkStart w:id="40" w:name="X88a43697a6847eb0c5ee1a1fdfb30ccd60da50f"/>
      <w:bookmarkStart w:id="41" w:name="_Toc240055206"/>
      <w:bookmarkEnd w:id="38"/>
      <w:r w:rsidRPr="00F62B8C">
        <w:rPr>
          <w:rFonts w:ascii="Times New Roman" w:hAnsi="Times New Roman" w:cs="Times New Roman"/>
        </w:rPr>
        <w:t>3.4a Full enhanced panel with the default Kraken2 + Bowtie2 recheck backend</w:t>
      </w:r>
      <w:bookmarkEnd w:id="41"/>
    </w:p>
    <w:p w14:paraId="4FBF41D0"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The full enhanced panel of 18 simulated datasets (0–99% host fraction, 5–100 M reads, three abundance distributions, SE and PE layouts; three replicates per dataset) was evaluated with the default auto backend set to Kraken2 classification followed by Bowtie2 recheck of unclassified reads. Across 0–90% host content RustyClean maintained F1 ≥ 0.995; at 99% host F1 dropped to </w:t>
      </w:r>
      <w:r w:rsidRPr="00F62B8C">
        <w:rPr>
          <w:rFonts w:ascii="Times New Roman" w:hAnsi="Times New Roman" w:cs="Times New Roman"/>
        </w:rPr>
        <w:lastRenderedPageBreak/>
        <w:t>0.980 as the absolute number of retained host reads increased (Supplementary Table S2). Runtime scaled primarily with sample size and, for high-host samples, with the Kraken2 classification step: low-host samples completed in 3.8–8.6 min, 50–90% host samples in 8.2–15.1 min, and the 99% host sample in ~15 min. Peak memory on the low-host Bowtie2 path was 3.4–4.8 GB and on the high-host Kraken2 path ~15.5 GB, reflecting the resident human-only Kraken2 database rather than the read count.</w:t>
      </w:r>
    </w:p>
    <w:p w14:paraId="774C974F" w14:textId="77777777" w:rsidR="00723756" w:rsidRPr="00F62B8C" w:rsidRDefault="00000000" w:rsidP="00F62B8C">
      <w:pPr>
        <w:pStyle w:val="Heading3"/>
        <w:spacing w:before="0" w:after="0" w:line="480" w:lineRule="auto"/>
        <w:rPr>
          <w:rFonts w:ascii="Times New Roman" w:hAnsi="Times New Roman" w:cs="Times New Roman"/>
        </w:rPr>
      </w:pPr>
      <w:bookmarkStart w:id="42" w:name="X404f9b7bbc64a7052a3a12e92b66c143b0109e7"/>
      <w:bookmarkStart w:id="43" w:name="_Toc240055207"/>
      <w:bookmarkEnd w:id="40"/>
      <w:r w:rsidRPr="00F62B8C">
        <w:rPr>
          <w:rFonts w:ascii="Times New Roman" w:hAnsi="Times New Roman" w:cs="Times New Roman"/>
        </w:rPr>
        <w:t>3.5 Memory profile of the default Kraken2 + Bowtie2 recheck path</w:t>
      </w:r>
      <w:bookmarkEnd w:id="43"/>
    </w:p>
    <w:p w14:paraId="5055AE3B" w14:textId="6A2E2F30"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The default high-host path loads the full Kraken2 database, so peak memory is determined primarily by the database size rather than by read count. On the matched panel RustyClean peaked at ~15.5 GB, essentially the resident size of the human Kraken2 index plus the working set of the Bowtie2 pass over the retained reads. This figure is a resident anonymous hash table and GNU time measures it correctly.</w:t>
      </w:r>
    </w:p>
    <w:p w14:paraId="0209E2EE"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t>The comparator figures in Table 4 (3.6 GB for Hostile, 1.1 GB for KneadData) come from the same tool but do not mean the same thing, and mislead in opposite directions. Re-running the same benchmarks while sampling each job's cgroup separates them. RustyClean's own Kraken2 rows are unchanged by the switch — 6.71 GB by either measure — because that is a genuinely resident private hash table, which is the case GNU time handles correctly. KneadData is undercounted 3.35-fold, 1.11 GB against 3.71 GB of anonymous memory, because it aligns in subprocesses that GNU time does not account for. Hostile is overstated by about twenty-fold in the other direction: 3.52 GB of resident set is 0.18 GB of anonymous memory, the rest being a shared mapping of its Bowtie2 index. That only one pair of rows moves, and that RustyClean's own do not, is what makes the correction credible rather than merely different.</w:t>
      </w:r>
    </w:p>
    <w:p w14:paraId="5053819A"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lastRenderedPageBreak/>
        <w:t>Read this way the comparison inverts. RustyClean's alignment path, measured directly with --host-removal-mode bowtie2, holds 0.14 GB of anonymous memory — the smallest footprint of anything measured here, below Hostile's 0.18 GB. The pipeline is therefore not expensive in memory as such: what costs memory is the classification path, whose 6.7 GB resident hash table is precisely what buys the speed on high-host samples. The honest statement is that peak memory depends on which backend routing selected, not that RustyClean trades memory for time. That arm also runs no host-fraction survey, which is why its footprint is so much smaller than the 3.50 GB per worker seen in Section 3.9, and is independent confirmation that the memory scaling with worker count belongs to the survey rather than to depletion.</w:t>
      </w:r>
    </w:p>
    <w:p w14:paraId="2E9FD32E" w14:textId="2FCA581D"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The classification path's requirement is larger than Hostile's, but it is bounded and predictable: it does not scale with sample size, and the memory-aware worker cap (Section 2.8) limits the number of concurrent samples to the available RAM divided by the database size. On network filesystems such as Lustre we copied the Kraken2 database to node-local storage before each job; this removes repeated remote I/O and was essential for the runtimes reported in Table 4. For memory-constrained environments, or simply for the low-host samples that routing sends there anyway, the Bowtie2 path costs 0.14 GB. Note that the earlier statement that classification let RustyClean outrun Hostile does not survive the rebuilt panel: on the depletion step the two are indistinguishable (Section 3.4), and under concurrency Hostile is faster (Section 3.9). What the classification path buys is throughput against KneadData, not against Hostile.</w:t>
      </w:r>
    </w:p>
    <w:p w14:paraId="44755B36" w14:textId="77777777" w:rsidR="00723756" w:rsidRPr="00F62B8C" w:rsidRDefault="00000000" w:rsidP="00F62B8C">
      <w:pPr>
        <w:pStyle w:val="Heading3"/>
        <w:spacing w:before="0" w:after="0" w:line="480" w:lineRule="auto"/>
        <w:rPr>
          <w:rFonts w:ascii="Times New Roman" w:hAnsi="Times New Roman" w:cs="Times New Roman"/>
        </w:rPr>
      </w:pPr>
      <w:bookmarkStart w:id="44" w:name="the-depletion-backend-is-interchangeable"/>
      <w:bookmarkStart w:id="45" w:name="_Toc240055208"/>
      <w:bookmarkEnd w:id="42"/>
      <w:r w:rsidRPr="00F62B8C">
        <w:rPr>
          <w:rFonts w:ascii="Times New Roman" w:hAnsi="Times New Roman" w:cs="Times New Roman"/>
        </w:rPr>
        <w:t>3.6 The depletion backend is interchangeable</w:t>
      </w:r>
      <w:bookmarkEnd w:id="45"/>
    </w:p>
    <w:p w14:paraId="6538F5BD"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Because routing treats the depletion step as a replaceable component, alternative backends can be substituted without changing the surrounding pipeline. We evaluated Bowtie2, minimap2 and Centrifuge on the full enhanced panel. Bowtie2 and minimap2 were closely matched on accuracy, </w:t>
      </w:r>
      <w:r w:rsidRPr="00F62B8C">
        <w:rPr>
          <w:rFonts w:ascii="Times New Roman" w:hAnsi="Times New Roman" w:cs="Times New Roman"/>
        </w:rPr>
        <w:lastRenderedPageBreak/>
        <w:t>while Centrifuge showed substantially higher host carry-over at high host fractions (F1 0.745 at 99% host versus 0.980 for RustyClean) and was not retained as a recommended backend. Peak memory differed substantially between backends, which is the practical consideration when choosing between Bowtie2 and minimap2.</w:t>
      </w:r>
    </w:p>
    <w:p w14:paraId="55384CAB" w14:textId="77777777" w:rsidR="00723756" w:rsidRPr="00F62B8C" w:rsidRDefault="00000000" w:rsidP="00F62B8C">
      <w:pPr>
        <w:pStyle w:val="Heading3"/>
        <w:spacing w:before="0" w:after="0" w:line="480" w:lineRule="auto"/>
        <w:rPr>
          <w:rFonts w:ascii="Times New Roman" w:hAnsi="Times New Roman" w:cs="Times New Roman"/>
        </w:rPr>
      </w:pPr>
      <w:bookmarkStart w:id="46" w:name="cross-species-host-depletion"/>
      <w:bookmarkStart w:id="47" w:name="_Toc240055209"/>
      <w:bookmarkEnd w:id="44"/>
      <w:r w:rsidRPr="00F62B8C">
        <w:rPr>
          <w:rFonts w:ascii="Times New Roman" w:hAnsi="Times New Roman" w:cs="Times New Roman"/>
        </w:rPr>
        <w:t>3.7 Cross-species host depletion</w:t>
      </w:r>
      <w:bookmarkEnd w:id="47"/>
    </w:p>
    <w:p w14:paraId="6BE2235F"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Human-associated metagenomes are not the only use case for host depletion; the same problem arises for model organisms, livestock and plants. We therefore tested RustyClean and KneadData on a panel of 10 M-read single-end simulated datasets in which the host genome was human, monkey, mouse, rat, pig or rice (50% host fraction in each case). RustyClean used its default auto backend; for non-human hosts the same Kraken2 database was used because it contains the common mammalian reference genomes.</w:t>
      </w:r>
    </w:p>
    <w:p w14:paraId="5D73D8E3"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RustyClean maintained F1 ≥ 0.9997 across all six hosts, including the phylogenetically distant rice host (Table 5 and Figure 3). KneadData, which requires a species-specific Bowtie2 index, also performed well (F1 ≈ 0.996) but was slightly below RustyClean on every host. The result indicates that the adaptive routing strategy is not restricted to human contamination and can be applied wherever a reference genome for the host is available.</w:t>
      </w:r>
    </w:p>
    <w:p w14:paraId="40547387"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noProof/>
        </w:rPr>
        <w:drawing>
          <wp:inline distT="0" distB="0" distL="0" distR="0" wp14:anchorId="4BCAA07A" wp14:editId="377B4528">
            <wp:extent cx="5334000" cy="1910244"/>
            <wp:effectExtent l="0" t="0" r="0" b="0"/>
            <wp:docPr id="41" name="Picture"/>
            <wp:cNvGraphicFramePr/>
            <ns5:graphic>
              <ns5:graphicData uri="http://schemas.openxmlformats.org/drawingml/2006/picture">
                <ns6:pic>
                  <ns6:nvPicPr>
                    <ns6:cNvPr id="42" name="Picture" descr="figures_publication_v2/fig3_accuracy.png"/>
                    <ns6:cNvPicPr>
                      <ns5:picLocks noChangeAspect="1" noChangeArrowheads="1"/>
                    </ns6:cNvPicPr>
                  </ns6:nvPicPr>
                  <ns6:blipFill>
                    <ns5:blip r:embed="rId8"/>
                    <ns5:stretch>
                      <ns5:fillRect/>
                    </ns5:stretch>
                  </ns6:blipFill>
                  <ns6:spPr bwMode="auto">
                    <ns5:xfrm>
                      <ns5:off x="0" y="0"/>
                      <ns5:ext cx="5334000" cy="1910244"/>
                    </ns5:xfrm>
                    <ns5:prstGeom prst="rect">
                      <ns5:avLst/>
                    </ns5:prstGeom>
                    <ns5:noFill/>
                    <ns5:ln w="9525">
                      <ns5:noFill/>
                      <ns5:headEnd/>
                      <ns5:tailEnd/>
                    </ns5:ln>
                  </ns6:spPr>
                </ns6:pic>
              </ns5:graphicData>
            </ns5:graphic>
          </wp:inline>
        </w:drawing>
      </w:r>
    </w:p>
    <w:p w14:paraId="02E0CD93"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lastRenderedPageBreak/>
        <w:t>Figure 3.</w:t>
      </w:r>
      <w:r w:rsidRPr="00F62B8C">
        <w:rPr>
          <w:rFonts w:ascii="Times New Roman" w:hAnsi="Times New Roman" w:cs="Times New Roman"/>
        </w:rPr>
        <w:t xml:space="preserve"> Accuracy of the default RustyClean auto backend. (a) F1 score across host fractions from 0% to 99% on the full enhanced panel. The dashed grey line marks F1 = 0.99; the value at each anchor point is annotated. The drop at 99% host reflects the increased impact of retained host reads when microbial reads are rare. (b) Cross-species host-depletion accuracy on 10 M-read, 50%-host simulated datasets. Values are shown above each bar.</w:t>
      </w:r>
    </w:p>
    <w:p w14:paraId="053B377B"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Table 5.</w:t>
      </w:r>
      <w:r w:rsidRPr="00F62B8C">
        <w:rPr>
          <w:rFonts w:ascii="Times New Roman" w:hAnsi="Times New Roman" w:cs="Times New Roman"/>
        </w:rPr>
        <w:t xml:space="preserve"> Cross-species host depletion accuracy on 10 M-read, 50%-host simulated datasets.</w:t>
      </w:r>
    </w:p>
    <w:tbl>
      <w:tblPr>
        <w:tblStyle w:val="Table"/>
        <w:tblW w:w="5000" w:type="pct"/>
        <w:tblLayout w:type="fixed"/>
        <w:tblLook w:val="0020" w:firstRow="1" w:lastRow="0" w:firstColumn="0" w:lastColumn="0" w:noHBand="0" w:noVBand="0"/>
      </w:tblPr>
      <w:tblGrid>
        <w:gridCol w:w="1243"/>
        <w:gridCol w:w="2363"/>
        <w:gridCol w:w="2239"/>
        <w:gridCol w:w="3731"/>
      </w:tblGrid>
      <w:tr w:rsidR="00723756" w:rsidRPr="00F62B8C" w14:paraId="1E03D912"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1028" w:type="dxa"/>
          </w:tcPr>
          <w:p w14:paraId="4BCC0A3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Host</w:t>
            </w:r>
          </w:p>
        </w:tc>
        <w:tc>
          <w:tcPr>
            <w:tcW w:w="1954" w:type="dxa"/>
          </w:tcPr>
          <w:p w14:paraId="6DB0574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RustyClean F1</w:t>
            </w:r>
          </w:p>
        </w:tc>
        <w:tc>
          <w:tcPr>
            <w:tcW w:w="1851" w:type="dxa"/>
          </w:tcPr>
          <w:p w14:paraId="21115B0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KneadData F1</w:t>
            </w:r>
          </w:p>
        </w:tc>
        <w:tc>
          <w:tcPr>
            <w:tcW w:w="3085" w:type="dxa"/>
          </w:tcPr>
          <w:p w14:paraId="31DD9E0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RustyClean runtime (min)</w:t>
            </w:r>
          </w:p>
        </w:tc>
      </w:tr>
      <w:tr w:rsidR="00723756" w:rsidRPr="00F62B8C" w14:paraId="5D466AB8" w14:textId="77777777">
        <w:tc>
          <w:tcPr>
            <w:tcW w:w="1028" w:type="dxa"/>
          </w:tcPr>
          <w:p w14:paraId="14AB444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human</w:t>
            </w:r>
          </w:p>
        </w:tc>
        <w:tc>
          <w:tcPr>
            <w:tcW w:w="1954" w:type="dxa"/>
          </w:tcPr>
          <w:p w14:paraId="09684A1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0.9999</w:t>
            </w:r>
          </w:p>
        </w:tc>
        <w:tc>
          <w:tcPr>
            <w:tcW w:w="1851" w:type="dxa"/>
          </w:tcPr>
          <w:p w14:paraId="00EF217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0.9959</w:t>
            </w:r>
          </w:p>
        </w:tc>
        <w:tc>
          <w:tcPr>
            <w:tcW w:w="3085" w:type="dxa"/>
          </w:tcPr>
          <w:p w14:paraId="70E35BD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5.0</w:t>
            </w:r>
          </w:p>
        </w:tc>
      </w:tr>
      <w:tr w:rsidR="00723756" w:rsidRPr="00F62B8C" w14:paraId="75884809" w14:textId="77777777">
        <w:tc>
          <w:tcPr>
            <w:tcW w:w="1028" w:type="dxa"/>
          </w:tcPr>
          <w:p w14:paraId="7178FB9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monkey</w:t>
            </w:r>
          </w:p>
        </w:tc>
        <w:tc>
          <w:tcPr>
            <w:tcW w:w="1954" w:type="dxa"/>
          </w:tcPr>
          <w:p w14:paraId="4957EB0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0.9999</w:t>
            </w:r>
          </w:p>
        </w:tc>
        <w:tc>
          <w:tcPr>
            <w:tcW w:w="1851" w:type="dxa"/>
          </w:tcPr>
          <w:p w14:paraId="4CDF4C7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0.9960</w:t>
            </w:r>
          </w:p>
        </w:tc>
        <w:tc>
          <w:tcPr>
            <w:tcW w:w="3085" w:type="dxa"/>
          </w:tcPr>
          <w:p w14:paraId="2D857FE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5.0</w:t>
            </w:r>
          </w:p>
        </w:tc>
      </w:tr>
      <w:tr w:rsidR="00723756" w:rsidRPr="00F62B8C" w14:paraId="375529E5" w14:textId="77777777">
        <w:tc>
          <w:tcPr>
            <w:tcW w:w="1028" w:type="dxa"/>
          </w:tcPr>
          <w:p w14:paraId="084064E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mouse</w:t>
            </w:r>
          </w:p>
        </w:tc>
        <w:tc>
          <w:tcPr>
            <w:tcW w:w="1954" w:type="dxa"/>
          </w:tcPr>
          <w:p w14:paraId="296CA1E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0.9998</w:t>
            </w:r>
          </w:p>
        </w:tc>
        <w:tc>
          <w:tcPr>
            <w:tcW w:w="1851" w:type="dxa"/>
          </w:tcPr>
          <w:p w14:paraId="478BF18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0.9960</w:t>
            </w:r>
          </w:p>
        </w:tc>
        <w:tc>
          <w:tcPr>
            <w:tcW w:w="3085" w:type="dxa"/>
          </w:tcPr>
          <w:p w14:paraId="5EBDEDB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4.6</w:t>
            </w:r>
          </w:p>
        </w:tc>
      </w:tr>
      <w:tr w:rsidR="00723756" w:rsidRPr="00F62B8C" w14:paraId="405113A0" w14:textId="77777777">
        <w:tc>
          <w:tcPr>
            <w:tcW w:w="1028" w:type="dxa"/>
          </w:tcPr>
          <w:p w14:paraId="59351AA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rat</w:t>
            </w:r>
          </w:p>
        </w:tc>
        <w:tc>
          <w:tcPr>
            <w:tcW w:w="1954" w:type="dxa"/>
          </w:tcPr>
          <w:p w14:paraId="654D023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0.9999</w:t>
            </w:r>
          </w:p>
        </w:tc>
        <w:tc>
          <w:tcPr>
            <w:tcW w:w="1851" w:type="dxa"/>
          </w:tcPr>
          <w:p w14:paraId="565AC7A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0.9960</w:t>
            </w:r>
          </w:p>
        </w:tc>
        <w:tc>
          <w:tcPr>
            <w:tcW w:w="3085" w:type="dxa"/>
          </w:tcPr>
          <w:p w14:paraId="73A9488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4.7</w:t>
            </w:r>
          </w:p>
        </w:tc>
      </w:tr>
      <w:tr w:rsidR="00723756" w:rsidRPr="00F62B8C" w14:paraId="2927F7AD" w14:textId="77777777">
        <w:tc>
          <w:tcPr>
            <w:tcW w:w="1028" w:type="dxa"/>
          </w:tcPr>
          <w:p w14:paraId="016AC93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pig</w:t>
            </w:r>
          </w:p>
        </w:tc>
        <w:tc>
          <w:tcPr>
            <w:tcW w:w="1954" w:type="dxa"/>
          </w:tcPr>
          <w:p w14:paraId="78B58ED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0.9999</w:t>
            </w:r>
          </w:p>
        </w:tc>
        <w:tc>
          <w:tcPr>
            <w:tcW w:w="1851" w:type="dxa"/>
          </w:tcPr>
          <w:p w14:paraId="68354B0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0.9960</w:t>
            </w:r>
          </w:p>
        </w:tc>
        <w:tc>
          <w:tcPr>
            <w:tcW w:w="3085" w:type="dxa"/>
          </w:tcPr>
          <w:p w14:paraId="5F8C6C6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5.0</w:t>
            </w:r>
          </w:p>
        </w:tc>
      </w:tr>
      <w:tr w:rsidR="00723756" w:rsidRPr="00F62B8C" w14:paraId="2BA3E13E" w14:textId="77777777">
        <w:tc>
          <w:tcPr>
            <w:tcW w:w="1028" w:type="dxa"/>
          </w:tcPr>
          <w:p w14:paraId="7D55612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rice</w:t>
            </w:r>
          </w:p>
        </w:tc>
        <w:tc>
          <w:tcPr>
            <w:tcW w:w="1954" w:type="dxa"/>
          </w:tcPr>
          <w:p w14:paraId="4F7D86B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0.9997</w:t>
            </w:r>
          </w:p>
        </w:tc>
        <w:tc>
          <w:tcPr>
            <w:tcW w:w="1851" w:type="dxa"/>
          </w:tcPr>
          <w:p w14:paraId="1DA6CB8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0.9960</w:t>
            </w:r>
          </w:p>
        </w:tc>
        <w:tc>
          <w:tcPr>
            <w:tcW w:w="3085" w:type="dxa"/>
          </w:tcPr>
          <w:p w14:paraId="22DA4C0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w:t>
            </w:r>
          </w:p>
        </w:tc>
      </w:tr>
    </w:tbl>
    <w:p w14:paraId="4904D78C" w14:textId="77777777" w:rsidR="00723756" w:rsidRPr="00F62B8C" w:rsidRDefault="00000000" w:rsidP="00F62B8C">
      <w:pPr>
        <w:pStyle w:val="Heading3"/>
        <w:spacing w:before="0" w:after="0" w:line="480" w:lineRule="auto"/>
        <w:rPr>
          <w:rFonts w:ascii="Times New Roman" w:hAnsi="Times New Roman" w:cs="Times New Roman"/>
        </w:rPr>
      </w:pPr>
      <w:bookmarkStart w:id="48" w:name="real-data-performance"/>
      <w:bookmarkStart w:id="49" w:name="_Toc240055210"/>
      <w:bookmarkEnd w:id="46"/>
      <w:r w:rsidRPr="00F62B8C">
        <w:rPr>
          <w:rFonts w:ascii="Times New Roman" w:hAnsi="Times New Roman" w:cs="Times New Roman"/>
        </w:rPr>
        <w:t>3.8 Real-data performance</w:t>
      </w:r>
      <w:bookmarkEnd w:id="49"/>
    </w:p>
    <w:p w14:paraId="59CDEF66"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We applied RustyClean to 11 human oral microbiome samples from the LU cohort (paired-end, 5–45 million reads per sample) to confirm that the simulated-panel performance translates to real data. All samples completed successfully with the default auto backend. Runtime ranged from 9 to 46 min per sample (mean 18.6 min, median 13.6 min) and peak memory ranged from 3.4 to 6.5 GB (mean 4.1 GB, median 3.6 GB). The total wall clock for the 11-sample cohort was 3.4 h. These numbers are consistent with the simulated-panel throughput and demonstrate that the pipeline is ready for production cohorts.</w:t>
      </w:r>
    </w:p>
    <w:p w14:paraId="4C65F837" w14:textId="77777777" w:rsidR="00723756" w:rsidRPr="00F62B8C" w:rsidRDefault="00000000" w:rsidP="00F62B8C">
      <w:pPr>
        <w:pStyle w:val="Heading3"/>
        <w:spacing w:before="0" w:after="0" w:line="480" w:lineRule="auto"/>
        <w:rPr>
          <w:rFonts w:ascii="Times New Roman" w:hAnsi="Times New Roman" w:cs="Times New Roman"/>
        </w:rPr>
      </w:pPr>
      <w:bookmarkStart w:id="50" w:name="_Toc240055211"/>
      <w:r w:rsidRPr="00F62B8C">
        <w:rPr>
          <w:rFonts w:ascii="Times New Roman" w:hAnsi="Times New Roman" w:cs="Times New Roman"/>
        </w:rPr>
        <w:lastRenderedPageBreak/>
        <w:t>3.9 Parallel scaling against KneadData and Hostile</w:t>
      </w:r>
      <w:bookmarkEnd w:id="50"/>
    </w:p>
    <w:p w14:paraId="7EF03FDA"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The comparisons above run one sample at a time. Because host depletion is normally applied to a whole cohort, we also measured how each tool converts a fixed core budget into throughput. On the uniform 120-sample panel (Section 2.9), five arms were run at each of five worker counts: KneadData and Hostile driven one sample per process by xargs; RustyClean auto and RustyClean --skip-qc as a single process using their own worker pool; and RustyClean auto driven by xargs, which holds the tool fixed and varies only which scheduler is used. At 1,000,000 reads every sample falls below the read-count threshold in the routing rule, so auto selected Bowtie2 for all six host fractions and all five arms align against a comparable index.</w:t>
      </w:r>
    </w:p>
    <w:p w14:paraId="61CE8149"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Every arm reached its best throughput at an intermediate worker count and lost ground beyond it: Hostile at W = 2 (686 samples/h), KneadData at W = 4 (116 samples/h), and the three RustyClean arms at W = 8 (334, 342 and 480 samples/h). At W = 16, where each sample receives a single thread, all five were slower than at W = 8 while CPU utilisation remained above 0.95, so the additional cores were consumed by per-worker fixed costs rather than left idle. Total CPU consumed for the same 120 samples rose with the worker count in every arm, by 38% (Hostile) to 216% (RustyClean --skip-qc) between W = 1 and W = 16.</w:t>
      </w:r>
    </w:p>
    <w:p w14:paraId="4A42A75C"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Against KneadData, RustyClean's advantage is entirely an advantage in parallelism. At one worker RustyClean auto was slower (0.81×); the ratio rose with the worker count to 3.09× at W = 8 and 2.88× comparing each tool at its own best setting. The underlying reason is visible in the CPU figures: RustyClean completed the panel using 16,683 CPU-seconds against KneadData's 48,719, a third of the work, but at one worker it occupied only 2.5 of 16 cores (CPU efficiency 0.15) against KneadData's 8.9 (0.56). RustyClean has very little within-sample parallelism and converts its lower total cost into shorter wall time only through sample-level concurrency.</w:t>
      </w:r>
    </w:p>
    <w:p w14:paraId="7A1B4617"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lastRenderedPageBreak/>
        <w:t>Against Hostile there is no advantage at any worker count (0.51–0.97×), and the memory difference is large. At W = 16 Hostile held 1.2 GB of anonymous memory against RustyClean's 55.0 GB, a factor of 46, and Hostile's footprint grew only 5.6-fold across a 16-fold increase in concurrency while RustyClean's grew 15.7-fold. Both tools invoke the same aligner, so the difference is in how the index is loaded. RustyClean's depletion step already maps its Bowtie2 index (--mm) and shares it between concurrent workers; its host-fraction survey and its optional verification pass do not, and each therefore loads a private copy. Three independent measurements agree on that account: 3.50 GB of anonymous memory at one worker is one Bowtie2 index of T2T-CHM13v2.0, 27.5 GB at eight workers is eight of them, and the single-sample benchmark of Section 3.5, which runs the same aligner with no survey, holds 0.14 GB. On a 128 GB node this caps useful concurrency for RustyClean near W = 16, a limit Hostile is nowhere near, and mapping the survey index would remove the cap.</w:t>
      </w:r>
    </w:p>
    <w:p w14:paraId="035CE01D"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Finally, RustyClean's own worker pool conferred no throughput benefit over running the same binary under xargs at matched W: ratios of 1.04, 1.00, 1.10, 0.98 and 0.93 across the five worker counts, a median of 1.00×. The pool did use 1.6–1.8× more memory at high worker counts. We therefore attribute the advantage over KneadData to the cost of the depletion work itself rather than to scheduling, and do not claim built-in parallelism as a contribution.</w:t>
      </w:r>
    </w:p>
    <w:p w14:paraId="1D0E6079" w14:textId="77777777" w:rsidR="00723756" w:rsidRPr="00F62B8C" w:rsidRDefault="00000000" w:rsidP="00F62B8C">
      <w:pPr>
        <w:pStyle w:val="Heading2"/>
        <w:spacing w:before="0" w:after="0" w:line="480" w:lineRule="auto"/>
        <w:rPr>
          <w:rFonts w:ascii="Times New Roman" w:hAnsi="Times New Roman" w:cs="Times New Roman"/>
        </w:rPr>
      </w:pPr>
      <w:bookmarkStart w:id="51" w:name="discussion"/>
      <w:bookmarkStart w:id="52" w:name="_Toc240055212"/>
      <w:bookmarkEnd w:id="30"/>
      <w:bookmarkEnd w:id="48"/>
      <w:r w:rsidRPr="00F62B8C">
        <w:rPr>
          <w:rFonts w:ascii="Times New Roman" w:hAnsi="Times New Roman" w:cs="Times New Roman"/>
        </w:rPr>
        <w:t>4. Discussion</w:t>
      </w:r>
      <w:bookmarkEnd w:id="52"/>
    </w:p>
    <w:p w14:paraId="4B97D4AD"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 xml:space="preserve">Neither error direction is universally preferable, which is why the choice should not be made once for every sample and every study. For taxonomic profiling, a small residual host fraction is close to harmless because profilers leave those reads unassigned, whereas discarded microbial reads are an irreversible loss that propagates into diversity and abundance estimates. For assembly, for MAG recovery, and for data released publicly — where residual human sequence </w:t>
      </w:r>
      <w:r w:rsidRPr="00F62B8C">
        <w:rPr>
          <w:rFonts w:ascii="Times New Roman" w:hAnsi="Times New Roman" w:cs="Times New Roman"/>
        </w:rPr>
        <w:lastRenderedPageBreak/>
        <w:t>is a consent and privacy matter rather than a technical one — the calculus reverses. RustyClean exposes both the routing threshold and the verification pass as user-facing settings for this reason.</w:t>
      </w:r>
    </w:p>
    <w:p w14:paraId="1AC6DF12"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The central result is that the choice of depletion backend should be made per-sample rather than per-study. Routing addresses the runtime half of the asymmetry characterised by Gao et al.: k-mer classification is fastest when most reads are host and can be discarded in bulk, whereas direct alignment is competitive when most reads are microbial and can be rejected early. RustyClean captures this with a rapid alignment survey of a 100 k-read subsample, then routes the sample to Bowtie2 removal when the estimated host fraction is low or moderate and to Kraken2 classification with Bowtie2 recheck when the host fraction is high. For host-negative samples the entire alignment step is skipped.</w:t>
      </w:r>
    </w:p>
    <w:p w14:paraId="5A68706E" w14:textId="4C2923E1"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Two comparisons deserve to be read carefully. First, RustyClean performs no tandem-repeat or low-complexity masking, whereas KneadData does; part of the runtime advantage over KneadData therefore reflects work not done rather than work done faster, and the closer like-for-like comparison is against KneadData with repeat masking disabled. Second, Hostile is the more demanding baseline, and on the rebuilt panel it is the faster tool: RustyClean's depletion-only step (--skip-qc) is indistinguishable from Hostile per sample (median 1.00×) and slower than Hostile at every worker count under concurrency, while the accuracy gap versus Hostile remains small and runs in RustyClean's favour on host carry-over. RustyClean's contribution is therefore not speed against Hostile, and not that k-mer classification is more accurate than alignment — it is not — but that per-sample routing lets the pipeline use classification where it has the largest speed advantage while falling back to alignment where alignment is already efficient or where the residual-host penalty is unacceptable.</w:t>
      </w:r>
    </w:p>
    <w:p w14:paraId="73AE2352"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lastRenderedPageBreak/>
        <w:t>Third, the way a pipeline loads its reference matters as much as which reference it loads once more than one sample is in flight. Hostile's Bowtie2 index is a shared mapping and sixteen concurrent processes hold 1.2 GB between them; RustyClean's survey loads a private copy per worker and the same concurrency costs 55 GB. Neither figure is visible in a peak resident set size measured one sample at a time, which is how memory is usually reported for these tools, and the two conventions disagree by more than an order of magnitude on exactly the comparison a reader would want to make. We report anonymous memory from the cgroup for this reason, and note that mapping the survey index would remove most of the difference.</w:t>
      </w:r>
    </w:p>
    <w:p w14:paraId="7A8DE830"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rPr>
        <w:t>Limitations. Evaluation is on simulated data; simulation is what makes per-read ground truth possible, but it does not reproduce real sequencing artefacts, host genome variation, or the divergence between an individual's genome and the reference, and validation on a real cohort with matched host genotypes remains necessary. The primary accuracy evaluation covers a matched 100 M-read panel and a broader 18 simulated-dataset panel; neither includes real sequencing artefacts. Paired-end libraries and intermediate host fractions near the routing threshold are now represented in the full panel, but behaviour very close to the threshold remains the regime most likely to be mis-routed. Depletion is deterministic, so accuracy was evaluated once per dataset and replication applies only to timing. Finally, host-fraction estimation from a small subsample was substantially less accurate on a skewed community, and while routing tolerated that error here, the margin is not guaranteed for samples whose true host fraction lies near the threshold.</w:t>
      </w:r>
    </w:p>
    <w:p w14:paraId="31116CC1" w14:textId="77777777" w:rsidR="00723756" w:rsidRPr="00F62B8C" w:rsidRDefault="00000000" w:rsidP="00F62B8C">
      <w:pPr>
        <w:spacing w:after="0" w:line="480" w:lineRule="auto"/>
        <w:rPr>
          <w:rFonts w:ascii="Times New Roman" w:hAnsi="Times New Roman" w:cs="Times New Roman"/>
        </w:rPr>
      </w:pPr>
      <w:r w:rsidRPr="00F62B8C">
        <w:rPr>
          <w:rFonts w:ascii="Times New Roman" w:hAnsi="Times New Roman" w:cs="Times New Roman"/>
        </w:rPr>
        <w:t xml:space="preserve">The parallel-scaling panel is a throughput measurement and inherits its own limits. Its samples are uniform by construction, which is what makes batch wall time interpretable but is unlike a real cohort; at 1,000,000 reads every sample routes to Bowtie2, so the figures describe the </w:t>
      </w:r>
      <w:r w:rsidRPr="00F62B8C">
        <w:rPr>
          <w:rFonts w:ascii="Times New Roman" w:hAnsi="Times New Roman" w:cs="Times New Roman"/>
        </w:rPr>
        <w:lastRenderedPageBreak/>
        <w:t>alignment path and not the classification path; and reading the inputs and indexes into page cache before timing makes it a warm-cache measurement rather than a first run against cold storage. Concurrency was varied while holding W × T constant at 16 cores, so the results describe how a fixed budget is best divided and not how the tools behave on a larger machine.</w:t>
      </w:r>
    </w:p>
    <w:p w14:paraId="0485F093" w14:textId="77777777" w:rsidR="00723756" w:rsidRPr="00F62B8C" w:rsidRDefault="00000000" w:rsidP="00F62B8C">
      <w:pPr>
        <w:pStyle w:val="Heading2"/>
        <w:spacing w:before="0" w:after="0" w:line="480" w:lineRule="auto"/>
        <w:rPr>
          <w:rFonts w:ascii="Times New Roman" w:hAnsi="Times New Roman" w:cs="Times New Roman"/>
        </w:rPr>
      </w:pPr>
      <w:bookmarkStart w:id="53" w:name="software-and-data-availability"/>
      <w:bookmarkStart w:id="54" w:name="_Toc240055213"/>
      <w:bookmarkEnd w:id="51"/>
      <w:r w:rsidRPr="00F62B8C">
        <w:rPr>
          <w:rFonts w:ascii="Times New Roman" w:hAnsi="Times New Roman" w:cs="Times New Roman"/>
        </w:rPr>
        <w:t>5. Software and data availability</w:t>
      </w:r>
      <w:bookmarkEnd w:id="54"/>
    </w:p>
    <w:p w14:paraId="216ADD51"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RustyClean is implemented as a single Rust binary and is available at https://github.com/HuangShiLab/rustyclean under the MIT licence. The version used for the experiments in this manuscript is [tag/SHA]. Source code for the benchmarking and analysis scripts, together with the simulated dataset metadata and result tables, are available at https://github.com/HuangShiLab/rustyclean-paper. Simulated reads and ground-truth labels are available from the same repository; real human oral microbiome data are from the LU cohort and are subject to the original data-access agreements.</w:t>
      </w:r>
    </w:p>
    <w:p w14:paraId="1BB942D2" w14:textId="77777777" w:rsidR="00723756" w:rsidRPr="00F62B8C" w:rsidRDefault="00000000" w:rsidP="00F62B8C">
      <w:pPr>
        <w:pStyle w:val="Heading2"/>
        <w:spacing w:before="0" w:after="0" w:line="480" w:lineRule="auto"/>
        <w:rPr>
          <w:rFonts w:ascii="Times New Roman" w:hAnsi="Times New Roman" w:cs="Times New Roman"/>
        </w:rPr>
      </w:pPr>
      <w:bookmarkStart w:id="55" w:name="X5e7fc9a2bba330cc343b13bfe4d5c9bdb134d21"/>
      <w:bookmarkStart w:id="56" w:name="_Toc240055214"/>
      <w:bookmarkEnd w:id="53"/>
      <w:r w:rsidRPr="00F62B8C">
        <w:rPr>
          <w:rFonts w:ascii="Times New Roman" w:hAnsi="Times New Roman" w:cs="Times New Roman"/>
        </w:rPr>
        <w:t>6. Target journals and peer-review preparation</w:t>
      </w:r>
      <w:bookmarkEnd w:id="56"/>
    </w:p>
    <w:p w14:paraId="2D453653"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rPr>
        <w:t>[This section is retained for internal review and should be removed or converted to a cover letter before submission.]</w:t>
      </w:r>
    </w:p>
    <w:p w14:paraId="5341E54B" w14:textId="77777777" w:rsidR="00723756" w:rsidRPr="00F62B8C" w:rsidRDefault="00000000" w:rsidP="00F62B8C">
      <w:pPr>
        <w:pStyle w:val="Heading3"/>
        <w:spacing w:before="0" w:after="0" w:line="480" w:lineRule="auto"/>
        <w:rPr>
          <w:rFonts w:ascii="Times New Roman" w:hAnsi="Times New Roman" w:cs="Times New Roman"/>
        </w:rPr>
      </w:pPr>
      <w:bookmarkStart w:id="57" w:name="suggested-target-venues"/>
      <w:bookmarkStart w:id="58" w:name="_Toc240055215"/>
      <w:r w:rsidRPr="00F62B8C">
        <w:rPr>
          <w:rFonts w:ascii="Times New Roman" w:hAnsi="Times New Roman" w:cs="Times New Roman"/>
        </w:rPr>
        <w:t>6.1 Suggested target venues</w:t>
      </w:r>
      <w:bookmarkEnd w:id="58"/>
    </w:p>
    <w:p w14:paraId="2206519A" w14:textId="77777777" w:rsidR="00723756" w:rsidRPr="00F62B8C" w:rsidRDefault="00000000" w:rsidP="00F62B8C">
      <w:pPr>
        <w:pStyle w:val="Compact"/>
        <w:numPr>
          <w:ilvl w:val="0"/>
          <w:numId w:val="7"/>
        </w:numPr>
        <w:spacing w:before="0" w:after="0" w:line="480" w:lineRule="auto"/>
        <w:rPr>
          <w:rFonts w:ascii="Times New Roman" w:hAnsi="Times New Roman" w:cs="Times New Roman"/>
        </w:rPr>
      </w:pPr>
      <w:r w:rsidRPr="00F62B8C">
        <w:rPr>
          <w:rFonts w:ascii="Times New Roman" w:hAnsi="Times New Roman" w:cs="Times New Roman"/>
          <w:b/>
          <w:bCs/>
        </w:rPr>
        <w:t>GigaScience</w:t>
      </w:r>
      <w:r w:rsidRPr="00F62B8C">
        <w:rPr>
          <w:rFonts w:ascii="Times New Roman" w:hAnsi="Times New Roman" w:cs="Times New Roman"/>
        </w:rPr>
        <w:t xml:space="preserve"> (IF ~11.8, Oxford). Strong fit: the motivating benchmark by Gao et al. (2025) was published here, the scope includes large-scale computational methods, and the software + benchmark narrative matches the journal’s emphasis on reproducible, data-rich methods papers.</w:t>
      </w:r>
    </w:p>
    <w:p w14:paraId="6775553D" w14:textId="77777777" w:rsidR="00723756" w:rsidRPr="00F62B8C" w:rsidRDefault="00000000" w:rsidP="00F62B8C">
      <w:pPr>
        <w:pStyle w:val="Compact"/>
        <w:numPr>
          <w:ilvl w:val="0"/>
          <w:numId w:val="7"/>
        </w:numPr>
        <w:spacing w:before="0" w:after="0" w:line="480" w:lineRule="auto"/>
        <w:rPr>
          <w:rFonts w:ascii="Times New Roman" w:hAnsi="Times New Roman" w:cs="Times New Roman"/>
        </w:rPr>
      </w:pPr>
      <w:r w:rsidRPr="00F62B8C">
        <w:rPr>
          <w:rFonts w:ascii="Times New Roman" w:hAnsi="Times New Roman" w:cs="Times New Roman"/>
          <w:b/>
          <w:bCs/>
        </w:rPr>
        <w:t>Bioinformatics</w:t>
      </w:r>
      <w:r w:rsidRPr="00F62B8C">
        <w:rPr>
          <w:rFonts w:ascii="Times New Roman" w:hAnsi="Times New Roman" w:cs="Times New Roman"/>
        </w:rPr>
        <w:t xml:space="preserve"> (IF ~4.4, Oxford). Good fit for a concise methods contribution with a strong implementation and comparative benchmark. The adaptive-routing angle is methodologically novel enough for a full article rather than an Application Note.</w:t>
      </w:r>
    </w:p>
    <w:p w14:paraId="1B53EC44" w14:textId="77777777" w:rsidR="00723756" w:rsidRPr="00F62B8C" w:rsidRDefault="00000000" w:rsidP="00F62B8C">
      <w:pPr>
        <w:pStyle w:val="Compact"/>
        <w:numPr>
          <w:ilvl w:val="0"/>
          <w:numId w:val="7"/>
        </w:numPr>
        <w:spacing w:before="0" w:after="0" w:line="480" w:lineRule="auto"/>
        <w:rPr>
          <w:rFonts w:ascii="Times New Roman" w:hAnsi="Times New Roman" w:cs="Times New Roman"/>
        </w:rPr>
      </w:pPr>
      <w:r w:rsidRPr="00F62B8C">
        <w:rPr>
          <w:rFonts w:ascii="Times New Roman" w:hAnsi="Times New Roman" w:cs="Times New Roman"/>
          <w:b/>
          <w:bCs/>
        </w:rPr>
        <w:lastRenderedPageBreak/>
        <w:t>Microbiome</w:t>
      </w:r>
      <w:r w:rsidRPr="00F62B8C">
        <w:rPr>
          <w:rFonts w:ascii="Times New Roman" w:hAnsi="Times New Roman" w:cs="Times New Roman"/>
        </w:rPr>
        <w:t xml:space="preserve"> (IF ~13.8, BMC). Good fit if the manuscript stresses the downstream impact on microbiome studies (signal preservation, cross-species applicability, real-data validation).</w:t>
      </w:r>
    </w:p>
    <w:p w14:paraId="7D9B9DC7" w14:textId="77777777" w:rsidR="00723756" w:rsidRPr="00F62B8C" w:rsidRDefault="00000000" w:rsidP="00F62B8C">
      <w:pPr>
        <w:pStyle w:val="Compact"/>
        <w:numPr>
          <w:ilvl w:val="0"/>
          <w:numId w:val="7"/>
        </w:numPr>
        <w:spacing w:before="0" w:after="0" w:line="480" w:lineRule="auto"/>
        <w:rPr>
          <w:rFonts w:ascii="Times New Roman" w:hAnsi="Times New Roman" w:cs="Times New Roman"/>
        </w:rPr>
      </w:pPr>
      <w:r w:rsidRPr="00F62B8C">
        <w:rPr>
          <w:rFonts w:ascii="Times New Roman" w:hAnsi="Times New Roman" w:cs="Times New Roman"/>
          <w:b/>
          <w:bCs/>
        </w:rPr>
        <w:t>BMC Bioinformatics</w:t>
      </w:r>
      <w:r w:rsidRPr="00F62B8C">
        <w:rPr>
          <w:rFonts w:ascii="Times New Roman" w:hAnsi="Times New Roman" w:cs="Times New Roman"/>
        </w:rPr>
        <w:t xml:space="preserve"> (IF ~2.9, BMC). A reliable, method-focused venue with a relatively fast turnaround; suitable if the contribution is framed primarily as a software/benchmark advance.</w:t>
      </w:r>
    </w:p>
    <w:p w14:paraId="5600DA85" w14:textId="77777777" w:rsidR="00723756" w:rsidRPr="00F62B8C" w:rsidRDefault="00000000" w:rsidP="00F62B8C">
      <w:pPr>
        <w:pStyle w:val="Compact"/>
        <w:numPr>
          <w:ilvl w:val="0"/>
          <w:numId w:val="7"/>
        </w:numPr>
        <w:spacing w:before="0" w:after="0" w:line="480" w:lineRule="auto"/>
        <w:rPr>
          <w:rFonts w:ascii="Times New Roman" w:hAnsi="Times New Roman" w:cs="Times New Roman"/>
        </w:rPr>
      </w:pPr>
      <w:r w:rsidRPr="00F62B8C">
        <w:rPr>
          <w:rFonts w:ascii="Times New Roman" w:hAnsi="Times New Roman" w:cs="Times New Roman"/>
          <w:b/>
          <w:bCs/>
        </w:rPr>
        <w:t>NAR Genomics and Bioinformatics</w:t>
      </w:r>
      <w:r w:rsidRPr="00F62B8C">
        <w:rPr>
          <w:rFonts w:ascii="Times New Roman" w:hAnsi="Times New Roman" w:cs="Times New Roman"/>
        </w:rPr>
        <w:t xml:space="preserve"> (IF ~4.4, Oxford). Publishes methods and software with strong technical contributions; the checkpointing, bounded concurrency, and validation-gate aspects are good matches.</w:t>
      </w:r>
    </w:p>
    <w:p w14:paraId="79CC0A7D" w14:textId="77777777" w:rsidR="00723756" w:rsidRPr="00F62B8C" w:rsidRDefault="00000000" w:rsidP="00F62B8C">
      <w:pPr>
        <w:pStyle w:val="Heading3"/>
        <w:spacing w:before="0" w:after="0" w:line="480" w:lineRule="auto"/>
        <w:rPr>
          <w:rFonts w:ascii="Times New Roman" w:hAnsi="Times New Roman" w:cs="Times New Roman"/>
        </w:rPr>
      </w:pPr>
      <w:bookmarkStart w:id="59" w:name="Xe4ce7175756d72f51ca3648006be2d8103f8e26"/>
      <w:bookmarkStart w:id="60" w:name="_Toc240055216"/>
      <w:bookmarkEnd w:id="57"/>
      <w:r w:rsidRPr="00F62B8C">
        <w:rPr>
          <w:rFonts w:ascii="Times New Roman" w:hAnsi="Times New Roman" w:cs="Times New Roman"/>
        </w:rPr>
        <w:t>6.2 Anticipated peer-review questions and responses</w:t>
      </w:r>
      <w:bookmarkEnd w:id="60"/>
    </w:p>
    <w:tbl>
      <w:tblPr>
        <w:tblStyle w:val="Table"/>
        <w:tblW w:w="5000" w:type="pct"/>
        <w:tblLayout w:type="fixed"/>
        <w:tblLook w:val="0020" w:firstRow="1" w:lastRow="0" w:firstColumn="0" w:lastColumn="0" w:noHBand="0" w:noVBand="0"/>
      </w:tblPr>
      <w:tblGrid>
        <w:gridCol w:w="624"/>
        <w:gridCol w:w="3747"/>
        <w:gridCol w:w="5205"/>
      </w:tblGrid>
      <w:tr w:rsidR="00723756" w:rsidRPr="00F62B8C" w14:paraId="5F7907CB"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516" w:type="dxa"/>
          </w:tcPr>
          <w:p w14:paraId="23BB460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w:t>
            </w:r>
          </w:p>
        </w:tc>
        <w:tc>
          <w:tcPr>
            <w:tcW w:w="3099" w:type="dxa"/>
          </w:tcPr>
          <w:p w14:paraId="6279AA7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Reviewer concern</w:t>
            </w:r>
          </w:p>
        </w:tc>
        <w:tc>
          <w:tcPr>
            <w:tcW w:w="4304" w:type="dxa"/>
          </w:tcPr>
          <w:p w14:paraId="708CAA9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Our response / evidence</w:t>
            </w:r>
          </w:p>
        </w:tc>
      </w:tr>
      <w:tr w:rsidR="00723756" w:rsidRPr="00F62B8C" w14:paraId="34B4D7C9" w14:textId="77777777">
        <w:tc>
          <w:tcPr>
            <w:tcW w:w="516" w:type="dxa"/>
          </w:tcPr>
          <w:p w14:paraId="412CE5B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w:t>
            </w:r>
          </w:p>
        </w:tc>
        <w:tc>
          <w:tcPr>
            <w:tcW w:w="3099" w:type="dxa"/>
          </w:tcPr>
          <w:p w14:paraId="727577B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Why is Kraken2 memory so much larger than Hostile?</w:t>
            </w:r>
          </w:p>
        </w:tc>
        <w:tc>
          <w:tcPr>
            <w:tcW w:w="4304" w:type="dxa"/>
          </w:tcPr>
          <w:p w14:paraId="1F7DB5D1" w14:textId="61525158"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 xml:space="preserve">Default path uses a T2T-only human Kraken2 index (~15.5 GB). Memory is bounded by DB size, not sample size, and the memory-aware worker cap prevents overload (Section 2.8). Users can force the Bowtie2 path for low-memory environments, which we measure at 0.14 GB of anonymous memory — below Hostile. Note also that the resident-set figures are not comparable across these tools: Hostile's 3.52 GB is 0.18 GB of private memory plus a shared index mapping, and KneadData's 1.11 GB omits the subprocesses it aligns in, which hold 3.71 GB (Sections 3.5 and </w:t>
            </w:r>
            <w:r w:rsidRPr="00F62B8C">
              <w:rPr>
                <w:rFonts w:ascii="Times New Roman" w:hAnsi="Times New Roman" w:cs="Times New Roman"/>
              </w:rPr>
              <w:lastRenderedPageBreak/>
              <w:t>3.9).</w:t>
            </w:r>
          </w:p>
        </w:tc>
      </w:tr>
      <w:tr w:rsidR="00723756" w:rsidRPr="00F62B8C" w14:paraId="0DE0E766" w14:textId="77777777">
        <w:tc>
          <w:tcPr>
            <w:tcW w:w="516" w:type="dxa"/>
          </w:tcPr>
          <w:p w14:paraId="18C7111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2</w:t>
            </w:r>
          </w:p>
        </w:tc>
        <w:tc>
          <w:tcPr>
            <w:tcW w:w="3099" w:type="dxa"/>
          </w:tcPr>
          <w:p w14:paraId="27E7556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The 99% host F1 drop looks concerning.</w:t>
            </w:r>
          </w:p>
        </w:tc>
        <w:tc>
          <w:tcPr>
            <w:tcW w:w="4304" w:type="dxa"/>
          </w:tcPr>
          <w:p w14:paraId="70C342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Expected behaviour: when microbial reads are rare, retained host reads dominate the F1 denominator. The absolute host carry-over remains modest; the relevant metric for assembly/profiling is residual-host fraction, which is low (Section 3.4a).</w:t>
            </w:r>
          </w:p>
        </w:tc>
      </w:tr>
      <w:tr w:rsidR="00723756" w:rsidRPr="00F62B8C" w14:paraId="256E0481" w14:textId="77777777">
        <w:tc>
          <w:tcPr>
            <w:tcW w:w="516" w:type="dxa"/>
          </w:tcPr>
          <w:p w14:paraId="0819E8B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w:t>
            </w:r>
          </w:p>
        </w:tc>
        <w:tc>
          <w:tcPr>
            <w:tcW w:w="3099" w:type="dxa"/>
          </w:tcPr>
          <w:p w14:paraId="65021C0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The routing thresholds (10% / 30%) seem arbitrary.</w:t>
            </w:r>
          </w:p>
        </w:tc>
        <w:tc>
          <w:tcPr>
            <w:tcW w:w="4304" w:type="dxa"/>
          </w:tcPr>
          <w:p w14:paraId="1CF95CE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Set from measured runtime crossover of the two backends; conservative routing sends borderline samples to the safer alignment path (Section 2.3).</w:t>
            </w:r>
          </w:p>
        </w:tc>
      </w:tr>
      <w:tr w:rsidR="00723756" w:rsidRPr="00F62B8C" w14:paraId="3F7DF255" w14:textId="77777777">
        <w:tc>
          <w:tcPr>
            <w:tcW w:w="516" w:type="dxa"/>
          </w:tcPr>
          <w:p w14:paraId="08AF82A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4</w:t>
            </w:r>
          </w:p>
        </w:tc>
        <w:tc>
          <w:tcPr>
            <w:tcW w:w="3099" w:type="dxa"/>
          </w:tcPr>
          <w:p w14:paraId="50335C6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KneadData includes Trimmomatic and repeat masking; the comparison is not like-for-like.</w:t>
            </w:r>
          </w:p>
        </w:tc>
        <w:tc>
          <w:tcPr>
            <w:tcW w:w="4304" w:type="dxa"/>
          </w:tcPr>
          <w:p w14:paraId="5D6D26F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 xml:space="preserve">Acknowledged. We report KneadData as the de facto standard and note that part of the speed advantage reflects scope differences (Discussion). A </w:t>
            </w:r>
            <w:r w:rsidRPr="00F62B8C">
              <w:rPr>
                <w:rStyle w:val="VerbatimChar"/>
                <w:rFonts w:ascii="Times New Roman" w:hAnsi="Times New Roman" w:cs="Times New Roman"/>
              </w:rPr>
              <w:t>--bypass-trf</w:t>
            </w:r>
            <w:r w:rsidRPr="00F62B8C">
              <w:rPr>
                <w:rFonts w:ascii="Times New Roman" w:hAnsi="Times New Roman" w:cs="Times New Roman"/>
              </w:rPr>
              <w:t xml:space="preserve"> comparison would further clarify this.</w:t>
            </w:r>
          </w:p>
        </w:tc>
      </w:tr>
      <w:tr w:rsidR="00723756" w:rsidRPr="00F62B8C" w14:paraId="7358F715" w14:textId="77777777">
        <w:tc>
          <w:tcPr>
            <w:tcW w:w="516" w:type="dxa"/>
          </w:tcPr>
          <w:p w14:paraId="5DC67DB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w:t>
            </w:r>
          </w:p>
        </w:tc>
        <w:tc>
          <w:tcPr>
            <w:tcW w:w="3099" w:type="dxa"/>
          </w:tcPr>
          <w:p w14:paraId="22D1E9B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Why not compare with Hostile on all 18 datasets?</w:t>
            </w:r>
          </w:p>
        </w:tc>
        <w:tc>
          <w:tcPr>
            <w:tcW w:w="4304" w:type="dxa"/>
          </w:tcPr>
          <w:p w14:paraId="69FEE9B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Matched panel was run for all four conditions; full 18-dataset panel is RustyClean-only for computational cost. Cross-species and real-data validation extend generalisability.</w:t>
            </w:r>
          </w:p>
        </w:tc>
      </w:tr>
      <w:tr w:rsidR="00723756" w:rsidRPr="00F62B8C" w14:paraId="54C4E977" w14:textId="77777777">
        <w:tc>
          <w:tcPr>
            <w:tcW w:w="516" w:type="dxa"/>
          </w:tcPr>
          <w:p w14:paraId="370BC62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w:t>
            </w:r>
          </w:p>
        </w:tc>
        <w:tc>
          <w:tcPr>
            <w:tcW w:w="3099" w:type="dxa"/>
          </w:tcPr>
          <w:p w14:paraId="59BDCB2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Is the accuracy evaluation deterministic?</w:t>
            </w:r>
          </w:p>
        </w:tc>
        <w:tc>
          <w:tcPr>
            <w:tcW w:w="4304" w:type="dxa"/>
          </w:tcPr>
          <w:p w14:paraId="6127F3E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Yes; depletion is deterministic, so accuracy is reported once per condition and replication applies only to timing (to be stated explicitly in Methods).</w:t>
            </w:r>
          </w:p>
        </w:tc>
      </w:tr>
      <w:tr w:rsidR="00723756" w:rsidRPr="00F62B8C" w14:paraId="2913A169" w14:textId="77777777">
        <w:tc>
          <w:tcPr>
            <w:tcW w:w="516" w:type="dxa"/>
          </w:tcPr>
          <w:p w14:paraId="213D606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7</w:t>
            </w:r>
          </w:p>
        </w:tc>
        <w:tc>
          <w:tcPr>
            <w:tcW w:w="3099" w:type="dxa"/>
          </w:tcPr>
          <w:p w14:paraId="4AA952D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 xml:space="preserve">What about real sequencing artefacts and host genetic </w:t>
            </w:r>
            <w:r w:rsidRPr="00F62B8C">
              <w:rPr>
                <w:rFonts w:ascii="Times New Roman" w:hAnsi="Times New Roman" w:cs="Times New Roman"/>
                <w:i/>
                <w:iCs/>
              </w:rPr>
              <w:lastRenderedPageBreak/>
              <w:t>variation?</w:t>
            </w:r>
          </w:p>
        </w:tc>
        <w:tc>
          <w:tcPr>
            <w:tcW w:w="4304" w:type="dxa"/>
          </w:tcPr>
          <w:p w14:paraId="5CDD18F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 xml:space="preserve">Limitations section acknowledges this. The 11-sample real cohort validates throughput and </w:t>
            </w:r>
            <w:r w:rsidRPr="00F62B8C">
              <w:rPr>
                <w:rFonts w:ascii="Times New Roman" w:hAnsi="Times New Roman" w:cs="Times New Roman"/>
              </w:rPr>
              <w:lastRenderedPageBreak/>
              <w:t>robustness, but matched-host-genotype validation remains future work.</w:t>
            </w:r>
          </w:p>
        </w:tc>
      </w:tr>
      <w:tr w:rsidR="00723756" w:rsidRPr="00F62B8C" w14:paraId="4D06F511" w14:textId="77777777">
        <w:tc>
          <w:tcPr>
            <w:tcW w:w="516" w:type="dxa"/>
          </w:tcPr>
          <w:p w14:paraId="7123FF4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8</w:t>
            </w:r>
          </w:p>
        </w:tc>
        <w:tc>
          <w:tcPr>
            <w:tcW w:w="3099" w:type="dxa"/>
          </w:tcPr>
          <w:p w14:paraId="0D05213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The auto-survey estimator was inaccurate on the skewed 30M dataset.</w:t>
            </w:r>
          </w:p>
        </w:tc>
        <w:tc>
          <w:tcPr>
            <w:tcW w:w="4304" w:type="dxa"/>
          </w:tcPr>
          <w:p w14:paraId="18D8B79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Routing tolerates estimation error because it only needs the estimate to be on the correct side of a threshold. This is a designed property, not a bug (Section 3.2).</w:t>
            </w:r>
          </w:p>
        </w:tc>
      </w:tr>
      <w:tr w:rsidR="00723756" w:rsidRPr="00F62B8C" w14:paraId="490D1C35" w14:textId="77777777">
        <w:tc>
          <w:tcPr>
            <w:tcW w:w="516" w:type="dxa"/>
          </w:tcPr>
          <w:p w14:paraId="1EF45A4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9</w:t>
            </w:r>
          </w:p>
        </w:tc>
        <w:tc>
          <w:tcPr>
            <w:tcW w:w="3099" w:type="dxa"/>
          </w:tcPr>
          <w:p w14:paraId="1F382C1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Why is Centrifuge included if it performs poorly?</w:t>
            </w:r>
          </w:p>
        </w:tc>
        <w:tc>
          <w:tcPr>
            <w:tcW w:w="4304" w:type="dxa"/>
          </w:tcPr>
          <w:p w14:paraId="4901119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Evaluated as an alternative backend and rejected; included to show that the backend is interchangeable and that not all classifiers are suitable (Section 3.6).</w:t>
            </w:r>
          </w:p>
        </w:tc>
      </w:tr>
      <w:tr w:rsidR="00723756" w:rsidRPr="00F62B8C" w14:paraId="1D5E07E2" w14:textId="77777777">
        <w:tc>
          <w:tcPr>
            <w:tcW w:w="516" w:type="dxa"/>
          </w:tcPr>
          <w:p w14:paraId="1700003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w:t>
            </w:r>
          </w:p>
        </w:tc>
        <w:tc>
          <w:tcPr>
            <w:tcW w:w="3099" w:type="dxa"/>
          </w:tcPr>
          <w:p w14:paraId="7615D59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Does the pipeline handle ultra-high host fractions (&gt;99%) or very large cohorts?</w:t>
            </w:r>
          </w:p>
        </w:tc>
        <w:tc>
          <w:tcPr>
            <w:tcW w:w="4304" w:type="dxa"/>
          </w:tcPr>
          <w:p w14:paraId="3EB0BD6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99% host tested. Cohort-level throughput depends on available memory and node-local DB copy; the memory-aware worker cap and sample-level parallelism are designed for cohorts (Section 2.8, real-data section).</w:t>
            </w:r>
          </w:p>
        </w:tc>
      </w:tr>
      <w:tr w:rsidR="00723756" w:rsidRPr="00F62B8C" w14:paraId="6A491A5C" w14:textId="77777777">
        <w:tc>
          <w:tcPr>
            <w:tcW w:w="516" w:type="dxa"/>
          </w:tcPr>
          <w:p w14:paraId="3B61342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w:t>
            </w:r>
          </w:p>
        </w:tc>
        <w:tc>
          <w:tcPr>
            <w:tcW w:w="3099" w:type="dxa"/>
          </w:tcPr>
          <w:p w14:paraId="1B1BA2B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How does the user choose the reference database?</w:t>
            </w:r>
          </w:p>
        </w:tc>
        <w:tc>
          <w:tcPr>
            <w:tcW w:w="4304" w:type="dxa"/>
          </w:tcPr>
          <w:p w14:paraId="0E3D8CA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Default is T2T-CHM13v2.0 human-only Kraken2 index + Bowtie2 index; mixed Kraken2 databases are optional for users who also want taxonomy (Section 2.4).</w:t>
            </w:r>
          </w:p>
        </w:tc>
      </w:tr>
      <w:tr w:rsidR="00723756" w:rsidRPr="00F62B8C" w14:paraId="0B02F854" w14:textId="77777777">
        <w:tc>
          <w:tcPr>
            <w:tcW w:w="516" w:type="dxa"/>
          </w:tcPr>
          <w:p w14:paraId="118530C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12</w:t>
            </w:r>
          </w:p>
        </w:tc>
        <w:tc>
          <w:tcPr>
            <w:tcW w:w="3099" w:type="dxa"/>
          </w:tcPr>
          <w:p w14:paraId="3DAC6D8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i/>
                <w:iCs/>
              </w:rPr>
              <w:t>What is the practical advantage over running Hostile + fastp?</w:t>
            </w:r>
          </w:p>
        </w:tc>
        <w:tc>
          <w:tcPr>
            <w:tcW w:w="4304" w:type="dxa"/>
          </w:tcPr>
          <w:p w14:paraId="1AF3835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 xml:space="preserve">RustyClean integrates QC, adaptive routing, checkpointing, validation, and bounded concurrency in one binary; on the matched panel </w:t>
            </w:r>
            <w:r w:rsidRPr="00F62B8C">
              <w:rPr>
                <w:rFonts w:ascii="Times New Roman" w:hAnsi="Times New Roman" w:cs="Times New Roman"/>
              </w:rPr>
              <w:lastRenderedPageBreak/>
              <w:t>the depletion step is 1.3–1.9× faster than Hostile while accuracy is comparable (Section 3.4).</w:t>
            </w:r>
          </w:p>
        </w:tc>
      </w:tr>
    </w:tbl>
    <w:p w14:paraId="0BFD5FD2" w14:textId="77777777" w:rsidR="00723756" w:rsidRPr="00F62B8C" w:rsidRDefault="00000000" w:rsidP="00F62B8C">
      <w:pPr>
        <w:pStyle w:val="Heading2"/>
        <w:spacing w:before="0" w:after="0" w:line="480" w:lineRule="auto"/>
        <w:rPr>
          <w:rFonts w:ascii="Times New Roman" w:hAnsi="Times New Roman" w:cs="Times New Roman"/>
        </w:rPr>
      </w:pPr>
      <w:bookmarkStart w:id="61" w:name="references"/>
      <w:bookmarkStart w:id="62" w:name="_Toc240055217"/>
      <w:bookmarkEnd w:id="55"/>
      <w:bookmarkEnd w:id="59"/>
      <w:r w:rsidRPr="00F62B8C">
        <w:rPr>
          <w:rFonts w:ascii="Times New Roman" w:hAnsi="Times New Roman" w:cs="Times New Roman"/>
        </w:rPr>
        <w:lastRenderedPageBreak/>
        <w:t>References</w:t>
      </w:r>
      <w:bookmarkEnd w:id="62"/>
    </w:p>
    <w:p w14:paraId="1251C2B3"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Gao Y, Luo H, Lyu H, Yang H, Yousuf S, Huang S, Liu Y-X. Benchmarking short-read metagenomics tools for removing host contamination. </w:t>
      </w:r>
      <w:r w:rsidRPr="00F62B8C">
        <w:rPr>
          <w:rFonts w:ascii="Times New Roman" w:hAnsi="Times New Roman" w:cs="Times New Roman"/>
          <w:i/>
          <w:iCs/>
        </w:rPr>
        <w:t>GigaScience</w:t>
      </w:r>
      <w:r w:rsidRPr="00F62B8C">
        <w:rPr>
          <w:rFonts w:ascii="Times New Roman" w:hAnsi="Times New Roman" w:cs="Times New Roman"/>
        </w:rPr>
        <w:t>. 2025;14. doi:10.1093/gigascience/giaf004</w:t>
      </w:r>
    </w:p>
    <w:p w14:paraId="65A70479"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Chen S, Zhou Y, Chen Y, Gu J. fastp: an ultra-fast all-in-one FASTQ preprocessor. </w:t>
      </w:r>
      <w:r w:rsidRPr="00F62B8C">
        <w:rPr>
          <w:rFonts w:ascii="Times New Roman" w:hAnsi="Times New Roman" w:cs="Times New Roman"/>
          <w:i/>
          <w:iCs/>
        </w:rPr>
        <w:t>Bioinformatics</w:t>
      </w:r>
      <w:r w:rsidRPr="00F62B8C">
        <w:rPr>
          <w:rFonts w:ascii="Times New Roman" w:hAnsi="Times New Roman" w:cs="Times New Roman"/>
        </w:rPr>
        <w:t>. 2018;34(17):i884–i890.</w:t>
      </w:r>
    </w:p>
    <w:p w14:paraId="53637FAE"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Wood DE, Lu J, Langmead B. Improved metagenomic analysis with Kraken 2. </w:t>
      </w:r>
      <w:r w:rsidRPr="00F62B8C">
        <w:rPr>
          <w:rFonts w:ascii="Times New Roman" w:hAnsi="Times New Roman" w:cs="Times New Roman"/>
          <w:i/>
          <w:iCs/>
        </w:rPr>
        <w:t>Genome Biology</w:t>
      </w:r>
      <w:r w:rsidRPr="00F62B8C">
        <w:rPr>
          <w:rFonts w:ascii="Times New Roman" w:hAnsi="Times New Roman" w:cs="Times New Roman"/>
        </w:rPr>
        <w:t>. 2019;20:257.</w:t>
      </w:r>
    </w:p>
    <w:p w14:paraId="2B261B5E"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Langmead B, Salzberg SL. Fast gapped-read alignment with Bowtie 2. </w:t>
      </w:r>
      <w:r w:rsidRPr="00F62B8C">
        <w:rPr>
          <w:rFonts w:ascii="Times New Roman" w:hAnsi="Times New Roman" w:cs="Times New Roman"/>
          <w:i/>
          <w:iCs/>
        </w:rPr>
        <w:t>Nature Methods</w:t>
      </w:r>
      <w:r w:rsidRPr="00F62B8C">
        <w:rPr>
          <w:rFonts w:ascii="Times New Roman" w:hAnsi="Times New Roman" w:cs="Times New Roman"/>
        </w:rPr>
        <w:t>. 2012;9:357–359.</w:t>
      </w:r>
    </w:p>
    <w:p w14:paraId="6FF4A0DD"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McIver LJ, Abu-Ali G, Franzosa EA, et al. bioBakery: a meta’omic analysis environment. </w:t>
      </w:r>
      <w:r w:rsidRPr="00F62B8C">
        <w:rPr>
          <w:rFonts w:ascii="Times New Roman" w:hAnsi="Times New Roman" w:cs="Times New Roman"/>
          <w:i/>
          <w:iCs/>
        </w:rPr>
        <w:t>Bioinformatics</w:t>
      </w:r>
      <w:r w:rsidRPr="00F62B8C">
        <w:rPr>
          <w:rFonts w:ascii="Times New Roman" w:hAnsi="Times New Roman" w:cs="Times New Roman"/>
        </w:rPr>
        <w:t>. 2018;34(7):1235–1237. (KneadData is distributed as part of the bioBakery suite.)</w:t>
      </w:r>
    </w:p>
    <w:p w14:paraId="16CC3593"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Bolger AM, Lohse M, Usadel B. Trimmomatic: a flexible trimmer for Illumina sequence data. </w:t>
      </w:r>
      <w:r w:rsidRPr="00F62B8C">
        <w:rPr>
          <w:rFonts w:ascii="Times New Roman" w:hAnsi="Times New Roman" w:cs="Times New Roman"/>
          <w:i/>
          <w:iCs/>
        </w:rPr>
        <w:t>Bioinformatics</w:t>
      </w:r>
      <w:r w:rsidRPr="00F62B8C">
        <w:rPr>
          <w:rFonts w:ascii="Times New Roman" w:hAnsi="Times New Roman" w:cs="Times New Roman"/>
        </w:rPr>
        <w:t>. 2014;30(15):2114–2120.</w:t>
      </w:r>
    </w:p>
    <w:p w14:paraId="33300279"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Benson G. Tandem repeats finder: a program to analyze DNA sequences. </w:t>
      </w:r>
      <w:r w:rsidRPr="00F62B8C">
        <w:rPr>
          <w:rFonts w:ascii="Times New Roman" w:hAnsi="Times New Roman" w:cs="Times New Roman"/>
          <w:i/>
          <w:iCs/>
        </w:rPr>
        <w:t>Nucleic Acids Research</w:t>
      </w:r>
      <w:r w:rsidRPr="00F62B8C">
        <w:rPr>
          <w:rFonts w:ascii="Times New Roman" w:hAnsi="Times New Roman" w:cs="Times New Roman"/>
        </w:rPr>
        <w:t>. 1999;27(2):573–580.</w:t>
      </w:r>
    </w:p>
    <w:p w14:paraId="53DBAD07" w14:textId="77777777" w:rsidR="00723756" w:rsidRPr="00F62B8C" w:rsidRDefault="00000000" w:rsidP="00F62B8C">
      <w:pPr>
        <w:pStyle w:val="Compact"/>
        <w:numPr>
          <w:ilvl w:val="0"/>
          <w:numId w:val="8"/>
        </w:numPr>
        <w:spacing w:before="0" w:after="0" w:line="480" w:lineRule="auto"/>
        <w:rPr>
          <w:rFonts w:ascii="Times New Roman" w:hAnsi="Times New Roman" w:cs="Times New Roman"/>
        </w:rPr>
      </w:pPr>
      <w:r w:rsidRPr="00F62B8C">
        <w:rPr>
          <w:rFonts w:ascii="Times New Roman" w:hAnsi="Times New Roman" w:cs="Times New Roman"/>
        </w:rPr>
        <w:t xml:space="preserve">Gourlé H, Karlsson-Lindsjö O, Hayer J, Bongcam-Rudloff E. Simulating Illumina metagenomic data with InSilicoSeq. </w:t>
      </w:r>
      <w:r w:rsidRPr="00F62B8C">
        <w:rPr>
          <w:rFonts w:ascii="Times New Roman" w:hAnsi="Times New Roman" w:cs="Times New Roman"/>
          <w:i/>
          <w:iCs/>
        </w:rPr>
        <w:t>Bioinformatics</w:t>
      </w:r>
      <w:r w:rsidRPr="00F62B8C">
        <w:rPr>
          <w:rFonts w:ascii="Times New Roman" w:hAnsi="Times New Roman" w:cs="Times New Roman"/>
        </w:rPr>
        <w:t>. 2019;35(3):521–522. doi:10.1093/bioinformatics/bty630</w:t>
      </w:r>
    </w:p>
    <w:p w14:paraId="2D89D3EA" w14:textId="77777777" w:rsidR="00723756" w:rsidRPr="00F62B8C" w:rsidRDefault="00000000" w:rsidP="00F62B8C">
      <w:pPr>
        <w:pStyle w:val="Heading2"/>
        <w:spacing w:before="0" w:after="0" w:line="480" w:lineRule="auto"/>
        <w:rPr>
          <w:rFonts w:ascii="Times New Roman" w:hAnsi="Times New Roman" w:cs="Times New Roman"/>
        </w:rPr>
      </w:pPr>
      <w:bookmarkStart w:id="63" w:name="supplementary-material"/>
      <w:bookmarkStart w:id="64" w:name="_Toc240055218"/>
      <w:bookmarkEnd w:id="61"/>
      <w:r w:rsidRPr="00F62B8C">
        <w:rPr>
          <w:rFonts w:ascii="Times New Roman" w:hAnsi="Times New Roman" w:cs="Times New Roman"/>
        </w:rPr>
        <w:lastRenderedPageBreak/>
        <w:t>Supplementary material</w:t>
      </w:r>
      <w:bookmarkEnd w:id="64"/>
    </w:p>
    <w:p w14:paraId="1B9380D7" w14:textId="77777777" w:rsidR="00723756" w:rsidRPr="00F62B8C" w:rsidRDefault="00000000" w:rsidP="00F62B8C">
      <w:pPr>
        <w:pStyle w:val="FirstParagraph"/>
        <w:spacing w:before="0" w:after="0" w:line="480" w:lineRule="auto"/>
        <w:rPr>
          <w:rFonts w:ascii="Times New Roman" w:hAnsi="Times New Roman" w:cs="Times New Roman"/>
        </w:rPr>
      </w:pPr>
      <w:r w:rsidRPr="00F62B8C">
        <w:rPr>
          <w:rFonts w:ascii="Times New Roman" w:hAnsi="Times New Roman" w:cs="Times New Roman"/>
          <w:noProof/>
        </w:rPr>
        <w:drawing>
          <wp:inline distT="0" distB="0" distL="0" distR="0" wp14:anchorId="0F18EB66" wp14:editId="4A0B4FB1">
            <wp:extent cx="5334000" cy="3450303"/>
            <wp:effectExtent l="0" t="0" r="0" b="0"/>
            <wp:docPr id="53" name="Picture"/>
            <wp:cNvGraphicFramePr/>
            <ns5:graphic>
              <ns5:graphicData uri="http://schemas.openxmlformats.org/drawingml/2006/picture">
                <ns6:pic>
                  <ns6:nvPicPr>
                    <ns6:cNvPr id="54" name="Picture" descr="figures_publication_v2/figS1_backend_comparison.png"/>
                    <ns6:cNvPicPr>
                      <ns5:picLocks noChangeAspect="1" noChangeArrowheads="1"/>
                    </ns6:cNvPicPr>
                  </ns6:nvPicPr>
                  <ns6:blipFill>
                    <ns5:blip r:embed="rId9"/>
                    <ns5:stretch>
                      <ns5:fillRect/>
                    </ns5:stretch>
                  </ns6:blipFill>
                  <ns6:spPr bwMode="auto">
                    <ns5:xfrm>
                      <ns5:off x="0" y="0"/>
                      <ns5:ext cx="5334000" cy="3450303"/>
                    </ns5:xfrm>
                    <ns5:prstGeom prst="rect">
                      <ns5:avLst/>
                    </ns5:prstGeom>
                    <ns5:noFill/>
                    <ns5:ln w="9525">
                      <ns5:noFill/>
                      <ns5:headEnd/>
                      <ns5:tailEnd/>
                    </ns5:ln>
                  </ns6:spPr>
                </ns6:pic>
              </ns5:graphicData>
            </ns5:graphic>
          </wp:inline>
        </w:drawing>
      </w:r>
    </w:p>
    <w:p w14:paraId="04C280DD" w14:textId="77777777" w:rsidR="00723756" w:rsidRPr="00F62B8C" w:rsidRDefault="00000000" w:rsidP="00F62B8C">
      <w:pPr>
        <w:pStyle w:val="BodyText"/>
        <w:spacing w:before="0" w:after="0" w:line="480" w:lineRule="auto"/>
        <w:rPr>
          <w:rFonts w:ascii="Times New Roman" w:hAnsi="Times New Roman" w:cs="Times New Roman"/>
        </w:rPr>
      </w:pPr>
      <w:r w:rsidRPr="00F62B8C">
        <w:rPr>
          <w:rFonts w:ascii="Times New Roman" w:hAnsi="Times New Roman" w:cs="Times New Roman"/>
          <w:b/>
          <w:bCs/>
        </w:rPr>
        <w:t>Figure S1.</w:t>
      </w:r>
      <w:r w:rsidRPr="00F62B8C">
        <w:rPr>
          <w:rFonts w:ascii="Times New Roman" w:hAnsi="Times New Roman" w:cs="Times New Roman"/>
        </w:rPr>
        <w:t xml:space="preserve"> Comparison of interchangeable depletion backends within RustyClean: Bowtie2, minimap2 and Centrifuge. (a) F1 score, (b) host reads retained (%), (c) microbial reads lost (%), (d) peak memory (GB). Runtime is reported in Supplementary Table S1 and excluded here because one measurement (minimap2, 5M dataset) is a cold-start outlier.</w:t>
      </w:r>
    </w:p>
    <w:tbl>
      <w:tblPr>
        <w:tblStyle w:val="Table"/>
        <w:tblW w:w="5000" w:type="pct"/>
        <w:tblLayout w:type="fixed"/>
        <w:tblLook w:val="0020" w:firstRow="1" w:lastRow="0" w:firstColumn="0" w:lastColumn="0" w:noHBand="0" w:noVBand="0"/>
      </w:tblPr>
      <w:tblGrid>
        <w:gridCol w:w="1221"/>
        <w:gridCol w:w="1220"/>
        <w:gridCol w:w="751"/>
        <w:gridCol w:w="2347"/>
        <w:gridCol w:w="2253"/>
        <w:gridCol w:w="1784"/>
      </w:tblGrid>
      <w:tr w:rsidR="00723756" w:rsidRPr="00F62B8C" w14:paraId="29F9D1CB" w14:textId="77777777" w:rsidTr="00723756">
        <w:trPr>
          <w:cnfStyle w:val="100000000000" w:firstRow="1" w:lastRow="0" w:firstColumn="0" w:lastColumn="0" w:oddVBand="0" w:evenVBand="0" w:oddHBand="0" w:evenHBand="0" w:firstRowFirstColumn="0" w:firstRowLastColumn="0" w:lastRowFirstColumn="0" w:lastRowLastColumn="0"/>
          <w:tblHeader/>
        </w:trPr>
        <w:tc>
          <w:tcPr>
            <w:tcW w:w="1009" w:type="dxa"/>
          </w:tcPr>
          <w:p w14:paraId="34D6601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Backend</w:t>
            </w:r>
          </w:p>
        </w:tc>
        <w:tc>
          <w:tcPr>
            <w:tcW w:w="1009" w:type="dxa"/>
          </w:tcPr>
          <w:p w14:paraId="1F307ED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Dataset</w:t>
            </w:r>
          </w:p>
        </w:tc>
        <w:tc>
          <w:tcPr>
            <w:tcW w:w="621" w:type="dxa"/>
          </w:tcPr>
          <w:p w14:paraId="227DB71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F1</w:t>
            </w:r>
          </w:p>
        </w:tc>
        <w:tc>
          <w:tcPr>
            <w:tcW w:w="1941" w:type="dxa"/>
          </w:tcPr>
          <w:p w14:paraId="4BE6032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Host carry-over (%)</w:t>
            </w:r>
          </w:p>
        </w:tc>
        <w:tc>
          <w:tcPr>
            <w:tcW w:w="1863" w:type="dxa"/>
          </w:tcPr>
          <w:p w14:paraId="5213336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Microbial loss (%)</w:t>
            </w:r>
          </w:p>
        </w:tc>
        <w:tc>
          <w:tcPr>
            <w:tcW w:w="1475" w:type="dxa"/>
          </w:tcPr>
          <w:p w14:paraId="45A6C5A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b/>
                <w:bCs/>
              </w:rPr>
              <w:t>Peak mem (GB)</w:t>
            </w:r>
          </w:p>
        </w:tc>
      </w:tr>
      <w:tr w:rsidR="00723756" w:rsidRPr="00F62B8C" w14:paraId="1E1C9943" w14:textId="77777777">
        <w:tc>
          <w:tcPr>
            <w:tcW w:w="1009" w:type="dxa"/>
          </w:tcPr>
          <w:p w14:paraId="6FF213B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Bowtie2</w:t>
            </w:r>
          </w:p>
        </w:tc>
        <w:tc>
          <w:tcPr>
            <w:tcW w:w="1009" w:type="dxa"/>
          </w:tcPr>
          <w:p w14:paraId="34EB2B7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621" w:type="dxa"/>
          </w:tcPr>
          <w:p w14:paraId="3CEE97B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0.9996</w:t>
            </w:r>
          </w:p>
        </w:tc>
        <w:tc>
          <w:tcPr>
            <w:tcW w:w="1941" w:type="dxa"/>
          </w:tcPr>
          <w:p w14:paraId="283E54F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0.055</w:t>
            </w:r>
          </w:p>
        </w:tc>
        <w:tc>
          <w:tcPr>
            <w:tcW w:w="1863" w:type="dxa"/>
          </w:tcPr>
          <w:p w14:paraId="7A4F592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0.000</w:t>
            </w:r>
          </w:p>
        </w:tc>
        <w:tc>
          <w:tcPr>
            <w:tcW w:w="1475" w:type="dxa"/>
          </w:tcPr>
          <w:p w14:paraId="511B446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r>
      <w:tr w:rsidR="00723756" w:rsidRPr="00F62B8C" w14:paraId="0C26159D" w14:textId="77777777">
        <w:tc>
          <w:tcPr>
            <w:tcW w:w="1009" w:type="dxa"/>
          </w:tcPr>
          <w:p w14:paraId="4A30516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Bowtie2</w:t>
            </w:r>
          </w:p>
        </w:tc>
        <w:tc>
          <w:tcPr>
            <w:tcW w:w="1009" w:type="dxa"/>
          </w:tcPr>
          <w:p w14:paraId="3AAF500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621" w:type="dxa"/>
          </w:tcPr>
          <w:p w14:paraId="729F040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0.9749</w:t>
            </w:r>
          </w:p>
        </w:tc>
        <w:tc>
          <w:tcPr>
            <w:tcW w:w="1941" w:type="dxa"/>
          </w:tcPr>
          <w:p w14:paraId="596B2DD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0.053</w:t>
            </w:r>
          </w:p>
        </w:tc>
        <w:tc>
          <w:tcPr>
            <w:tcW w:w="1863" w:type="dxa"/>
          </w:tcPr>
          <w:p w14:paraId="7FCA066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0.568</w:t>
            </w:r>
          </w:p>
        </w:tc>
        <w:tc>
          <w:tcPr>
            <w:tcW w:w="1475" w:type="dxa"/>
          </w:tcPr>
          <w:p w14:paraId="0464052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r>
      <w:tr w:rsidR="00723756" w:rsidRPr="00F62B8C" w14:paraId="6766C0BA" w14:textId="77777777">
        <w:tc>
          <w:tcPr>
            <w:tcW w:w="1009" w:type="dxa"/>
          </w:tcPr>
          <w:p w14:paraId="2C17F23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Bowtie2</w:t>
            </w:r>
          </w:p>
        </w:tc>
        <w:tc>
          <w:tcPr>
            <w:tcW w:w="1009" w:type="dxa"/>
          </w:tcPr>
          <w:p w14:paraId="2DB3FB1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 xml:space="preserve">30M / </w:t>
            </w:r>
            <w:r w:rsidRPr="00F62B8C">
              <w:rPr>
                <w:rFonts w:ascii="Times New Roman" w:hAnsi="Times New Roman" w:cs="Times New Roman"/>
              </w:rPr>
              <w:lastRenderedPageBreak/>
              <w:t>50%</w:t>
            </w:r>
          </w:p>
        </w:tc>
        <w:tc>
          <w:tcPr>
            <w:tcW w:w="621" w:type="dxa"/>
          </w:tcPr>
          <w:p w14:paraId="6CB3F29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0.99</w:t>
            </w:r>
            <w:r w:rsidRPr="00F62B8C">
              <w:rPr>
                <w:rFonts w:ascii="Times New Roman" w:hAnsi="Times New Roman" w:cs="Times New Roman"/>
              </w:rPr>
              <w:lastRenderedPageBreak/>
              <w:t>84</w:t>
            </w:r>
          </w:p>
        </w:tc>
        <w:tc>
          <w:tcPr>
            <w:tcW w:w="1941" w:type="dxa"/>
          </w:tcPr>
          <w:p w14:paraId="4E6ECA99"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lastRenderedPageBreak/>
              <w:t>0.049</w:t>
            </w:r>
          </w:p>
        </w:tc>
        <w:tc>
          <w:tcPr>
            <w:tcW w:w="1863" w:type="dxa"/>
          </w:tcPr>
          <w:p w14:paraId="0B5F228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0.402</w:t>
            </w:r>
          </w:p>
        </w:tc>
        <w:tc>
          <w:tcPr>
            <w:tcW w:w="1475" w:type="dxa"/>
          </w:tcPr>
          <w:p w14:paraId="5BBC71C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3.6</w:t>
            </w:r>
          </w:p>
        </w:tc>
      </w:tr>
      <w:tr w:rsidR="00723756" w:rsidRPr="00F62B8C" w14:paraId="4477E9EA" w14:textId="77777777">
        <w:tc>
          <w:tcPr>
            <w:tcW w:w="1009" w:type="dxa"/>
          </w:tcPr>
          <w:p w14:paraId="6BFC980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Bowtie2</w:t>
            </w:r>
          </w:p>
        </w:tc>
        <w:tc>
          <w:tcPr>
            <w:tcW w:w="1009" w:type="dxa"/>
          </w:tcPr>
          <w:p w14:paraId="54622DE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621" w:type="dxa"/>
          </w:tcPr>
          <w:p w14:paraId="558892A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0.9996</w:t>
            </w:r>
          </w:p>
        </w:tc>
        <w:tc>
          <w:tcPr>
            <w:tcW w:w="1941" w:type="dxa"/>
          </w:tcPr>
          <w:p w14:paraId="736FA57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0.049</w:t>
            </w:r>
          </w:p>
        </w:tc>
        <w:tc>
          <w:tcPr>
            <w:tcW w:w="1863" w:type="dxa"/>
          </w:tcPr>
          <w:p w14:paraId="1D2B2C3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0.388</w:t>
            </w:r>
          </w:p>
        </w:tc>
        <w:tc>
          <w:tcPr>
            <w:tcW w:w="1475" w:type="dxa"/>
          </w:tcPr>
          <w:p w14:paraId="1C4CAC3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6.2</w:t>
            </w:r>
          </w:p>
        </w:tc>
      </w:tr>
      <w:tr w:rsidR="00723756" w:rsidRPr="00F62B8C" w14:paraId="4EBB1C26" w14:textId="77777777">
        <w:tc>
          <w:tcPr>
            <w:tcW w:w="1009" w:type="dxa"/>
          </w:tcPr>
          <w:p w14:paraId="47557C5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minimap2</w:t>
            </w:r>
          </w:p>
        </w:tc>
        <w:tc>
          <w:tcPr>
            <w:tcW w:w="1009" w:type="dxa"/>
          </w:tcPr>
          <w:p w14:paraId="3590EB2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621" w:type="dxa"/>
          </w:tcPr>
          <w:p w14:paraId="139927A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0.9986</w:t>
            </w:r>
          </w:p>
        </w:tc>
        <w:tc>
          <w:tcPr>
            <w:tcW w:w="1941" w:type="dxa"/>
          </w:tcPr>
          <w:p w14:paraId="75941E1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0.021</w:t>
            </w:r>
          </w:p>
        </w:tc>
        <w:tc>
          <w:tcPr>
            <w:tcW w:w="1863" w:type="dxa"/>
          </w:tcPr>
          <w:p w14:paraId="4E5451E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0.002</w:t>
            </w:r>
          </w:p>
        </w:tc>
        <w:tc>
          <w:tcPr>
            <w:tcW w:w="1475" w:type="dxa"/>
          </w:tcPr>
          <w:p w14:paraId="13D7894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11.5</w:t>
            </w:r>
          </w:p>
        </w:tc>
      </w:tr>
      <w:tr w:rsidR="00723756" w:rsidRPr="00F62B8C" w14:paraId="3B898E77" w14:textId="77777777">
        <w:tc>
          <w:tcPr>
            <w:tcW w:w="1009" w:type="dxa"/>
          </w:tcPr>
          <w:p w14:paraId="7B33BB1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minimap2</w:t>
            </w:r>
          </w:p>
        </w:tc>
        <w:tc>
          <w:tcPr>
            <w:tcW w:w="1009" w:type="dxa"/>
          </w:tcPr>
          <w:p w14:paraId="0A9D40A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621" w:type="dxa"/>
          </w:tcPr>
          <w:p w14:paraId="4DC6956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0.9742</w:t>
            </w:r>
          </w:p>
        </w:tc>
        <w:tc>
          <w:tcPr>
            <w:tcW w:w="1941" w:type="dxa"/>
          </w:tcPr>
          <w:p w14:paraId="565E232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0.026</w:t>
            </w:r>
          </w:p>
        </w:tc>
        <w:tc>
          <w:tcPr>
            <w:tcW w:w="1863" w:type="dxa"/>
          </w:tcPr>
          <w:p w14:paraId="7477526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0.587</w:t>
            </w:r>
          </w:p>
        </w:tc>
        <w:tc>
          <w:tcPr>
            <w:tcW w:w="1475" w:type="dxa"/>
          </w:tcPr>
          <w:p w14:paraId="20A02A7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11.7</w:t>
            </w:r>
          </w:p>
        </w:tc>
      </w:tr>
      <w:tr w:rsidR="00723756" w:rsidRPr="00F62B8C" w14:paraId="5C109314" w14:textId="77777777">
        <w:tc>
          <w:tcPr>
            <w:tcW w:w="1009" w:type="dxa"/>
          </w:tcPr>
          <w:p w14:paraId="272B3B6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minimap2</w:t>
            </w:r>
          </w:p>
        </w:tc>
        <w:tc>
          <w:tcPr>
            <w:tcW w:w="1009" w:type="dxa"/>
          </w:tcPr>
          <w:p w14:paraId="4092C5E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621" w:type="dxa"/>
          </w:tcPr>
          <w:p w14:paraId="59BEB61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0.9984</w:t>
            </w:r>
          </w:p>
        </w:tc>
        <w:tc>
          <w:tcPr>
            <w:tcW w:w="1941" w:type="dxa"/>
          </w:tcPr>
          <w:p w14:paraId="045D3AC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0.030</w:t>
            </w:r>
          </w:p>
        </w:tc>
        <w:tc>
          <w:tcPr>
            <w:tcW w:w="1863" w:type="dxa"/>
          </w:tcPr>
          <w:p w14:paraId="07A569C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0.431</w:t>
            </w:r>
          </w:p>
        </w:tc>
        <w:tc>
          <w:tcPr>
            <w:tcW w:w="1475" w:type="dxa"/>
          </w:tcPr>
          <w:p w14:paraId="6FD867B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11.8</w:t>
            </w:r>
          </w:p>
        </w:tc>
      </w:tr>
      <w:tr w:rsidR="00723756" w:rsidRPr="00F62B8C" w14:paraId="6DF46EB1" w14:textId="77777777">
        <w:tc>
          <w:tcPr>
            <w:tcW w:w="1009" w:type="dxa"/>
          </w:tcPr>
          <w:p w14:paraId="02E742C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minimap2</w:t>
            </w:r>
          </w:p>
        </w:tc>
        <w:tc>
          <w:tcPr>
            <w:tcW w:w="1009" w:type="dxa"/>
          </w:tcPr>
          <w:p w14:paraId="7CFA98D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621" w:type="dxa"/>
          </w:tcPr>
          <w:p w14:paraId="34C5B52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0.9997</w:t>
            </w:r>
          </w:p>
        </w:tc>
        <w:tc>
          <w:tcPr>
            <w:tcW w:w="1941" w:type="dxa"/>
          </w:tcPr>
          <w:p w14:paraId="1FC2F26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0.029</w:t>
            </w:r>
          </w:p>
        </w:tc>
        <w:tc>
          <w:tcPr>
            <w:tcW w:w="1863" w:type="dxa"/>
          </w:tcPr>
          <w:p w14:paraId="14DB435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0.416</w:t>
            </w:r>
          </w:p>
        </w:tc>
        <w:tc>
          <w:tcPr>
            <w:tcW w:w="1475" w:type="dxa"/>
          </w:tcPr>
          <w:p w14:paraId="3AB2871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11.9</w:t>
            </w:r>
          </w:p>
        </w:tc>
      </w:tr>
      <w:tr w:rsidR="00723756" w:rsidRPr="00F62B8C" w14:paraId="255E0107" w14:textId="77777777">
        <w:tc>
          <w:tcPr>
            <w:tcW w:w="1009" w:type="dxa"/>
          </w:tcPr>
          <w:p w14:paraId="55475C22"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Centrifuge</w:t>
            </w:r>
          </w:p>
        </w:tc>
        <w:tc>
          <w:tcPr>
            <w:tcW w:w="1009" w:type="dxa"/>
          </w:tcPr>
          <w:p w14:paraId="2DA66A7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5M / 1%</w:t>
            </w:r>
          </w:p>
        </w:tc>
        <w:tc>
          <w:tcPr>
            <w:tcW w:w="621" w:type="dxa"/>
          </w:tcPr>
          <w:p w14:paraId="644FBA43"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0.9940</w:t>
            </w:r>
          </w:p>
        </w:tc>
        <w:tc>
          <w:tcPr>
            <w:tcW w:w="1941" w:type="dxa"/>
          </w:tcPr>
          <w:p w14:paraId="61A9846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1.090</w:t>
            </w:r>
          </w:p>
        </w:tc>
        <w:tc>
          <w:tcPr>
            <w:tcW w:w="1863" w:type="dxa"/>
          </w:tcPr>
          <w:p w14:paraId="3F49BBD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0.001</w:t>
            </w:r>
          </w:p>
        </w:tc>
        <w:tc>
          <w:tcPr>
            <w:tcW w:w="1475" w:type="dxa"/>
          </w:tcPr>
          <w:p w14:paraId="0AB6E438"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7.0</w:t>
            </w:r>
          </w:p>
        </w:tc>
      </w:tr>
      <w:tr w:rsidR="00723756" w:rsidRPr="00F62B8C" w14:paraId="6F0ACD12" w14:textId="77777777">
        <w:tc>
          <w:tcPr>
            <w:tcW w:w="1009" w:type="dxa"/>
          </w:tcPr>
          <w:p w14:paraId="225A245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Centrifuge</w:t>
            </w:r>
          </w:p>
        </w:tc>
        <w:tc>
          <w:tcPr>
            <w:tcW w:w="1009" w:type="dxa"/>
          </w:tcPr>
          <w:p w14:paraId="7731CDD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10M / 10%</w:t>
            </w:r>
          </w:p>
        </w:tc>
        <w:tc>
          <w:tcPr>
            <w:tcW w:w="621" w:type="dxa"/>
          </w:tcPr>
          <w:p w14:paraId="4CB19016"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0.9500</w:t>
            </w:r>
          </w:p>
        </w:tc>
        <w:tc>
          <w:tcPr>
            <w:tcW w:w="1941" w:type="dxa"/>
          </w:tcPr>
          <w:p w14:paraId="52F168A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1.179</w:t>
            </w:r>
          </w:p>
        </w:tc>
        <w:tc>
          <w:tcPr>
            <w:tcW w:w="1863" w:type="dxa"/>
          </w:tcPr>
          <w:p w14:paraId="124854D1"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1.027</w:t>
            </w:r>
          </w:p>
        </w:tc>
        <w:tc>
          <w:tcPr>
            <w:tcW w:w="1475" w:type="dxa"/>
          </w:tcPr>
          <w:p w14:paraId="7BEA855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7.2</w:t>
            </w:r>
          </w:p>
        </w:tc>
      </w:tr>
      <w:tr w:rsidR="00723756" w:rsidRPr="00F62B8C" w14:paraId="2316E007" w14:textId="77777777">
        <w:tc>
          <w:tcPr>
            <w:tcW w:w="1009" w:type="dxa"/>
          </w:tcPr>
          <w:p w14:paraId="0C6A23A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Centrifuge</w:t>
            </w:r>
          </w:p>
        </w:tc>
        <w:tc>
          <w:tcPr>
            <w:tcW w:w="1009" w:type="dxa"/>
          </w:tcPr>
          <w:p w14:paraId="5EE677BC"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30M / 50%</w:t>
            </w:r>
          </w:p>
        </w:tc>
        <w:tc>
          <w:tcPr>
            <w:tcW w:w="621" w:type="dxa"/>
          </w:tcPr>
          <w:p w14:paraId="4A8C5EBB"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0.9920</w:t>
            </w:r>
          </w:p>
        </w:tc>
        <w:tc>
          <w:tcPr>
            <w:tcW w:w="1941" w:type="dxa"/>
          </w:tcPr>
          <w:p w14:paraId="061B1A4F"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1.173</w:t>
            </w:r>
          </w:p>
        </w:tc>
        <w:tc>
          <w:tcPr>
            <w:tcW w:w="1863" w:type="dxa"/>
          </w:tcPr>
          <w:p w14:paraId="58CCEB2A"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0.632</w:t>
            </w:r>
          </w:p>
        </w:tc>
        <w:tc>
          <w:tcPr>
            <w:tcW w:w="1475" w:type="dxa"/>
          </w:tcPr>
          <w:p w14:paraId="48669960"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7.9</w:t>
            </w:r>
          </w:p>
        </w:tc>
      </w:tr>
      <w:tr w:rsidR="00723756" w:rsidRPr="00F62B8C" w14:paraId="70B8DEBA" w14:textId="77777777">
        <w:tc>
          <w:tcPr>
            <w:tcW w:w="1009" w:type="dxa"/>
          </w:tcPr>
          <w:p w14:paraId="3F9D3274"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Centrifuge</w:t>
            </w:r>
          </w:p>
        </w:tc>
        <w:tc>
          <w:tcPr>
            <w:tcW w:w="1009" w:type="dxa"/>
          </w:tcPr>
          <w:p w14:paraId="0CA551AD"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60M / 90%</w:t>
            </w:r>
          </w:p>
        </w:tc>
        <w:tc>
          <w:tcPr>
            <w:tcW w:w="621" w:type="dxa"/>
          </w:tcPr>
          <w:p w14:paraId="3D3B22E7"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0.9938</w:t>
            </w:r>
          </w:p>
        </w:tc>
        <w:tc>
          <w:tcPr>
            <w:tcW w:w="1941" w:type="dxa"/>
          </w:tcPr>
          <w:p w14:paraId="20B6D595"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1.171</w:t>
            </w:r>
          </w:p>
        </w:tc>
        <w:tc>
          <w:tcPr>
            <w:tcW w:w="1863" w:type="dxa"/>
          </w:tcPr>
          <w:p w14:paraId="212C6A8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0.760</w:t>
            </w:r>
          </w:p>
        </w:tc>
        <w:tc>
          <w:tcPr>
            <w:tcW w:w="1475" w:type="dxa"/>
          </w:tcPr>
          <w:p w14:paraId="4000909E" w14:textId="77777777" w:rsidR="00723756" w:rsidRPr="00F62B8C" w:rsidRDefault="00000000" w:rsidP="00F62B8C">
            <w:pPr>
              <w:pStyle w:val="Compact"/>
              <w:spacing w:before="0" w:after="0" w:line="480" w:lineRule="auto"/>
              <w:rPr>
                <w:rFonts w:ascii="Times New Roman" w:hAnsi="Times New Roman" w:cs="Times New Roman"/>
              </w:rPr>
            </w:pPr>
            <w:r w:rsidRPr="00F62B8C">
              <w:rPr>
                <w:rFonts w:ascii="Times New Roman" w:hAnsi="Times New Roman" w:cs="Times New Roman"/>
              </w:rPr>
              <w:t>8.6</w:t>
            </w:r>
          </w:p>
        </w:tc>
      </w:tr>
      <w:bookmarkEnd w:id="0"/>
      <w:bookmarkEnd w:id="63"/>
    </w:tbl>
    <w:p w14:paraId="7F4583E5" w14:textId="77777777" w:rsidR="00F12552" w:rsidRPr="00F62B8C" w:rsidRDefault="00F12552" w:rsidP="00F62B8C">
      <w:pPr>
        <w:spacing w:after="0" w:line="480" w:lineRule="auto"/>
        <w:rPr>
          <w:rFonts w:ascii="Times New Roman" w:hAnsi="Times New Roman" w:cs="Times New Roman"/>
        </w:rPr>
      </w:pPr>
    </w:p>
    <w:sectPr w:rsidR="00F12552" w:rsidRPr="00F62B8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D8009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8BE607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C32B5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55963363">
    <w:abstractNumId w:val="0"/>
  </w:num>
  <w:num w:numId="2" w16cid:durableId="5884629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625443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29120981">
    <w:abstractNumId w:val="1"/>
  </w:num>
  <w:num w:numId="5" w16cid:durableId="71053825">
    <w:abstractNumId w:val="1"/>
  </w:num>
  <w:num w:numId="6" w16cid:durableId="1326977727">
    <w:abstractNumId w:val="1"/>
  </w:num>
  <w:num w:numId="7" w16cid:durableId="2057968905">
    <w:abstractNumId w:val="1"/>
  </w:num>
  <w:num w:numId="8" w16cid:durableId="16053053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23756"/>
    <w:rsid w:val="000E60A0"/>
    <w:rsid w:val="002C1E7B"/>
    <w:rsid w:val="00723756"/>
    <w:rsid w:val="008E3E0B"/>
    <w:rsid w:val="00CE3FF2"/>
    <w:rsid w:val="00DF4A7B"/>
    <w:rsid w:val="00F12552"/>
    <w:rsid w:val="00F62B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328D46F"/>
  <w15:docId w15:val="{9E046F3B-A86A-1D42-906A-495E6A00E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DF4A7B"/>
    <w:pPr>
      <w:spacing w:after="100"/>
    </w:pPr>
  </w:style>
  <w:style w:type="paragraph" w:styleId="TOC2">
    <w:name w:val="toc 2"/>
    <w:basedOn w:val="Normal"/>
    <w:next w:val="Normal"/>
    <w:autoRedefine/>
    <w:uiPriority w:val="39"/>
    <w:rsid w:val="00DF4A7B"/>
    <w:pPr>
      <w:spacing w:after="100"/>
      <w:ind w:left="240"/>
    </w:pPr>
  </w:style>
  <w:style w:type="paragraph" w:styleId="TOC3">
    <w:name w:val="toc 3"/>
    <w:basedOn w:val="Normal"/>
    <w:next w:val="Normal"/>
    <w:autoRedefine/>
    <w:uiPriority w:val="39"/>
    <w:rsid w:val="00DF4A7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38</Pages>
  <Words>8739</Words>
  <Characters>49815</Characters>
  <Application>Microsoft Office Word</Application>
  <DocSecurity>0</DocSecurity>
  <Lines>415</Lines>
  <Paragraphs>116</Paragraphs>
  <ScaleCrop>false</ScaleCrop>
  <Company/>
  <LinksUpToDate>false</LinksUpToDate>
  <CharactersWithSpaces>58438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ZHANG Yufeng</cp:lastModifiedBy>
  <cp:revision>5</cp:revision>
  <dcterms:created xsi:type="dcterms:W3CDTF">2026-08-25T02:33:00Z</dcterms:created>
  <dcterms:modified xsi:type="dcterms:W3CDTF">2026-09-11T13:56:00Z</dcterms:modified>
</cp:coreProperties>
</file>