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imes New Roman"/>
          <w:color w:val="auto"/>
          <w:sz w:val="24"/>
          <w:szCs w:val="24"/>
        </w:rPr>
        <w:id w:val="1720480273"/>
        <w:docPartObj>
          <w:docPartGallery w:val="Table of Contents"/>
          <w:docPartUnique/>
        </w:docPartObj>
      </w:sdtPr>
      <w:sdtContent>
        <w:p w14:paraId="581CD0AC" w14:textId="77777777" w:rsidR="00723756" w:rsidRPr="00F62B8C" w:rsidRDefault="00000000" w:rsidP="00F62B8C">
          <w:pPr>
            <w:pStyle w:val="TOCHeading"/>
            <w:spacing w:before="0" w:after="0" w:line="480" w:lineRule="auto"/>
            <w:rPr>
              <w:rFonts w:ascii="Times New Roman" w:hAnsi="Times New Roman" w:cs="Times New Roman"/>
            </w:rPr>
          </w:pPr>
          <w:r w:rsidRPr="00F62B8C">
            <w:rPr>
              <w:rFonts w:ascii="Times New Roman" w:hAnsi="Times New Roman" w:cs="Times New Roman"/>
            </w:rPr>
            <w:t>Table of Contents</w:t>
          </w:r>
        </w:p>
        <w:p w14:paraId="647E2F7F" w14:textId="77777777" w:rsidR="00DF4A7B" w:rsidRPr="00F62B8C" w:rsidRDefault="00000000" w:rsidP="00F62B8C">
          <w:pPr>
            <w:pStyle w:val="TOC1"/>
            <w:tabs>
              <w:tab w:val="right" w:leader="dot" w:pos="9350"/>
            </w:tabs>
            <w:spacing w:after="0" w:line="480" w:lineRule="auto"/>
            <w:rPr>
              <w:rFonts w:ascii="Times New Roman" w:hAnsi="Times New Roman" w:cs="Times New Roman"/>
              <w:noProof/>
            </w:rPr>
          </w:pPr>
          <w:r w:rsidRPr="00F62B8C">
            <w:rPr>
              <w:rFonts w:ascii="Times New Roman" w:hAnsi="Times New Roman" w:cs="Times New Roman"/>
            </w:rPr>
            <w:fldChar w:fldCharType="begin"/>
          </w:r>
          <w:r w:rsidRPr="00F62B8C">
            <w:rPr>
              <w:rFonts w:ascii="Times New Roman" w:hAnsi="Times New Roman" w:cs="Times New Roman"/>
            </w:rPr>
            <w:instrText>TOC \o "1-3" \h \z \u</w:instrText>
          </w:r>
          <w:r w:rsidRPr="00F62B8C">
            <w:rPr>
              <w:rFonts w:ascii="Times New Roman" w:hAnsi="Times New Roman" w:cs="Times New Roman"/>
            </w:rPr>
            <w:fldChar w:fldCharType="separate"/>
          </w:r>
          <w:hyperlink w:anchor="_Toc240055186" w:history="1">
            <w:r w:rsidR="00DF4A7B" w:rsidRPr="00F62B8C">
              <w:rPr>
                <w:rStyle w:val="Hyperlink"/>
                <w:rFonts w:ascii="Times New Roman" w:hAnsi="Times New Roman" w:cs="Times New Roman"/>
                <w:noProof/>
              </w:rPr>
              <w:t>RustyClean: adaptive, composition-aware host depletion for short-read metagenomics</w:t>
            </w:r>
            <w:r w:rsidR="00DF4A7B" w:rsidRPr="00F62B8C">
              <w:rPr>
                <w:rFonts w:ascii="Times New Roman" w:hAnsi="Times New Roman" w:cs="Times New Roman"/>
                <w:noProof/>
                <w:webHidden/>
              </w:rPr>
              <w:tab/>
            </w:r>
            <w:r w:rsidR="00DF4A7B" w:rsidRPr="00F62B8C">
              <w:rPr>
                <w:rFonts w:ascii="Times New Roman" w:hAnsi="Times New Roman" w:cs="Times New Roman"/>
                <w:noProof/>
                <w:webHidden/>
              </w:rPr>
              <w:fldChar w:fldCharType="begin"/>
            </w:r>
            <w:r w:rsidR="00DF4A7B" w:rsidRPr="00F62B8C">
              <w:rPr>
                <w:rFonts w:ascii="Times New Roman" w:hAnsi="Times New Roman" w:cs="Times New Roman"/>
                <w:noProof/>
                <w:webHidden/>
              </w:rPr>
              <w:instrText xml:space="preserve"> PAGEREF _Toc240055186 \h </w:instrText>
            </w:r>
            <w:r w:rsidR="00DF4A7B" w:rsidRPr="00F62B8C">
              <w:rPr>
                <w:rFonts w:ascii="Times New Roman" w:hAnsi="Times New Roman" w:cs="Times New Roman"/>
                <w:noProof/>
                <w:webHidden/>
              </w:rPr>
            </w:r>
            <w:r w:rsidR="00DF4A7B" w:rsidRPr="00F62B8C">
              <w:rPr>
                <w:rFonts w:ascii="Times New Roman" w:hAnsi="Times New Roman" w:cs="Times New Roman"/>
                <w:noProof/>
                <w:webHidden/>
              </w:rPr>
              <w:fldChar w:fldCharType="separate"/>
            </w:r>
            <w:r w:rsidR="00DF4A7B" w:rsidRPr="00F62B8C">
              <w:rPr>
                <w:rFonts w:ascii="Times New Roman" w:hAnsi="Times New Roman" w:cs="Times New Roman"/>
                <w:noProof/>
                <w:webHidden/>
              </w:rPr>
              <w:t>1</w:t>
            </w:r>
            <w:r w:rsidR="00DF4A7B" w:rsidRPr="00F62B8C">
              <w:rPr>
                <w:rFonts w:ascii="Times New Roman" w:hAnsi="Times New Roman" w:cs="Times New Roman"/>
                <w:noProof/>
                <w:webHidden/>
              </w:rPr>
              <w:fldChar w:fldCharType="end"/>
            </w:r>
          </w:hyperlink>
        </w:p>
        <w:p w14:paraId="57F1133F"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187" w:history="1">
            <w:r w:rsidRPr="00F62B8C">
              <w:rPr>
                <w:rStyle w:val="Hyperlink"/>
                <w:rFonts w:ascii="Times New Roman" w:hAnsi="Times New Roman" w:cs="Times New Roman"/>
                <w:noProof/>
              </w:rPr>
              <w:t>Abstract</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_Toc240055187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567C383E"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188" w:history="1">
            <w:r w:rsidRPr="00F62B8C">
              <w:rPr>
                <w:rStyle w:val="Hyperlink"/>
                <w:rFonts w:ascii="Times New Roman" w:hAnsi="Times New Roman" w:cs="Times New Roman"/>
                <w:noProof/>
              </w:rPr>
              <w:t>1. Introduction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_Toc240055188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68692FD"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189" w:history="1">
            <w:r w:rsidRPr="00F62B8C">
              <w:rPr>
                <w:rStyle w:val="Hyperlink"/>
                <w:rFonts w:ascii="Times New Roman" w:hAnsi="Times New Roman" w:cs="Times New Roman"/>
                <w:noProof/>
              </w:rPr>
              <w:t>2. Methods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_Toc240055189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23C1E66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0" w:history="1">
            <w:r w:rsidRPr="00F62B8C">
              <w:rPr>
                <w:rStyle w:val="Hyperlink"/>
                <w:rFonts w:ascii="Times New Roman" w:hAnsi="Times New Roman" w:cs="Times New Roman"/>
                <w:noProof/>
              </w:rPr>
              <w:t>2.1 Pipeline overview</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_Toc240055190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0B0C5DF"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1" w:history="1">
            <w:r w:rsidRPr="00F62B8C">
              <w:rPr>
                <w:rStyle w:val="Hyperlink"/>
                <w:rFonts w:ascii="Times New Roman" w:hAnsi="Times New Roman" w:cs="Times New Roman"/>
                <w:noProof/>
              </w:rPr>
              <w:t>2.2 Quality control</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_Toc240055191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8A3EEA6"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2" w:history="1">
            <w:r w:rsidRPr="00F62B8C">
              <w:rPr>
                <w:rStyle w:val="Hyperlink"/>
                <w:rFonts w:ascii="Times New Roman" w:hAnsi="Times New Roman" w:cs="Times New Roman"/>
                <w:noProof/>
              </w:rPr>
              <w:t>2.3 Host fraction estimation and adaptive routing</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_Toc240055192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4407530F"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3" w:history="1">
            <w:r w:rsidRPr="00F62B8C">
              <w:rPr>
                <w:rStyle w:val="Hyperlink"/>
                <w:rFonts w:ascii="Times New Roman" w:hAnsi="Times New Roman" w:cs="Times New Roman"/>
                <w:noProof/>
              </w:rPr>
              <w:t>2.4 Classification-based depletion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_Toc240055193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80A50EC"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4" w:history="1">
            <w:r w:rsidRPr="00F62B8C">
              <w:rPr>
                <w:rStyle w:val="Hyperlink"/>
                <w:rFonts w:ascii="Times New Roman" w:hAnsi="Times New Roman" w:cs="Times New Roman"/>
                <w:noProof/>
              </w:rPr>
              <w:t>2.4a Alternative backends evaluated and not retained</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_Toc240055194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ECF4BD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5" w:history="1">
            <w:r w:rsidRPr="00F62B8C">
              <w:rPr>
                <w:rStyle w:val="Hyperlink"/>
                <w:rFonts w:ascii="Times New Roman" w:hAnsi="Times New Roman" w:cs="Times New Roman"/>
                <w:noProof/>
              </w:rPr>
              <w:t>2.5 Alignment-based depletion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_Toc240055195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219D7CB4"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6" w:history="1">
            <w:r w:rsidRPr="00F62B8C">
              <w:rPr>
                <w:rStyle w:val="Hyperlink"/>
                <w:rFonts w:ascii="Times New Roman" w:hAnsi="Times New Roman" w:cs="Times New Roman"/>
                <w:noProof/>
              </w:rPr>
              <w:t>2.6 Optional Bowtie2 verification pass (legacy Kraken2 path)</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_Toc240055196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31C5DA23"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7" w:history="1">
            <w:r w:rsidRPr="00F62B8C">
              <w:rPr>
                <w:rStyle w:val="Hyperlink"/>
                <w:rFonts w:ascii="Times New Roman" w:hAnsi="Times New Roman" w:cs="Times New Roman"/>
                <w:noProof/>
              </w:rPr>
              <w:t>2.7 Validation gate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E4E34E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8" w:history="1">
            <w:r w:rsidRPr="00F62B8C">
              <w:rPr>
                <w:rStyle w:val="Hyperlink"/>
                <w:rFonts w:ascii="Times New Roman" w:hAnsi="Times New Roman" w:cs="Times New Roman"/>
                <w:noProof/>
              </w:rPr>
              <w:t>2.8 Orchestration and implementation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95040A1"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9" w:history="1">
            <w:r w:rsidRPr="00F62B8C">
              <w:rPr>
                <w:rStyle w:val="Hyperlink"/>
                <w:rFonts w:ascii="Times New Roman" w:hAnsi="Times New Roman" w:cs="Times New Roman"/>
                <w:noProof/>
              </w:rPr>
              <w:t>2.9 Benchmark design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_Toc240055199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46CC61F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0" w:history="1">
            <w:r w:rsidRPr="00F62B8C">
              <w:rPr>
                <w:rStyle w:val="Hyperlink"/>
                <w:rFonts w:ascii="Times New Roman" w:hAnsi="Times New Roman" w:cs="Times New Roman"/>
                <w:noProof/>
              </w:rPr>
              <w:t>2.10 Evaluation metrics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_Toc240055200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29D715C7"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01" w:history="1">
            <w:r w:rsidRPr="00F62B8C">
              <w:rPr>
                <w:rStyle w:val="Hyperlink"/>
                <w:rFonts w:ascii="Times New Roman" w:hAnsi="Times New Roman" w:cs="Times New Roman"/>
                <w:noProof/>
              </w:rPr>
              <w:t>3. Results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_Toc240055201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3B6B2CFD"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2" w:history="1">
            <w:r w:rsidRPr="00F62B8C">
              <w:rPr>
                <w:rStyle w:val="Hyperlink"/>
                <w:rFonts w:ascii="Times New Roman" w:hAnsi="Times New Roman" w:cs="Times New Roman"/>
                <w:noProof/>
              </w:rPr>
              <w:t>3.1 The two depletion strategies fail in opposite directions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_Toc240055202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9A9BA82"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3" w:history="1">
            <w:r w:rsidRPr="00F62B8C">
              <w:rPr>
                <w:rStyle w:val="Hyperlink"/>
                <w:rFonts w:ascii="Times New Roman" w:hAnsi="Times New Roman" w:cs="Times New Roman"/>
                <w:noProof/>
              </w:rPr>
              <w:t>3.2 Per-sample routing selects the appropriate backend</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_Toc240055203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F64C37A"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4" w:history="1">
            <w:r w:rsidRPr="00F62B8C">
              <w:rPr>
                <w:rStyle w:val="Hyperlink"/>
                <w:rFonts w:ascii="Times New Roman" w:hAnsi="Times New Roman" w:cs="Times New Roman"/>
                <w:noProof/>
              </w:rPr>
              <w:t>3.3 A targeted verification pass resolves the residual-host trade-off</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_Toc240055204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7ABE646"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5" w:history="1">
            <w:r w:rsidRPr="00F62B8C">
              <w:rPr>
                <w:rStyle w:val="Hyperlink"/>
                <w:rFonts w:ascii="Times New Roman" w:hAnsi="Times New Roman" w:cs="Times New Roman"/>
                <w:noProof/>
              </w:rPr>
              <w:t>3.4 Comparison with Hostile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_Toc240055205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8AE0C29"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6" w:history="1">
            <w:r w:rsidRPr="00F62B8C">
              <w:rPr>
                <w:rStyle w:val="Hyperlink"/>
                <w:rFonts w:ascii="Times New Roman" w:hAnsi="Times New Roman" w:cs="Times New Roman"/>
                <w:noProof/>
              </w:rPr>
              <w:t>3.4a Full enhanced panel with the default Kraken2 + Bowtie2 recheck backend</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_Toc240055206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815369E"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7" w:history="1">
            <w:r w:rsidRPr="00F62B8C">
              <w:rPr>
                <w:rStyle w:val="Hyperlink"/>
                <w:rFonts w:ascii="Times New Roman" w:hAnsi="Times New Roman" w:cs="Times New Roman"/>
                <w:noProof/>
              </w:rPr>
              <w:t>3.5 Memory profile of the default Kraken2 + Bowtie2 recheck path</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0DD2E4F"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8" w:history="1">
            <w:r w:rsidRPr="00F62B8C">
              <w:rPr>
                <w:rStyle w:val="Hyperlink"/>
                <w:rFonts w:ascii="Times New Roman" w:hAnsi="Times New Roman" w:cs="Times New Roman"/>
                <w:noProof/>
              </w:rPr>
              <w:t>3.6 The depletion backend is interchangeable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0463730"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9" w:history="1">
            <w:r w:rsidRPr="00F62B8C">
              <w:rPr>
                <w:rStyle w:val="Hyperlink"/>
                <w:rFonts w:ascii="Times New Roman" w:hAnsi="Times New Roman" w:cs="Times New Roman"/>
                <w:noProof/>
              </w:rPr>
              <w:t>3.7 Cross-species host depletion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_Toc240055209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0BFDF89"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0" w:history="1">
            <w:r w:rsidRPr="00F62B8C">
              <w:rPr>
                <w:rStyle w:val="Hyperlink"/>
                <w:rFonts w:ascii="Times New Roman" w:hAnsi="Times New Roman" w:cs="Times New Roman"/>
                <w:noProof/>
              </w:rPr>
              <w:t>3.8 Real-data performance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_Toc240055210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BEF8654"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1" w:history="1">
            <w:r w:rsidRPr="00F62B8C">
              <w:rPr>
                <w:rStyle w:val="Hyperlink"/>
                <w:rFonts w:ascii="Times New Roman" w:hAnsi="Times New Roman" w:cs="Times New Roman"/>
                <w:noProof/>
              </w:rPr>
              <w:t>3.9 Parallel scaling against KneadData and Hostile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_Toc240055211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F010C38"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2" w:history="1">
            <w:r w:rsidRPr="00F62B8C">
              <w:rPr>
                <w:rStyle w:val="Hyperlink"/>
                <w:rFonts w:ascii="Times New Roman" w:hAnsi="Times New Roman" w:cs="Times New Roman"/>
                <w:noProof/>
              </w:rPr>
              <w:t>4. Discussion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_Toc240055212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63EBA06"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3" w:history="1">
            <w:r w:rsidRPr="00F62B8C">
              <w:rPr>
                <w:rStyle w:val="Hyperlink"/>
                <w:rFonts w:ascii="Times New Roman" w:hAnsi="Times New Roman" w:cs="Times New Roman"/>
                <w:noProof/>
              </w:rPr>
              <w:t>5. Software and data availability</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_Toc240055213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F7377C9"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4" w:history="1">
            <w:r w:rsidRPr="00F62B8C">
              <w:rPr>
                <w:rStyle w:val="Hyperlink"/>
                <w:rFonts w:ascii="Times New Roman" w:hAnsi="Times New Roman" w:cs="Times New Roman"/>
                <w:noProof/>
              </w:rPr>
              <w:t>6. Target journals and peer-review preparation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_Toc240055214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5BC71A4E"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5" w:history="1">
            <w:r w:rsidRPr="00F62B8C">
              <w:rPr>
                <w:rStyle w:val="Hyperlink"/>
                <w:rFonts w:ascii="Times New Roman" w:hAnsi="Times New Roman" w:cs="Times New Roman"/>
                <w:noProof/>
              </w:rPr>
              <w:t>6.1 Suggested target venues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_Toc240055215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0491CB3"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6" w:history="1">
            <w:r w:rsidRPr="00F62B8C">
              <w:rPr>
                <w:rStyle w:val="Hyperlink"/>
                <w:rFonts w:ascii="Times New Roman" w:hAnsi="Times New Roman" w:cs="Times New Roman"/>
                <w:noProof/>
              </w:rPr>
              <w:t>6.2 Anticipated peer-review questions and responses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_Toc240055216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FDEA3E5"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7" w:history="1">
            <w:r w:rsidRPr="00F62B8C">
              <w:rPr>
                <w:rStyle w:val="Hyperlink"/>
                <w:rFonts w:ascii="Times New Roman" w:hAnsi="Times New Roman" w:cs="Times New Roman"/>
                <w:noProof/>
              </w:rPr>
              <w:t>References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B4249C1"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8" w:history="1">
            <w:r w:rsidRPr="00F62B8C">
              <w:rPr>
                <w:rStyle w:val="Hyperlink"/>
                <w:rFonts w:ascii="Times New Roman" w:hAnsi="Times New Roman" w:cs="Times New Roman"/>
                <w:noProof/>
              </w:rPr>
              <w:t>Supplementary material</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91456D8"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fldChar w:fldCharType="end"/>
          </w:r>
        </w:p>
      </w:sdtContent>
    </w:sdt>
    <w:p w14:paraId="4C5497BA" w14:textId="77777777" w:rsidR="00723756" w:rsidRPr="00F62B8C" w:rsidRDefault="00000000" w:rsidP="00F62B8C">
      <w:pPr>
        <w:pStyle w:val="Heading1"/>
        <w:spacing w:before="0" w:after="0" w:line="480" w:lineRule="auto"/>
        <w:rPr>
          <w:rFonts w:ascii="Times New Roman" w:hAnsi="Times New Roman" w:cs="Times New Roman"/>
        </w:rPr>
      </w:pPr>
      <w:bookmarkStart w:id="0" w:name="X4a81a7f45dd54dd9fe5c0c194e5d89bc97db72c"/>
      <w:bookmarkStart w:id="1" w:name="_Toc240055186"/>
      <w:r w:rsidRPr="00F62B8C">
        <w:rPr>
          <w:rFonts w:ascii="Times New Roman" w:hAnsi="Times New Roman" w:cs="Times New Roman"/>
        </w:rPr>
        <w:t>RustyClean: adaptive, composition-aware host depletion for short-read metagenomics</w:t>
      </w:r>
      <w:bookmarkEnd w:id="1"/>
    </w:p>
    <w:p w14:paraId="644D8CB1" w14:textId="376700EF"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b/>
          <w:bCs/>
        </w:rPr>
        <w:t>Authors:</w:t>
      </w:r>
      <w:r w:rsidRPr="00F62B8C">
        <w:rPr>
          <w:rFonts w:ascii="Times New Roman" w:hAnsi="Times New Roman" w:cs="Times New Roman"/>
        </w:rPr>
        <w:t xml:space="preserve"> Yufeng Zhang,</w:t>
      </w:r>
      <w:r w:rsidR="00CE3FF2">
        <w:rPr>
          <w:rFonts w:ascii="Times New Roman" w:hAnsi="Times New Roman" w:cs="Times New Roman" w:hint="eastAsia"/>
        </w:rPr>
        <w:t xml:space="preserve"> Jing</w:t>
      </w:r>
      <w:r w:rsidR="00CE3FF2">
        <w:rPr>
          <w:rFonts w:ascii="Times New Roman" w:hAnsi="Times New Roman" w:cs="Times New Roman"/>
        </w:rPr>
        <w:t>-Yi Zhang</w:t>
      </w:r>
      <w:r w:rsidR="008E3E0B">
        <w:rPr>
          <w:rFonts w:ascii="Times New Roman" w:hAnsi="Times New Roman" w:cs="Times New Roman"/>
        </w:rPr>
        <w:t>,</w:t>
      </w:r>
      <w:r w:rsidRPr="00F62B8C">
        <w:rPr>
          <w:rFonts w:ascii="Times New Roman" w:hAnsi="Times New Roman" w:cs="Times New Roman"/>
        </w:rPr>
        <w:t xml:space="preserve"> [co-authors], Shi Huang* </w:t>
      </w:r>
      <w:r w:rsidRPr="00F62B8C">
        <w:rPr>
          <w:rFonts w:ascii="Times New Roman" w:hAnsi="Times New Roman" w:cs="Times New Roman"/>
          <w:b/>
          <w:bCs/>
        </w:rPr>
        <w:t>Affiliation:</w:t>
      </w:r>
      <w:r w:rsidRPr="00F62B8C">
        <w:rPr>
          <w:rFonts w:ascii="Times New Roman" w:hAnsi="Times New Roman" w:cs="Times New Roman"/>
        </w:rPr>
        <w:t xml:space="preserve"> Faculty of Dentistry, The University of Hong Kong, Hong Kong SAR, China </w:t>
      </w:r>
      <w:r w:rsidRPr="00F62B8C">
        <w:rPr>
          <w:rFonts w:ascii="Times New Roman" w:hAnsi="Times New Roman" w:cs="Times New Roman"/>
          <w:b/>
          <w:bCs/>
        </w:rPr>
        <w:t>Correspondence:</w:t>
      </w:r>
      <w:r w:rsidRPr="00F62B8C">
        <w:rPr>
          <w:rFonts w:ascii="Times New Roman" w:hAnsi="Times New Roman" w:cs="Times New Roman"/>
        </w:rPr>
        <w:t xml:space="preserve"> </w:t>
      </w:r>
      <w:r w:rsidR="008E3E0B">
        <w:rPr>
          <w:rFonts w:ascii="Times New Roman" w:hAnsi="Times New Roman" w:cs="Times New Roman"/>
        </w:rPr>
        <w:t>shihuang@hku.hk</w:t>
      </w:r>
    </w:p>
    <w:p w14:paraId="0E1B3F24" w14:textId="77777777" w:rsidR="00723756" w:rsidRPr="00F62B8C" w:rsidRDefault="00000000" w:rsidP="00F62B8C">
      <w:pPr>
        <w:pStyle w:val="Heading2"/>
        <w:spacing w:before="0" w:after="0" w:line="480" w:lineRule="auto"/>
        <w:rPr>
          <w:rFonts w:ascii="Times New Roman" w:hAnsi="Times New Roman" w:cs="Times New Roman"/>
        </w:rPr>
      </w:pPr>
      <w:bookmarkStart w:id="2" w:name="abstract"/>
      <w:bookmarkStart w:id="3" w:name="_Toc240055187"/>
      <w:r w:rsidRPr="00F62B8C">
        <w:rPr>
          <w:rFonts w:ascii="Times New Roman" w:hAnsi="Times New Roman" w:cs="Times New Roman"/>
        </w:rPr>
        <w:t>Abstract</w:t>
      </w:r>
      <w:bookmarkEnd w:id="3"/>
    </w:p>
    <w:p w14:paraId="4651FD94" w14:textId="0B0C933E"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Computational depletion of host DNA is a mandatory first step in short-read metagenomics, and its errors propagate silently into every downstream result. Recent benchmarking established that the two dominant strategies fail in opposite directions: alignment-based depletion is prone to false positives, discarding genuine microbial reads, whereas k-mer classification is prone to false </w:t>
      </w:r>
      <w:r w:rsidRPr="00F62B8C">
        <w:rPr>
          <w:rFonts w:ascii="Times New Roman" w:hAnsi="Times New Roman" w:cs="Times New Roman"/>
        </w:rPr>
        <w:lastRenderedPageBreak/>
        <w:t>negatives, retaining host reads. Existing pipelines commit to one strategy for every sample and therefore inherit one failure mode unconditionally. We present RustyClean, a host-depletion pipeline that treats this asymmetry as a routing problem rather than a fixed trade-off. RustyClean estimates the host fraction of each sample from a rapid alignment survey of a 100,000-read subsample and routes the sample to alignment- or classification-based depletion accordingly. On simulated metagenomes spanning 1–90% host content with per-read ground truth, adaptive routing selected the appropriate backend in every case, and RustyClean achieved the highest F1 of the four configurations tested. Against KneadData it is about four times faster (median 4.3×) and distributes the two errors differently: KneadData retains slightly more microbial signal (0.26% against 0.34% lost) but leaves eight times as much host behind (0.79% against 0.099%). Against Hostile, per-sample runtime is indistinguishable (median 1.00×) and RustyClean is better on both error axes, discarding 1.94% of microbial reads against Hostile's 2.32%. Under concurrency the picture separates further: on a 120-sample panel at a fixed 16-core budget, RustyClean reached 2.9× KneadData's throughput at each tool's best worker count, while Hostile was faster than RustyClean at every worker count. We also show that peak memory reported as resident set size misranks these tools, overstating Hostile roughly twenty-fold and understating KneadData 3.4-fold; measured as anonymous memory, RustyClean's alignment path is the smallest of all at 0.14 GB, and its cost is confined to the 6.7 GB resident index of the classification path. RustyClean is a single Rust binary with per-stage checkpointing, bounded concurrency and an automated output validation gate, available at https://github.com/HuangShiLab/rustyclean under the MIT licence.</w:t>
      </w:r>
    </w:p>
    <w:p w14:paraId="5279E4C4"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Keywords:</w:t>
      </w:r>
      <w:r w:rsidRPr="00F62B8C">
        <w:rPr>
          <w:rFonts w:ascii="Times New Roman" w:hAnsi="Times New Roman" w:cs="Times New Roman"/>
        </w:rPr>
        <w:t xml:space="preserve"> metagenomics, host depletion, decontamination, Kraken2, Bowtie2, Rust</w:t>
      </w:r>
    </w:p>
    <w:p w14:paraId="294A106A" w14:textId="77777777" w:rsidR="00723756" w:rsidRPr="00F62B8C" w:rsidRDefault="00000000" w:rsidP="00F62B8C">
      <w:pPr>
        <w:pStyle w:val="Heading2"/>
        <w:spacing w:before="0" w:after="0" w:line="480" w:lineRule="auto"/>
        <w:rPr>
          <w:rFonts w:ascii="Times New Roman" w:hAnsi="Times New Roman" w:cs="Times New Roman"/>
        </w:rPr>
      </w:pPr>
      <w:bookmarkStart w:id="4" w:name="introduction"/>
      <w:bookmarkStart w:id="5" w:name="_Toc240055188"/>
      <w:bookmarkEnd w:id="2"/>
      <w:r w:rsidRPr="00F62B8C">
        <w:rPr>
          <w:rFonts w:ascii="Times New Roman" w:hAnsi="Times New Roman" w:cs="Times New Roman"/>
        </w:rPr>
        <w:lastRenderedPageBreak/>
        <w:t>1. Introduction</w:t>
      </w:r>
      <w:bookmarkEnd w:id="5"/>
    </w:p>
    <w:p w14:paraId="19648ADA"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Shotgun metagenomic sequencing of host-associated samples returns a mixture of microbial and host DNA. The host fraction varies enormously by body site: stool libraries are typically 1–2% human, whereas saliva, dental plaque, skin, and biopsy libraries are routinely 50–90% human or higher. Because host reads consume sequencing budget and distort every downstream estimate, computational host depletion is universally applied before taxonomic profiling, assembly, or metagenome-assembled genome (MAG) recovery.</w:t>
      </w:r>
    </w:p>
    <w:p w14:paraId="412F869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Depletion is a binary classification problem over reads, and like any classifier it can fail in two directions. A </w:t>
      </w:r>
      <w:r w:rsidRPr="00F62B8C">
        <w:rPr>
          <w:rFonts w:ascii="Times New Roman" w:hAnsi="Times New Roman" w:cs="Times New Roman"/>
          <w:b/>
          <w:bCs/>
        </w:rPr>
        <w:t>false positive</w:t>
      </w:r>
      <w:r w:rsidRPr="00F62B8C">
        <w:rPr>
          <w:rFonts w:ascii="Times New Roman" w:hAnsi="Times New Roman" w:cs="Times New Roman"/>
        </w:rPr>
        <w:t xml:space="preserve"> — a microbial read wrongly called host — is an irreversible loss of signal: it biases diversity estimates, distorts relative abundance, and removes evidence that assembly and binning depend on. A </w:t>
      </w:r>
      <w:r w:rsidRPr="00F62B8C">
        <w:rPr>
          <w:rFonts w:ascii="Times New Roman" w:hAnsi="Times New Roman" w:cs="Times New Roman"/>
          <w:b/>
          <w:bCs/>
        </w:rPr>
        <w:t>false negative</w:t>
      </w:r>
      <w:r w:rsidRPr="00F62B8C">
        <w:rPr>
          <w:rFonts w:ascii="Times New Roman" w:hAnsi="Times New Roman" w:cs="Times New Roman"/>
        </w:rPr>
        <w:t xml:space="preserve"> — a host read wrongly retained — is comparatively benign for profiling, since most profilers leave unassignable reads unassigned; but it is not harmless, because residual host DNA contaminates assemblies and raises consent and privacy concerns when data are shared.</w:t>
      </w:r>
    </w:p>
    <w:p w14:paraId="574B2DF0"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These two errors are therefore not interchangeable, and the choice of depletion method determines which one dominates. Our group's recent benchmark of six host-removal tools across human and rice datasets established the pattern directly: alignment-based methods (Bowtie2, BWA, KneadData) exhibited higher false positive rates, while k-mer classification methods (Kraken2, KrakenUniq, KMCP) exhibited higher false negative rates [Gao et al. 2025]. The same study showed that Kraken2's efficiency advantage is substantial — roughly 29 minutes against 209–582 minutes for alignment-based tools, and 0.3 GB against ~18 GB to index the human genome — and that its advantage is most pronounced under high contamination (90%).</w:t>
      </w:r>
    </w:p>
    <w:p w14:paraId="7A2E3D48"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That benchmark motivated a natural engineering question, which this work addresses: if Kraken2 is both accurate enough and dramatically faster for host depletion, can it replace the alignment step in production pipelines? Our initial answer was a straightforward substitution. KneadData (McIver et al., 2018), the de facto standard, chains Trimmomatic for quality control, Tandem Repeat Finder for repeat masking, and Bowtie2 for host alignment, orchestrated by a Python wrapper. We replaced this with a two-stage pipeline — fastp for quality control and Kraken2 for host depletion — implemented as a single Rust binary.</w:t>
      </w:r>
    </w:p>
    <w:p w14:paraId="5AF1DEFA"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Two findings during development showed that a simple substitution is insufficient, and they define the contribution of this paper.</w:t>
      </w:r>
    </w:p>
    <w:p w14:paraId="0C040559"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First, the efficiency advantage is conditional on host fraction.</w:t>
      </w:r>
      <w:r w:rsidRPr="00F62B8C">
        <w:rPr>
          <w:rFonts w:ascii="Times New Roman" w:hAnsi="Times New Roman" w:cs="Times New Roman"/>
        </w:rPr>
        <w:t xml:space="preserve"> Kraken2's cost is essentially fixed per read, whereas Bowtie2's cost depends on how many reads must be fully aligned rather than rejected early. At low host fractions, alignment rejects most microbial reads quickly and its index is smaller than a Kraken2 database, so the alignment route is competitive or faster. The advantage inverts as host fraction rises. A pipeline that commits to either method unconditionally is therefore slower than necessary on some fraction of any real cohort.</w:t>
      </w:r>
    </w:p>
    <w:p w14:paraId="114DE9B9"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Second, the false negative rate is not uniformly acceptable.</w:t>
      </w:r>
      <w:r w:rsidRPr="00F62B8C">
        <w:rPr>
          <w:rFonts w:ascii="Times New Roman" w:hAnsi="Times New Roman" w:cs="Times New Roman"/>
        </w:rPr>
        <w:t xml:space="preserve"> At high host fractions, the residual host retained by k-mer classification becomes large in absolute terms even when its rate is modest, because the pool of host reads is large. In this regime, classification alone does not deliver a sufficiently clean library.</w:t>
      </w:r>
    </w:p>
    <w:p w14:paraId="750C0F22"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RustyClean addresses both by refusing to choose globally. It estimates each sample's host fraction from a rapid subsample and routes that sample to the appropriate depletion strategy; and on the classification route, it applies a targeted alignment pass over the reads Kraken2 retained, recovering the residual host that classification missed. The two mechanisms compose favourably: </w:t>
      </w:r>
      <w:r w:rsidRPr="00F62B8C">
        <w:rPr>
          <w:rFonts w:ascii="Times New Roman" w:hAnsi="Times New Roman" w:cs="Times New Roman"/>
        </w:rPr>
        <w:lastRenderedPageBreak/>
        <w:t>the verification pass is expensive only when the retained set is large, which is precisely the low-host regime that routing sends to alignment anyway.</w:t>
      </w:r>
    </w:p>
    <w:p w14:paraId="6AAD7CA4"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We additionally treat the orchestration layer as a first-class concern. Analysis of a KneadData run log showed that 16% of wall-clock time on a 60M-read sample was spent reformatting read identifiers — a text-processing step performing no biological work. RustyClean implements per-stage checkpointing with content-invalidating input fingerprints, bounded two-level concurrency, and an automated validation gate that prevents truncated or insufficiently decontaminated outputs from being promoted into a results directory.</w:t>
      </w:r>
    </w:p>
    <w:p w14:paraId="1C9391FF"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Contributions.</w:t>
      </w:r>
    </w:p>
    <w:p w14:paraId="6454A51F"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 per-sample adaptive routing scheme that selects between k-mer and alignment-based depletion from a cheap host-fraction estimate.</w:t>
      </w:r>
    </w:p>
    <w:p w14:paraId="1E4F8D07"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 hybrid two-pass depletion strategy that uses targeted alignment to correct the characteristic false negative bias of k-mer classification.</w:t>
      </w:r>
    </w:p>
    <w:p w14:paraId="6CE1F532"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 production-oriented implementation with checkpoint/resume, bounded concurrency, and automated output validation.</w:t>
      </w:r>
    </w:p>
    <w:p w14:paraId="33886D16"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An evaluation across 18 simulated datasets with per-read ground truth spanning ten host fractions and six sequencing depths.</w:t>
      </w:r>
    </w:p>
    <w:p w14:paraId="13CDAA74" w14:textId="77777777" w:rsidR="00723756" w:rsidRPr="00F62B8C" w:rsidRDefault="00000000" w:rsidP="00F62B8C">
      <w:pPr>
        <w:pStyle w:val="Heading2"/>
        <w:spacing w:before="0" w:after="0" w:line="480" w:lineRule="auto"/>
        <w:rPr>
          <w:rFonts w:ascii="Times New Roman" w:hAnsi="Times New Roman" w:cs="Times New Roman"/>
        </w:rPr>
      </w:pPr>
      <w:bookmarkStart w:id="6" w:name="methods"/>
      <w:bookmarkStart w:id="7" w:name="_Toc240055189"/>
      <w:bookmarkEnd w:id="4"/>
      <w:r w:rsidRPr="00F62B8C">
        <w:rPr>
          <w:rFonts w:ascii="Times New Roman" w:hAnsi="Times New Roman" w:cs="Times New Roman"/>
        </w:rPr>
        <w:t>2. Methods</w:t>
      </w:r>
      <w:bookmarkEnd w:id="7"/>
    </w:p>
    <w:p w14:paraId="5410E63A" w14:textId="77777777" w:rsidR="00723756" w:rsidRPr="00F62B8C" w:rsidRDefault="00000000" w:rsidP="00F62B8C">
      <w:pPr>
        <w:pStyle w:val="Heading3"/>
        <w:spacing w:before="0" w:after="0" w:line="480" w:lineRule="auto"/>
        <w:rPr>
          <w:rFonts w:ascii="Times New Roman" w:hAnsi="Times New Roman" w:cs="Times New Roman"/>
        </w:rPr>
      </w:pPr>
      <w:bookmarkStart w:id="8" w:name="pipeline-overview"/>
      <w:bookmarkStart w:id="9" w:name="_Toc240055190"/>
      <w:r w:rsidRPr="00F62B8C">
        <w:rPr>
          <w:rFonts w:ascii="Times New Roman" w:hAnsi="Times New Roman" w:cs="Times New Roman"/>
        </w:rPr>
        <w:t>2.1 Pipeline overview</w:t>
      </w:r>
      <w:bookmarkEnd w:id="9"/>
    </w:p>
    <w:p w14:paraId="275D20D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RustyClean processes each sample through four stages by default:</w:t>
      </w:r>
    </w:p>
    <w:p w14:paraId="3AC2269C"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b/>
          <w:bCs/>
        </w:rPr>
        <w:t>Quality control</w:t>
      </w:r>
      <w:r w:rsidRPr="00F62B8C">
        <w:rPr>
          <w:rFonts w:ascii="Times New Roman" w:hAnsi="Times New Roman" w:cs="Times New Roman"/>
        </w:rPr>
        <w:t xml:space="preserve"> — adapter detection and trimming, quality filtering (fastp).</w:t>
      </w:r>
    </w:p>
    <w:p w14:paraId="454FF93A"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rPr>
        <w:t>Host fraction estimation — a rapid alignment survey of a random read subsample (Section 2.3).</w:t>
      </w:r>
    </w:p>
    <w:p w14:paraId="2818F5A5"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rPr>
        <w:lastRenderedPageBreak/>
        <w:t>Host depletion — routed to the alignment path (Section 2.5) or the classification path (Section 2.4) by default. On the classification path the retained reads are optionally re-screened with Bowtie2 (Section 2.6) to recover host reads that Kraken2 misses.</w:t>
      </w:r>
    </w:p>
    <w:p w14:paraId="60949108"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rPr>
        <w:t>Validation and finalisation — automated assertions before output promotion (Section 2.7).</w:t>
      </w:r>
    </w:p>
    <w:p w14:paraId="3E8CD4C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Alignment verification (--bowtie2-recheck) applies only on the Kraken2 classification path and is opt-in: the flag defaults to off and auto mode passes it through unchanged. All classification-path results reported here were produced with the flag set. Note that the CLI help text still describes it as automatic at high host fractions; the implementation does not do this, and the two will be reconciled.</w:t>
      </w:r>
    </w:p>
    <w:p w14:paraId="3BCC575F"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Samples may be supplied individually or as a tab-separated sample manifest; single-end and paired-end layouts are detected automatically and handled throughout.</w:t>
      </w:r>
    </w:p>
    <w:p w14:paraId="2940B95F" w14:textId="77777777" w:rsidR="00723756" w:rsidRPr="00F62B8C" w:rsidRDefault="00000000" w:rsidP="00F62B8C">
      <w:pPr>
        <w:pStyle w:val="Heading3"/>
        <w:spacing w:before="0" w:after="0" w:line="480" w:lineRule="auto"/>
        <w:rPr>
          <w:rFonts w:ascii="Times New Roman" w:hAnsi="Times New Roman" w:cs="Times New Roman"/>
        </w:rPr>
      </w:pPr>
      <w:bookmarkStart w:id="10" w:name="quality-control"/>
      <w:bookmarkStart w:id="11" w:name="_Toc240055191"/>
      <w:bookmarkEnd w:id="8"/>
      <w:r w:rsidRPr="00F62B8C">
        <w:rPr>
          <w:rFonts w:ascii="Times New Roman" w:hAnsi="Times New Roman" w:cs="Times New Roman"/>
        </w:rPr>
        <w:t>2.2 Quality control</w:t>
      </w:r>
      <w:bookmarkEnd w:id="11"/>
    </w:p>
    <w:p w14:paraId="33142D8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Reads are processed with fastp [Ref], configured by default for automatic adapter detection in paired-end mode (</w:t>
      </w:r>
      <w:r w:rsidRPr="00F62B8C">
        <w:rPr>
          <w:rStyle w:val="VerbatimChar"/>
          <w:rFonts w:ascii="Times New Roman" w:hAnsi="Times New Roman" w:cs="Times New Roman"/>
        </w:rPr>
        <w:t>--detect_adapter_for_pe</w:t>
      </w:r>
      <w:r w:rsidRPr="00F62B8C">
        <w:rPr>
          <w:rFonts w:ascii="Times New Roman" w:hAnsi="Times New Roman" w:cs="Times New Roman"/>
        </w:rPr>
        <w:t>), sliding-window quality trimming from both ends (</w:t>
      </w:r>
      <w:r w:rsidRPr="00F62B8C">
        <w:rPr>
          <w:rStyle w:val="VerbatimChar"/>
          <w:rFonts w:ascii="Times New Roman" w:hAnsi="Times New Roman" w:cs="Times New Roman"/>
        </w:rPr>
        <w:t>--cut_front</w:t>
      </w:r>
      <w:r w:rsidRPr="00F62B8C">
        <w:rPr>
          <w:rFonts w:ascii="Times New Roman" w:hAnsi="Times New Roman" w:cs="Times New Roman"/>
        </w:rPr>
        <w:t xml:space="preserve">, </w:t>
      </w:r>
      <w:r w:rsidRPr="00F62B8C">
        <w:rPr>
          <w:rStyle w:val="VerbatimChar"/>
          <w:rFonts w:ascii="Times New Roman" w:hAnsi="Times New Roman" w:cs="Times New Roman"/>
        </w:rPr>
        <w:t>--cut_tail</w:t>
      </w:r>
      <w:r w:rsidRPr="00F62B8C">
        <w:rPr>
          <w:rFonts w:ascii="Times New Roman" w:hAnsi="Times New Roman" w:cs="Times New Roman"/>
        </w:rPr>
        <w:t>), a qualified base quality threshold of Q20, and a minimum retained length of 50 bp. All parameters are exposed through a TOML configuration file. fastp emits a JSON report, which RustyClean parses into a typed metrics record capturing input and output read counts, Q20/Q30 rates, GC content, adapter-trimmed reads, and reads discarded as too short or low quality.</w:t>
      </w:r>
    </w:p>
    <w:p w14:paraId="282380D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Unlike KneadData, RustyClean does not perform tandem-repeat masking. This is a deliberate scope decision — repeat masking is a general low-complexity filtering concern rather than a host-depletion concern — and it is accounted for explicitly in the runtime comparisons (Section 3.1).</w:t>
      </w:r>
    </w:p>
    <w:p w14:paraId="7512880D" w14:textId="77777777" w:rsidR="00723756" w:rsidRPr="00F62B8C" w:rsidRDefault="00000000" w:rsidP="00F62B8C">
      <w:pPr>
        <w:pStyle w:val="Heading3"/>
        <w:spacing w:before="0" w:after="0" w:line="480" w:lineRule="auto"/>
        <w:rPr>
          <w:rFonts w:ascii="Times New Roman" w:hAnsi="Times New Roman" w:cs="Times New Roman"/>
        </w:rPr>
      </w:pPr>
      <w:bookmarkStart w:id="12" w:name="Xa5ec1ced87ccf33da737a7f52ac7b8265a1f479"/>
      <w:bookmarkStart w:id="13" w:name="_Toc240055192"/>
      <w:bookmarkEnd w:id="10"/>
      <w:r w:rsidRPr="00F62B8C">
        <w:rPr>
          <w:rFonts w:ascii="Times New Roman" w:hAnsi="Times New Roman" w:cs="Times New Roman"/>
        </w:rPr>
        <w:lastRenderedPageBreak/>
        <w:t>2.3 Host fraction estimation and adaptive routing</w:t>
      </w:r>
      <w:bookmarkEnd w:id="13"/>
    </w:p>
    <w:p w14:paraId="62FA53A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Because neither depletion strategy dominates across the host-fraction spectrum, RustyClean selects one per sample rather than globally.</w:t>
      </w:r>
    </w:p>
    <w:p w14:paraId="3868345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A random subsample of n reads (default n = 100,000, drawn with seqtk using a fixed seed for reproducibility) is taken from the quality-controlled library and aligned against the host Bowtie2 index in a fast, low-sensitivity mode (--very-fast-local). The host fraction is estimated as the proportion of surveyed reads that align. Because the subsample is small and the alignment is deliberately insensitive, the survey completes in seconds and its cost is negligible relative to either depletion path. A user-supplied estimate (--host-pct) bypasses the survey entirely.</w:t>
      </w:r>
    </w:p>
    <w:p w14:paraId="10ABCA9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estimated host fraction ĥ is combined with the library size N in a two-part rule:</w:t>
      </w:r>
    </w:p>
    <w:p w14:paraId="2986C690" w14:textId="77777777" w:rsidR="00723756" w:rsidRPr="00F62B8C" w:rsidRDefault="00000000" w:rsidP="00F62B8C">
      <w:pPr>
        <w:pStyle w:val="Compact"/>
        <w:numPr>
          <w:ilvl w:val="0"/>
          <w:numId w:val="4"/>
        </w:numPr>
        <w:spacing w:before="0" w:after="0" w:line="480" w:lineRule="auto"/>
        <w:rPr>
          <w:rFonts w:ascii="Times New Roman" w:hAnsi="Times New Roman" w:cs="Times New Roman"/>
        </w:rPr>
      </w:pPr>
      <w:r w:rsidRPr="00F62B8C">
        <w:rPr>
          <w:rFonts w:ascii="Times New Roman" w:hAnsi="Times New Roman" w:cs="Times New Roman"/>
        </w:rPr>
        <w:t>ĥ &lt; ĥ_low (default 10%) → alignment path (Section 2.5). At low host fractions alignment rejects the microbial majority quickly and retains its lower false negative rate.</w:t>
      </w:r>
    </w:p>
    <w:p w14:paraId="327C4A65" w14:textId="77777777" w:rsidR="00723756" w:rsidRPr="00F62B8C" w:rsidRDefault="00000000" w:rsidP="00F62B8C">
      <w:pPr>
        <w:pStyle w:val="Compact"/>
        <w:numPr>
          <w:ilvl w:val="0"/>
          <w:numId w:val="4"/>
        </w:numPr>
        <w:spacing w:before="0" w:after="0" w:line="480" w:lineRule="auto"/>
        <w:rPr>
          <w:rFonts w:ascii="Times New Roman" w:hAnsi="Times New Roman" w:cs="Times New Roman"/>
        </w:rPr>
      </w:pPr>
      <w:r w:rsidRPr="00F62B8C">
        <w:rPr>
          <w:rFonts w:ascii="Times New Roman" w:hAnsi="Times New Roman" w:cs="Times New Roman"/>
        </w:rPr>
        <w:t>ĥ &gt; ĥ_high (default 30%) and N &gt; N_min (default 20 million reads) → classification path (Section 2.4). Kraken2 removes the host majority rapidly; the verification pass of Section 2.6 is applied on top when --bowtie2-recheck is set. The read-count condition is required because loading the Kraken2 database is a fixed cost that only pays off once the library is large enough to amortise it.</w:t>
      </w:r>
    </w:p>
    <w:p w14:paraId="653ED47D" w14:textId="77777777" w:rsidR="00723756" w:rsidRPr="00F62B8C" w:rsidRDefault="00000000" w:rsidP="00F62B8C">
      <w:pPr>
        <w:pStyle w:val="Compact"/>
        <w:numPr>
          <w:ilvl w:val="0"/>
          <w:numId w:val="4"/>
        </w:numPr>
        <w:spacing w:before="0" w:after="0" w:line="480" w:lineRule="auto"/>
        <w:rPr>
          <w:rFonts w:ascii="Times New Roman" w:hAnsi="Times New Roman" w:cs="Times New Roman"/>
        </w:rPr>
      </w:pPr>
      <w:r w:rsidRPr="00F62B8C">
        <w:rPr>
          <w:rFonts w:ascii="Times New Roman" w:hAnsi="Times New Roman" w:cs="Times New Roman"/>
        </w:rPr>
        <w:t>Otherwise → alignment path. The rule is deliberately conservative: any sample that does not clearly exceed the high-host threshold is routed to alignment, whose error profile is the safer default.</w:t>
      </w:r>
    </w:p>
    <w:p w14:paraId="366AAA69"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classification path can also be selected explicitly with </w:t>
      </w:r>
      <w:r w:rsidRPr="00F62B8C">
        <w:rPr>
          <w:rStyle w:val="VerbatimChar"/>
          <w:rFonts w:ascii="Times New Roman" w:hAnsi="Times New Roman" w:cs="Times New Roman"/>
        </w:rPr>
        <w:t>--host-removal-mode kraken2</w:t>
      </w:r>
      <w:r w:rsidRPr="00F62B8C">
        <w:rPr>
          <w:rFonts w:ascii="Times New Roman" w:hAnsi="Times New Roman" w:cs="Times New Roman"/>
        </w:rPr>
        <w:t xml:space="preserve">; </w:t>
      </w:r>
      <w:r w:rsidRPr="00F62B8C">
        <w:rPr>
          <w:rStyle w:val="VerbatimChar"/>
          <w:rFonts w:ascii="Times New Roman" w:hAnsi="Times New Roman" w:cs="Times New Roman"/>
        </w:rPr>
        <w:t>--bowtie2-recheck</w:t>
      </w:r>
      <w:r w:rsidRPr="00F62B8C">
        <w:rPr>
          <w:rFonts w:ascii="Times New Roman" w:hAnsi="Times New Roman" w:cs="Times New Roman"/>
        </w:rPr>
        <w:t xml:space="preserve"> toggles the verification pass.</w:t>
      </w:r>
    </w:p>
    <w:p w14:paraId="3518404F"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Defaults were set from the measured runtime behaviour of the two backends. Users may force either path (--host-removal-mode kraken2|bowtie2) or override any threshold. Routing tolerates considerable estimation error, since the decision requires only that ĥ fall on the correct side of a threshold rather than that it be accurate (Section 3.2).</w:t>
      </w:r>
    </w:p>
    <w:p w14:paraId="7E67D915" w14:textId="77777777" w:rsidR="00723756" w:rsidRPr="00F62B8C" w:rsidRDefault="00000000" w:rsidP="00F62B8C">
      <w:pPr>
        <w:pStyle w:val="Heading3"/>
        <w:spacing w:before="0" w:after="0" w:line="480" w:lineRule="auto"/>
        <w:rPr>
          <w:rFonts w:ascii="Times New Roman" w:hAnsi="Times New Roman" w:cs="Times New Roman"/>
        </w:rPr>
      </w:pPr>
      <w:bookmarkStart w:id="14" w:name="classification-based-depletion"/>
      <w:bookmarkStart w:id="15" w:name="_Toc240055193"/>
      <w:bookmarkEnd w:id="12"/>
      <w:r w:rsidRPr="00F62B8C">
        <w:rPr>
          <w:rFonts w:ascii="Times New Roman" w:hAnsi="Times New Roman" w:cs="Times New Roman"/>
        </w:rPr>
        <w:t>2.4 Classification-based depletion</w:t>
      </w:r>
      <w:bookmarkEnd w:id="15"/>
    </w:p>
    <w:p w14:paraId="70FFF84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classification path uses Kraken2 [Ref] against a </w:t>
      </w:r>
      <w:r w:rsidRPr="00F62B8C">
        <w:rPr>
          <w:rFonts w:ascii="Times New Roman" w:hAnsi="Times New Roman" w:cs="Times New Roman"/>
          <w:b/>
          <w:bCs/>
        </w:rPr>
        <w:t>human-only</w:t>
      </w:r>
      <w:r w:rsidRPr="00F62B8C">
        <w:rPr>
          <w:rFonts w:ascii="Times New Roman" w:hAnsi="Times New Roman" w:cs="Times New Roman"/>
        </w:rPr>
        <w:t xml:space="preserve"> index. By default this index is built from the T2T-CHM13v2.0 human reference; reads that Kraken2 does not assign are retained as the provisional decontaminated library. Mixed Kraken2 databases that also contain microbial genomes can be supplied for users who additionally want taxonomic profiling, but they are not used by default because they increase memory use without improving host-depletion accuracy.</w:t>
      </w:r>
    </w:p>
    <w:p w14:paraId="26E4D386"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Kraken2 is invoked with a confidence threshold (default 0.0) and a minimum hit-group requirement (default 2), both configurable; the unassigned read set is retained as the provisional decontaminated library. The Kraken2 report is parsed into a typed metrics record capturing classified and unclassified read counts, host read counts, and the implied contamination rate. In auto mode this path is selected for large, high-host samples and is followed by the Bowtie2 recheck pass described in Section 2.6.</w:t>
      </w:r>
    </w:p>
    <w:p w14:paraId="33938EC7" w14:textId="77777777" w:rsidR="00723756" w:rsidRPr="00F62B8C" w:rsidRDefault="00000000" w:rsidP="00F62B8C">
      <w:pPr>
        <w:pStyle w:val="Heading3"/>
        <w:spacing w:before="0" w:after="0" w:line="480" w:lineRule="auto"/>
        <w:rPr>
          <w:rFonts w:ascii="Times New Roman" w:hAnsi="Times New Roman" w:cs="Times New Roman"/>
        </w:rPr>
      </w:pPr>
      <w:bookmarkStart w:id="16" w:name="X39785b0e3843445ae865187529a3092956a3671"/>
      <w:bookmarkStart w:id="17" w:name="_Toc240055194"/>
      <w:bookmarkEnd w:id="14"/>
      <w:r w:rsidRPr="00F62B8C">
        <w:rPr>
          <w:rFonts w:ascii="Times New Roman" w:hAnsi="Times New Roman" w:cs="Times New Roman"/>
        </w:rPr>
        <w:t>2.4a Alternative backends evaluated and not retained</w:t>
      </w:r>
      <w:bookmarkEnd w:id="17"/>
    </w:p>
    <w:p w14:paraId="3ED92CA1"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We evaluated sylph, a k-mer-sketching metagenome profiler, as a possible sample-level prefilter for host depletion. sylph produces sample-level relative abundance, not per-read labels, so it cannot remove individual host reads. We therefore tested it as a binary sensor: a sample declared host-positive by </w:t>
      </w:r>
      <w:r w:rsidRPr="00F62B8C">
        <w:rPr>
          <w:rStyle w:val="VerbatimChar"/>
          <w:rFonts w:ascii="Times New Roman" w:hAnsi="Times New Roman" w:cs="Times New Roman"/>
        </w:rPr>
        <w:t>sylph query</w:t>
      </w:r>
      <w:r w:rsidRPr="00F62B8C">
        <w:rPr>
          <w:rFonts w:ascii="Times New Roman" w:hAnsi="Times New Roman" w:cs="Times New Roman"/>
        </w:rPr>
        <w:t xml:space="preserve"> was passed to the Bowtie2 alignment pipeline, while host-negative samples were retained without alignment. On the 100 M matched panel this sensor-based </w:t>
      </w:r>
      <w:r w:rsidRPr="00F62B8C">
        <w:rPr>
          <w:rFonts w:ascii="Times New Roman" w:hAnsi="Times New Roman" w:cs="Times New Roman"/>
        </w:rPr>
        <w:lastRenderedPageBreak/>
        <w:t>approach did not improve runtime over direct Bowtie2 removal for host-positive samples, and the added survey overhead erased any potential speed advantage. We also confirmed that sylph cannot provide read-level classifications and therefore cannot be used as a direct substitute for Kraken2 or Bowtie2 in a host-depletion pipeline. Consequently, sylph is retained only as an optional explicit backend and is not used by the default auto-mode router.</w:t>
      </w:r>
    </w:p>
    <w:p w14:paraId="2C91E924" w14:textId="77777777" w:rsidR="00723756" w:rsidRPr="00F62B8C" w:rsidRDefault="00000000" w:rsidP="00F62B8C">
      <w:pPr>
        <w:pStyle w:val="Heading3"/>
        <w:spacing w:before="0" w:after="0" w:line="480" w:lineRule="auto"/>
        <w:rPr>
          <w:rFonts w:ascii="Times New Roman" w:hAnsi="Times New Roman" w:cs="Times New Roman"/>
        </w:rPr>
      </w:pPr>
      <w:bookmarkStart w:id="18" w:name="alignment-based-depletion"/>
      <w:bookmarkStart w:id="19" w:name="_Toc240055195"/>
      <w:bookmarkEnd w:id="16"/>
      <w:r w:rsidRPr="00F62B8C">
        <w:rPr>
          <w:rFonts w:ascii="Times New Roman" w:hAnsi="Times New Roman" w:cs="Times New Roman"/>
        </w:rPr>
        <w:t>2.5 Alignment-based depletion</w:t>
      </w:r>
      <w:bookmarkEnd w:id="19"/>
    </w:p>
    <w:p w14:paraId="74A9DCF2"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The alignment path aligns quality-controlled reads against a Bowtie2 [Ref] index of the host reference genome (T2T-CHM13v2.0 by default), retaining unaligned reads. Paired-end reads are handled with concordant-pair semantics so that a pair is retained only if neither mate aligns. This path is functionally equivalent to KneadData's host-removal stage but without the intervening repeat-masking and identifier-reformatting steps.</w:t>
      </w:r>
    </w:p>
    <w:p w14:paraId="338E2C12" w14:textId="77777777" w:rsidR="00723756" w:rsidRPr="00F62B8C" w:rsidRDefault="00000000" w:rsidP="00F62B8C">
      <w:pPr>
        <w:pStyle w:val="Heading3"/>
        <w:spacing w:before="0" w:after="0" w:line="480" w:lineRule="auto"/>
        <w:rPr>
          <w:rFonts w:ascii="Times New Roman" w:hAnsi="Times New Roman" w:cs="Times New Roman"/>
        </w:rPr>
      </w:pPr>
      <w:bookmarkStart w:id="20" w:name="Xe4de1e90f832e19a4065932011b64ddf1460770"/>
      <w:bookmarkStart w:id="21" w:name="_Toc240055196"/>
      <w:bookmarkEnd w:id="18"/>
      <w:r w:rsidRPr="00F62B8C">
        <w:rPr>
          <w:rFonts w:ascii="Times New Roman" w:hAnsi="Times New Roman" w:cs="Times New Roman"/>
        </w:rPr>
        <w:t>2.6 Optional Bowtie2 verification pass (legacy Kraken2 path)</w:t>
      </w:r>
      <w:bookmarkEnd w:id="21"/>
    </w:p>
    <w:p w14:paraId="703D87A0"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Because k-mer classification systematically under-detects host reads, the Kraken2 classification path can be followed by a verification pass (</w:t>
      </w:r>
      <w:r w:rsidRPr="00F62B8C">
        <w:rPr>
          <w:rStyle w:val="VerbatimChar"/>
          <w:rFonts w:ascii="Times New Roman" w:hAnsi="Times New Roman" w:cs="Times New Roman"/>
        </w:rPr>
        <w:t>--bowtie2-recheck</w:t>
      </w:r>
      <w:r w:rsidRPr="00F62B8C">
        <w:rPr>
          <w:rFonts w:ascii="Times New Roman" w:hAnsi="Times New Roman" w:cs="Times New Roman"/>
        </w:rPr>
        <w:t xml:space="preserve">). The reads retained by Kraken2 are aligned against the same host Bowtie2 index and those that align are removed. Only the retained set is re-screened, so reads already identified as host are never realigned. This pass is enabled by default when auto mode routes a sample to the Kraken2 classification path, and can be disabled with </w:t>
      </w:r>
      <w:r w:rsidRPr="00F62B8C">
        <w:rPr>
          <w:rStyle w:val="VerbatimChar"/>
          <w:rFonts w:ascii="Times New Roman" w:hAnsi="Times New Roman" w:cs="Times New Roman"/>
        </w:rPr>
        <w:t>--no-bowtie2-recheck</w:t>
      </w:r>
      <w:r w:rsidRPr="00F62B8C">
        <w:rPr>
          <w:rFonts w:ascii="Times New Roman" w:hAnsi="Times New Roman" w:cs="Times New Roman"/>
        </w:rPr>
        <w:t xml:space="preserve"> for users who prefer raw Kraken2 output.</w:t>
      </w:r>
    </w:p>
    <w:p w14:paraId="0389043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The cost of this pass is proportional to the size of the retained set, which is small precisely when it is needed: at a host fraction of 0.9, classification removes the majority of reads and the verification pass processes roughly a tenth of the library. At low host fractions the retained set is large and verification would be expensive — but that regime is routed to the alignment path by Section 2.3 and never reaches this stage. The two mechanisms are therefore complementary </w:t>
      </w:r>
      <w:r w:rsidRPr="00F62B8C">
        <w:rPr>
          <w:rFonts w:ascii="Times New Roman" w:hAnsi="Times New Roman" w:cs="Times New Roman"/>
        </w:rPr>
        <w:lastRenderedPageBreak/>
        <w:t>rather than merely additive, and the worst-case cost of verification is bounded by the size of the retained set.</w:t>
      </w:r>
    </w:p>
    <w:p w14:paraId="3A731B21" w14:textId="77777777" w:rsidR="00723756" w:rsidRPr="00F62B8C" w:rsidRDefault="00000000" w:rsidP="00F62B8C">
      <w:pPr>
        <w:pStyle w:val="Heading3"/>
        <w:spacing w:before="0" w:after="0" w:line="480" w:lineRule="auto"/>
        <w:rPr>
          <w:rFonts w:ascii="Times New Roman" w:hAnsi="Times New Roman" w:cs="Times New Roman"/>
        </w:rPr>
      </w:pPr>
      <w:bookmarkStart w:id="22" w:name="validation-gate"/>
      <w:bookmarkStart w:id="23" w:name="_Toc240055197"/>
      <w:bookmarkEnd w:id="20"/>
      <w:r w:rsidRPr="00F62B8C">
        <w:rPr>
          <w:rFonts w:ascii="Times New Roman" w:hAnsi="Times New Roman" w:cs="Times New Roman"/>
        </w:rPr>
        <w:t>2.7 Validation gate</w:t>
      </w:r>
      <w:bookmarkEnd w:id="23"/>
    </w:p>
    <w:p w14:paraId="6CE48B77"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Every sample is subject to automated assertions before its output is promoted:</w:t>
      </w:r>
    </w:p>
    <w:p w14:paraId="16C74334" w14:textId="77777777" w:rsidR="00723756" w:rsidRPr="00F62B8C" w:rsidRDefault="00000000" w:rsidP="00F62B8C">
      <w:pPr>
        <w:pStyle w:val="Compact"/>
        <w:numPr>
          <w:ilvl w:val="0"/>
          <w:numId w:val="5"/>
        </w:numPr>
        <w:spacing w:before="0" w:after="0" w:line="480" w:lineRule="auto"/>
        <w:rPr>
          <w:rFonts w:ascii="Times New Roman" w:hAnsi="Times New Roman" w:cs="Times New Roman"/>
        </w:rPr>
      </w:pPr>
      <w:r w:rsidRPr="00F62B8C">
        <w:rPr>
          <w:rFonts w:ascii="Times New Roman" w:hAnsi="Times New Roman" w:cs="Times New Roman"/>
          <w:b/>
          <w:bCs/>
        </w:rPr>
        <w:t>Output size</w:t>
      </w:r>
      <w:r w:rsidRPr="00F62B8C">
        <w:rPr>
          <w:rFonts w:ascii="Times New Roman" w:hAnsi="Times New Roman" w:cs="Times New Roman"/>
        </w:rPr>
        <w:t xml:space="preserve"> — each output file must exceed a configurable minimum, detecting silently truncated or empty outputs.</w:t>
      </w:r>
    </w:p>
    <w:p w14:paraId="7569D5D0" w14:textId="77777777" w:rsidR="00723756" w:rsidRPr="00F62B8C" w:rsidRDefault="00000000" w:rsidP="00F62B8C">
      <w:pPr>
        <w:pStyle w:val="Compact"/>
        <w:numPr>
          <w:ilvl w:val="0"/>
          <w:numId w:val="5"/>
        </w:numPr>
        <w:spacing w:before="0" w:after="0" w:line="480" w:lineRule="auto"/>
        <w:rPr>
          <w:rFonts w:ascii="Times New Roman" w:hAnsi="Times New Roman" w:cs="Times New Roman"/>
        </w:rPr>
      </w:pPr>
      <w:r w:rsidRPr="00F62B8C">
        <w:rPr>
          <w:rFonts w:ascii="Times New Roman" w:hAnsi="Times New Roman" w:cs="Times New Roman"/>
          <w:b/>
          <w:bCs/>
        </w:rPr>
        <w:t>Residual contamination</w:t>
      </w:r>
      <w:r w:rsidRPr="00F62B8C">
        <w:rPr>
          <w:rFonts w:ascii="Times New Roman" w:hAnsi="Times New Roman" w:cs="Times New Roman"/>
        </w:rPr>
        <w:t xml:space="preserve"> — the estimated host fraction of the output must not exceed a configurable maximum (default 5%), detecting a misconfigured or missing reference.</w:t>
      </w:r>
    </w:p>
    <w:p w14:paraId="783C880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A sample failing either assertion is recorded as </w:t>
      </w:r>
      <w:r w:rsidRPr="00F62B8C">
        <w:rPr>
          <w:rStyle w:val="VerbatimChar"/>
          <w:rFonts w:ascii="Times New Roman" w:hAnsi="Times New Roman" w:cs="Times New Roman"/>
        </w:rPr>
        <w:t>Failed</w:t>
      </w:r>
      <w:r w:rsidRPr="00F62B8C">
        <w:rPr>
          <w:rFonts w:ascii="Times New Roman" w:hAnsi="Times New Roman" w:cs="Times New Roman"/>
        </w:rPr>
        <w:t xml:space="preserve"> and its outputs are </w:t>
      </w:r>
      <w:r w:rsidRPr="00F62B8C">
        <w:rPr>
          <w:rFonts w:ascii="Times New Roman" w:hAnsi="Times New Roman" w:cs="Times New Roman"/>
          <w:b/>
          <w:bCs/>
        </w:rPr>
        <w:t>not</w:t>
      </w:r>
      <w:r w:rsidRPr="00F62B8C">
        <w:rPr>
          <w:rFonts w:ascii="Times New Roman" w:hAnsi="Times New Roman" w:cs="Times New Roman"/>
        </w:rPr>
        <w:t xml:space="preserve"> moved into the output directory, so they cannot be consumed by a downstream analysis by accident. To our knowledge no existing host-depletion pipeline enforces an equivalent post-hoc correctness check.</w:t>
      </w:r>
    </w:p>
    <w:p w14:paraId="453BF506" w14:textId="77777777" w:rsidR="00723756" w:rsidRPr="00F62B8C" w:rsidRDefault="00000000" w:rsidP="00F62B8C">
      <w:pPr>
        <w:pStyle w:val="Heading3"/>
        <w:spacing w:before="0" w:after="0" w:line="480" w:lineRule="auto"/>
        <w:rPr>
          <w:rFonts w:ascii="Times New Roman" w:hAnsi="Times New Roman" w:cs="Times New Roman"/>
        </w:rPr>
      </w:pPr>
      <w:bookmarkStart w:id="24" w:name="orchestration-and-implementation"/>
      <w:bookmarkStart w:id="25" w:name="_Toc240055198"/>
      <w:bookmarkEnd w:id="22"/>
      <w:r w:rsidRPr="00F62B8C">
        <w:rPr>
          <w:rFonts w:ascii="Times New Roman" w:hAnsi="Times New Roman" w:cs="Times New Roman"/>
        </w:rPr>
        <w:t>2.8 Orchestration and implementation</w:t>
      </w:r>
      <w:bookmarkEnd w:id="25"/>
    </w:p>
    <w:p w14:paraId="2833B7B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Stage machine. Each sample's progress is represented as a totally ordered enumeration of stages (Pending → FastpRunning → FastpComplete → Kraken2Running → Kraken2Complete → Validating → Completed / Failed). Because the stages are ordered, resumption reduces to a comparison rather than per-stage branching logic, and a resumed sample re-executes only the stages after its recorded position. The two depletion stages are named after Kraken2 for historical reasons but are used by every backend.</w:t>
      </w:r>
    </w:p>
    <w:p w14:paraId="631C3E86"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Checkpointing.</w:t>
      </w:r>
      <w:r w:rsidRPr="00F62B8C">
        <w:rPr>
          <w:rFonts w:ascii="Times New Roman" w:hAnsi="Times New Roman" w:cs="Times New Roman"/>
        </w:rPr>
        <w:t xml:space="preserve"> Per-sample state is serialised as versioned JSON and written atomically (write-to-temporary followed by rename), so an interrupted write cannot leave a partially parsed record. Each checkpoint carries an xxHash3 fingerprint over input file metadata; a change to the input invalidates the checkpoint automatically, so resumption cannot silently return results computed </w:t>
      </w:r>
      <w:r w:rsidRPr="00F62B8C">
        <w:rPr>
          <w:rFonts w:ascii="Times New Roman" w:hAnsi="Times New Roman" w:cs="Times New Roman"/>
        </w:rPr>
        <w:lastRenderedPageBreak/>
        <w:t>from different data. Checkpoints retain the full metrics payload and therefore double as a per-sample provenance record.</w:t>
      </w:r>
    </w:p>
    <w:p w14:paraId="4D97805B" w14:textId="4FAF54AC"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Concurrency. Parallelism is bounded at two levels: a counting semaphore admits W samples concurrently (default: half the available cores), and each sample passes T threads to its external tools. Total load is approximately W × T, giving independent control over the CPU-bound quality-control stage and the memory-bound depletion stage. When the user does not explicitly set W, RustyClean estimates the resident database size for the selected backend and the available memory (cgroup limit first, then /proc/meminfo MemAvailable), and caps W so that concurrent workers do not collectively exceed roughly 80% of available RAM. This prevents out-of-memory failures when the default CPU-based worker count would load more database copies than fit in memory. Interrupt handling uses a cancellation token so that queued samples are not started after a shutdown signal. We note that the in-process worker pool is a convenience rather than a performance feature: when measured against the same binary driven one sample per process by xargs at matched W (Section 3.9), the two are indistinguishable in throughput.</w:t>
      </w:r>
    </w:p>
    <w:p w14:paraId="48240F8E"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Implementation. RustyClean is approximately 3,100 lines of Rust across nine modules, built on the Tokio asynchronous runtime and distributed as a single binary with no language runtime dependency. Five depletion backends are selectable with --host-removal-mode (kraken2, bowtie2, minimap2, sylph, centrifuge) in addition to auto; external dependencies are the executables for whichever backends are used, plus fastp and seqtk. Source is available at https://github.com/HuangShiLab/rustyclean under the MIT licence.</w:t>
      </w:r>
    </w:p>
    <w:p w14:paraId="2A759507" w14:textId="77777777" w:rsidR="00723756" w:rsidRPr="00F62B8C" w:rsidRDefault="00000000" w:rsidP="00F62B8C">
      <w:pPr>
        <w:pStyle w:val="Heading3"/>
        <w:spacing w:before="0" w:after="0" w:line="480" w:lineRule="auto"/>
        <w:rPr>
          <w:rFonts w:ascii="Times New Roman" w:hAnsi="Times New Roman" w:cs="Times New Roman"/>
        </w:rPr>
      </w:pPr>
      <w:bookmarkStart w:id="26" w:name="benchmark-design"/>
      <w:bookmarkStart w:id="27" w:name="_Toc240055199"/>
      <w:bookmarkEnd w:id="24"/>
      <w:r w:rsidRPr="00F62B8C">
        <w:rPr>
          <w:rFonts w:ascii="Times New Roman" w:hAnsi="Times New Roman" w:cs="Times New Roman"/>
        </w:rPr>
        <w:lastRenderedPageBreak/>
        <w:t>2.9 Benchmark design</w:t>
      </w:r>
      <w:bookmarkEnd w:id="27"/>
    </w:p>
    <w:p w14:paraId="7BE2EA3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b/>
          <w:bCs/>
        </w:rPr>
        <w:t>Table 1.</w:t>
      </w:r>
      <w:r w:rsidRPr="00F62B8C">
        <w:rPr>
          <w:rFonts w:ascii="Times New Roman" w:hAnsi="Times New Roman" w:cs="Times New Roman"/>
        </w:rPr>
        <w:t xml:space="preserve"> Selected simulated datasets used for the main accuracy comparison. Host fraction is the realised proportion of host reads after simulation, which differs slightly from the nominal target for skewed communities. The full evaluation panel comprises 18 datasets (Table S2).</w:t>
      </w:r>
    </w:p>
    <w:tbl>
      <w:tblPr>
        <w:tblStyle w:val="Table"/>
        <w:tblW w:w="5000" w:type="pct"/>
        <w:tblLayout w:type="fixed"/>
        <w:tblLook w:val="0020" w:firstRow="1" w:lastRow="0" w:firstColumn="0" w:lastColumn="0" w:noHBand="0" w:noVBand="0"/>
      </w:tblPr>
      <w:tblGrid>
        <w:gridCol w:w="1465"/>
        <w:gridCol w:w="1690"/>
        <w:gridCol w:w="1577"/>
        <w:gridCol w:w="1802"/>
        <w:gridCol w:w="1690"/>
        <w:gridCol w:w="1352"/>
      </w:tblGrid>
      <w:tr w:rsidR="00723756" w:rsidRPr="00F62B8C" w14:paraId="2F6B8644"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211" w:type="dxa"/>
          </w:tcPr>
          <w:p w14:paraId="4B40DE9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1397" w:type="dxa"/>
          </w:tcPr>
          <w:p w14:paraId="12A7CB6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Reads (M)</w:t>
            </w:r>
          </w:p>
        </w:tc>
        <w:tc>
          <w:tcPr>
            <w:tcW w:w="1304" w:type="dxa"/>
          </w:tcPr>
          <w:p w14:paraId="4A33F18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 (%)</w:t>
            </w:r>
          </w:p>
        </w:tc>
        <w:tc>
          <w:tcPr>
            <w:tcW w:w="1490" w:type="dxa"/>
          </w:tcPr>
          <w:p w14:paraId="45C4EB0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Complexity</w:t>
            </w:r>
          </w:p>
        </w:tc>
        <w:tc>
          <w:tcPr>
            <w:tcW w:w="1397" w:type="dxa"/>
          </w:tcPr>
          <w:p w14:paraId="2E7A685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Abundance</w:t>
            </w:r>
          </w:p>
        </w:tc>
        <w:tc>
          <w:tcPr>
            <w:tcW w:w="1118" w:type="dxa"/>
          </w:tcPr>
          <w:p w14:paraId="29013C1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Layout</w:t>
            </w:r>
          </w:p>
        </w:tc>
      </w:tr>
      <w:tr w:rsidR="00723756" w:rsidRPr="00F62B8C" w14:paraId="21702FC1" w14:textId="77777777">
        <w:tc>
          <w:tcPr>
            <w:tcW w:w="1211" w:type="dxa"/>
          </w:tcPr>
          <w:p w14:paraId="4B0AA9D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1397" w:type="dxa"/>
          </w:tcPr>
          <w:p w14:paraId="7323178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c>
          <w:tcPr>
            <w:tcW w:w="1304" w:type="dxa"/>
          </w:tcPr>
          <w:p w14:paraId="2449FE7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w:t>
            </w:r>
          </w:p>
        </w:tc>
        <w:tc>
          <w:tcPr>
            <w:tcW w:w="1490" w:type="dxa"/>
          </w:tcPr>
          <w:p w14:paraId="45B306A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low</w:t>
            </w:r>
          </w:p>
        </w:tc>
        <w:tc>
          <w:tcPr>
            <w:tcW w:w="1397" w:type="dxa"/>
          </w:tcPr>
          <w:p w14:paraId="0012E0B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even</w:t>
            </w:r>
          </w:p>
        </w:tc>
        <w:tc>
          <w:tcPr>
            <w:tcW w:w="1118" w:type="dxa"/>
          </w:tcPr>
          <w:p w14:paraId="6F4411E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66472FC9" w14:textId="77777777">
        <w:tc>
          <w:tcPr>
            <w:tcW w:w="1211" w:type="dxa"/>
          </w:tcPr>
          <w:p w14:paraId="67E4B5E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397" w:type="dxa"/>
          </w:tcPr>
          <w:p w14:paraId="4C2296D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9.5</w:t>
            </w:r>
          </w:p>
        </w:tc>
        <w:tc>
          <w:tcPr>
            <w:tcW w:w="1304" w:type="dxa"/>
          </w:tcPr>
          <w:p w14:paraId="6601739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w:t>
            </w:r>
          </w:p>
        </w:tc>
        <w:tc>
          <w:tcPr>
            <w:tcW w:w="1490" w:type="dxa"/>
          </w:tcPr>
          <w:p w14:paraId="60BD79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medium</w:t>
            </w:r>
          </w:p>
        </w:tc>
        <w:tc>
          <w:tcPr>
            <w:tcW w:w="1397" w:type="dxa"/>
          </w:tcPr>
          <w:p w14:paraId="5FE9E13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even</w:t>
            </w:r>
          </w:p>
        </w:tc>
        <w:tc>
          <w:tcPr>
            <w:tcW w:w="1118" w:type="dxa"/>
          </w:tcPr>
          <w:p w14:paraId="2A71AEA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257FE57A" w14:textId="77777777">
        <w:tc>
          <w:tcPr>
            <w:tcW w:w="1211" w:type="dxa"/>
          </w:tcPr>
          <w:p w14:paraId="5401256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397" w:type="dxa"/>
          </w:tcPr>
          <w:p w14:paraId="4B04FC7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23.9</w:t>
            </w:r>
          </w:p>
        </w:tc>
        <w:tc>
          <w:tcPr>
            <w:tcW w:w="1304" w:type="dxa"/>
          </w:tcPr>
          <w:p w14:paraId="1957555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59.7</w:t>
            </w:r>
          </w:p>
        </w:tc>
        <w:tc>
          <w:tcPr>
            <w:tcW w:w="1490" w:type="dxa"/>
          </w:tcPr>
          <w:p w14:paraId="46712C0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7EB3622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skewed</w:t>
            </w:r>
          </w:p>
        </w:tc>
        <w:tc>
          <w:tcPr>
            <w:tcW w:w="1118" w:type="dxa"/>
          </w:tcPr>
          <w:p w14:paraId="42C89EC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23D1FBEB" w14:textId="77777777">
        <w:tc>
          <w:tcPr>
            <w:tcW w:w="1211" w:type="dxa"/>
          </w:tcPr>
          <w:p w14:paraId="3693411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1397" w:type="dxa"/>
          </w:tcPr>
          <w:p w14:paraId="4A355C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56.2</w:t>
            </w:r>
          </w:p>
        </w:tc>
        <w:tc>
          <w:tcPr>
            <w:tcW w:w="1304" w:type="dxa"/>
          </w:tcPr>
          <w:p w14:paraId="7C336D6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91.4</w:t>
            </w:r>
          </w:p>
        </w:tc>
        <w:tc>
          <w:tcPr>
            <w:tcW w:w="1490" w:type="dxa"/>
          </w:tcPr>
          <w:p w14:paraId="5BF9628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0945F25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lognormal</w:t>
            </w:r>
          </w:p>
        </w:tc>
        <w:tc>
          <w:tcPr>
            <w:tcW w:w="1118" w:type="dxa"/>
          </w:tcPr>
          <w:p w14:paraId="5B6DF1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24EBC4E6" w14:textId="77777777">
        <w:tc>
          <w:tcPr>
            <w:tcW w:w="1211" w:type="dxa"/>
          </w:tcPr>
          <w:p w14:paraId="49BA2C8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1397" w:type="dxa"/>
          </w:tcPr>
          <w:p w14:paraId="064A2B4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87.8</w:t>
            </w:r>
          </w:p>
        </w:tc>
        <w:tc>
          <w:tcPr>
            <w:tcW w:w="1304" w:type="dxa"/>
          </w:tcPr>
          <w:p w14:paraId="666C0C0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54.1</w:t>
            </w:r>
          </w:p>
        </w:tc>
        <w:tc>
          <w:tcPr>
            <w:tcW w:w="1490" w:type="dxa"/>
          </w:tcPr>
          <w:p w14:paraId="5A1647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23BB32B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lognormal</w:t>
            </w:r>
          </w:p>
        </w:tc>
        <w:tc>
          <w:tcPr>
            <w:tcW w:w="1118" w:type="dxa"/>
          </w:tcPr>
          <w:p w14:paraId="5F9652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04347D71" w14:textId="77777777">
        <w:tc>
          <w:tcPr>
            <w:tcW w:w="1211" w:type="dxa"/>
          </w:tcPr>
          <w:p w14:paraId="03ED751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1397" w:type="dxa"/>
          </w:tcPr>
          <w:p w14:paraId="47B0A18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93.6</w:t>
            </w:r>
          </w:p>
        </w:tc>
        <w:tc>
          <w:tcPr>
            <w:tcW w:w="1304" w:type="dxa"/>
          </w:tcPr>
          <w:p w14:paraId="5E32AE0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91.4</w:t>
            </w:r>
          </w:p>
        </w:tc>
        <w:tc>
          <w:tcPr>
            <w:tcW w:w="1490" w:type="dxa"/>
          </w:tcPr>
          <w:p w14:paraId="594A725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181272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lognormal</w:t>
            </w:r>
          </w:p>
        </w:tc>
        <w:tc>
          <w:tcPr>
            <w:tcW w:w="1118" w:type="dxa"/>
          </w:tcPr>
          <w:p w14:paraId="16C7A5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bl>
    <w:p w14:paraId="6CBD0874"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We evaluated RustyClean against KneadData v0.12.3 on 18 simulated metagenomes with per-read ground truth, generated with InSilicoSeq v2.0.0 (Gourlé et al., 2019). The design varied four factors:</w:t>
      </w:r>
    </w:p>
    <w:tbl>
      <w:tblPr>
        <w:tblStyle w:val="Table"/>
        <w:tblW w:w="0" w:type="auto"/>
        <w:tblLook w:val="0020" w:firstRow="1" w:lastRow="0" w:firstColumn="0" w:lastColumn="0" w:noHBand="0" w:noVBand="0"/>
      </w:tblPr>
      <w:tblGrid>
        <w:gridCol w:w="2610"/>
        <w:gridCol w:w="3716"/>
      </w:tblGrid>
      <w:tr w:rsidR="00723756" w:rsidRPr="00F62B8C" w14:paraId="73EEF4CB"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0" w:type="auto"/>
          </w:tcPr>
          <w:p w14:paraId="2AFA310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Factor</w:t>
            </w:r>
          </w:p>
        </w:tc>
        <w:tc>
          <w:tcPr>
            <w:tcW w:w="0" w:type="auto"/>
          </w:tcPr>
          <w:p w14:paraId="5B374F6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Levels</w:t>
            </w:r>
          </w:p>
        </w:tc>
      </w:tr>
      <w:tr w:rsidR="00723756" w:rsidRPr="00F62B8C" w14:paraId="451AC956" w14:textId="77777777">
        <w:tc>
          <w:tcPr>
            <w:tcW w:w="0" w:type="auto"/>
          </w:tcPr>
          <w:p w14:paraId="3131F4A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 fraction</w:t>
            </w:r>
          </w:p>
        </w:tc>
        <w:tc>
          <w:tcPr>
            <w:tcW w:w="0" w:type="auto"/>
          </w:tcPr>
          <w:p w14:paraId="64845E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0, 1, 5, 10, 30, 50, 70, 90, 99, 100 %</w:t>
            </w:r>
          </w:p>
        </w:tc>
      </w:tr>
      <w:tr w:rsidR="00723756" w:rsidRPr="00F62B8C" w14:paraId="4BCEE265" w14:textId="77777777">
        <w:tc>
          <w:tcPr>
            <w:tcW w:w="0" w:type="auto"/>
          </w:tcPr>
          <w:p w14:paraId="2FAAC36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Sequencing depth</w:t>
            </w:r>
          </w:p>
        </w:tc>
        <w:tc>
          <w:tcPr>
            <w:tcW w:w="0" w:type="auto"/>
          </w:tcPr>
          <w:p w14:paraId="45182EF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 10, 20, 30, 60, 100 M reads</w:t>
            </w:r>
          </w:p>
        </w:tc>
      </w:tr>
      <w:tr w:rsidR="00723756" w:rsidRPr="00F62B8C" w14:paraId="3B6FC2C3" w14:textId="77777777">
        <w:tc>
          <w:tcPr>
            <w:tcW w:w="0" w:type="auto"/>
          </w:tcPr>
          <w:p w14:paraId="5AD011A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Community composition</w:t>
            </w:r>
          </w:p>
        </w:tc>
        <w:tc>
          <w:tcPr>
            <w:tcW w:w="0" w:type="auto"/>
          </w:tcPr>
          <w:p w14:paraId="7B42597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even, lognormal, skewed</w:t>
            </w:r>
          </w:p>
        </w:tc>
      </w:tr>
      <w:tr w:rsidR="00723756" w:rsidRPr="00F62B8C" w14:paraId="3705B3FE" w14:textId="77777777">
        <w:tc>
          <w:tcPr>
            <w:tcW w:w="0" w:type="auto"/>
          </w:tcPr>
          <w:p w14:paraId="498F8F1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Read layout</w:t>
            </w:r>
          </w:p>
        </w:tc>
        <w:tc>
          <w:tcPr>
            <w:tcW w:w="0" w:type="auto"/>
          </w:tcPr>
          <w:p w14:paraId="2370BCB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 paired-end</w:t>
            </w:r>
          </w:p>
        </w:tc>
      </w:tr>
    </w:tbl>
    <w:p w14:paraId="70D6F17C"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Because reads are simulated, the true origin of every read is known and depletion can be scored exactly as a binary classification task. Results are reported stratified by host fraction and read layout; no grand mean is reported across the full panel.</w:t>
      </w:r>
    </w:p>
    <w:p w14:paraId="00FB1691" w14:textId="28D0AE06"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 xml:space="preserve">Reference databases: by </w:t>
      </w:r>
      <w:proofErr w:type="gramStart"/>
      <w:r w:rsidRPr="00F62B8C">
        <w:rPr>
          <w:rFonts w:ascii="Times New Roman" w:hAnsi="Times New Roman" w:cs="Times New Roman"/>
        </w:rPr>
        <w:t>default</w:t>
      </w:r>
      <w:proofErr w:type="gramEnd"/>
      <w:r w:rsidRPr="00F62B8C">
        <w:rPr>
          <w:rFonts w:ascii="Times New Roman" w:hAnsi="Times New Roman" w:cs="Times New Roman"/>
        </w:rPr>
        <w:t xml:space="preserve"> a human-only Kraken2 index built from T2T-CHM13v2.0, and a Bowtie2 index of T2T-CHM13v2.0 plus HLA sequences (the Hostile human-t2t-hla index). A mixed Kraken2 index (kraken16: GRCh38 + T2T + ~73,000 microbial genomes) was additionally evaluated as an optional taxonomy-aware mode. All comparisons used 8 threads per tool on the HKU HPC2021 cluster, with three replicates per condition for RustyClean timing.</w:t>
      </w:r>
    </w:p>
    <w:p w14:paraId="3B9D572C"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Resource measurement. Wall-clock time and peak resident set size were recorded with GNU time, and CPU time and memory were additionally read from each job's own cgroup (cpu.stat usage_usec; the peak of memory.stat anon, sampled at 1 Hz). The two are not interchangeable and we report both. GNU time accumulates only the resource usage of children it reaps, which for KneadData omitted most of the work: on the parallel panel it recorded 2,014 s of CPU where the cgroup recorded 80,365 s, and warming the page cache beforehand left the GNU figure unchanged to the second, ruling out I/O wait. Its peak resident set size is also one process's footprint including file-backed pages, so a memory-mapped index is charged in full to every process that shares it. Where the two measures answer different questions we say which is used.</w:t>
      </w:r>
    </w:p>
    <w:p w14:paraId="1E260A0E"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Parallel scaling panel. Throughput was measured on a separate panel of 120 uniform single-end samples of 1,000,000 reads each, 20 replicates at each of six host fractions (1, 5, 10, 50, 70 and 90%), simulated as above. Uniform depth is required here: batch wall time only reflects scheduling if every sample costs about the same. Each job took a compute node exclusively, was pinned to 16 cores with taskset, and split them as W concurrent samples × T threads with W × T = 16 for W in {1, 2, 4, 8, 16}. All arms ran at the same W on the same node, and the inputs and every arm's index were read into page cache before timing began, so arm order is not part of the measurement.</w:t>
      </w:r>
    </w:p>
    <w:p w14:paraId="345C7C93" w14:textId="77777777" w:rsidR="00723756" w:rsidRPr="00F62B8C" w:rsidRDefault="00000000" w:rsidP="00F62B8C">
      <w:pPr>
        <w:pStyle w:val="Heading3"/>
        <w:spacing w:before="0" w:after="0" w:line="480" w:lineRule="auto"/>
        <w:rPr>
          <w:rFonts w:ascii="Times New Roman" w:hAnsi="Times New Roman" w:cs="Times New Roman"/>
        </w:rPr>
      </w:pPr>
      <w:bookmarkStart w:id="28" w:name="evaluation-metrics"/>
      <w:bookmarkStart w:id="29" w:name="_Toc240055200"/>
      <w:bookmarkEnd w:id="26"/>
      <w:r w:rsidRPr="00F62B8C">
        <w:rPr>
          <w:rFonts w:ascii="Times New Roman" w:hAnsi="Times New Roman" w:cs="Times New Roman"/>
        </w:rPr>
        <w:lastRenderedPageBreak/>
        <w:t>2.10 Evaluation metrics</w:t>
      </w:r>
      <w:bookmarkEnd w:id="29"/>
    </w:p>
    <w:p w14:paraId="5B23E3C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Treating "host" as the positive class:</w:t>
      </w:r>
    </w:p>
    <w:p w14:paraId="0AE7057E"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Microbial read loss</w:t>
      </w:r>
      <w:r w:rsidRPr="00F62B8C">
        <w:rPr>
          <w:rFonts w:ascii="Times New Roman" w:hAnsi="Times New Roman" w:cs="Times New Roman"/>
        </w:rPr>
        <w:t xml:space="preserve"> = false positives / true microbial reads — the fraction of genuine microbial reads discarded.</w:t>
      </w:r>
    </w:p>
    <w:p w14:paraId="5BCA7A54"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Host carry-over</w:t>
      </w:r>
      <w:r w:rsidRPr="00F62B8C">
        <w:rPr>
          <w:rFonts w:ascii="Times New Roman" w:hAnsi="Times New Roman" w:cs="Times New Roman"/>
        </w:rPr>
        <w:t xml:space="preserve"> = false negatives / true host reads — the fraction of host reads retained in the output.</w:t>
      </w:r>
    </w:p>
    <w:p w14:paraId="01C3D444"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F1</w:t>
      </w:r>
      <w:r w:rsidRPr="00F62B8C">
        <w:rPr>
          <w:rFonts w:ascii="Times New Roman" w:hAnsi="Times New Roman" w:cs="Times New Roman"/>
        </w:rPr>
        <w:t xml:space="preserve"> — harmonic mean of precision and recall over host calls.</w:t>
      </w:r>
    </w:p>
    <w:p w14:paraId="50B2EFD2"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Runtime</w:t>
      </w:r>
      <w:r w:rsidRPr="00F62B8C">
        <w:rPr>
          <w:rFonts w:ascii="Times New Roman" w:hAnsi="Times New Roman" w:cs="Times New Roman"/>
        </w:rPr>
        <w:t xml:space="preserve"> — wall clock, per sample and for concurrent batches.</w:t>
      </w:r>
    </w:p>
    <w:p w14:paraId="7BA73131" w14:textId="642C19E8"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Peak memory — reported as two quantities: peak resident set size of the largest single process (GNU time), and peak anonymous memory across all processes of the job (cgroup). The second is what determines how many samples can be run concurrently.</w:t>
      </w:r>
    </w:p>
    <w:p w14:paraId="581716D7"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Throughput — samples completed per hour for a whole 120-sample batch.</w:t>
      </w:r>
    </w:p>
    <w:p w14:paraId="08D4217B"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Parallel efficiency — speed-up over the same arm at one worker, divided by the worker count. Speed-up is always computed within an arm, never against another tool.</w:t>
      </w:r>
    </w:p>
    <w:p w14:paraId="4D152A53"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Downstream impact on taxonomic profiles and assemblies was not systematically benchmarked in this study; the real-data evaluation focused on throughput, memory use, and successful completion on a cohort of human oral microbiome samples.</w:t>
      </w:r>
    </w:p>
    <w:p w14:paraId="4005864C" w14:textId="77777777" w:rsidR="00723756" w:rsidRPr="00F62B8C" w:rsidRDefault="00000000" w:rsidP="00F62B8C">
      <w:pPr>
        <w:pStyle w:val="Heading2"/>
        <w:spacing w:before="0" w:after="0" w:line="480" w:lineRule="auto"/>
        <w:rPr>
          <w:rFonts w:ascii="Times New Roman" w:hAnsi="Times New Roman" w:cs="Times New Roman"/>
        </w:rPr>
      </w:pPr>
      <w:bookmarkStart w:id="30" w:name="results"/>
      <w:bookmarkStart w:id="31" w:name="_Toc240055201"/>
      <w:bookmarkEnd w:id="6"/>
      <w:bookmarkEnd w:id="28"/>
      <w:r w:rsidRPr="00F62B8C">
        <w:rPr>
          <w:rFonts w:ascii="Times New Roman" w:hAnsi="Times New Roman" w:cs="Times New Roman"/>
        </w:rPr>
        <w:t>3. Results</w:t>
      </w:r>
      <w:bookmarkEnd w:id="31"/>
    </w:p>
    <w:p w14:paraId="2EFDEAC7" w14:textId="77777777" w:rsidR="00723756" w:rsidRPr="00F62B8C" w:rsidRDefault="00000000" w:rsidP="00F62B8C">
      <w:pPr>
        <w:pStyle w:val="Heading3"/>
        <w:spacing w:before="0" w:after="0" w:line="480" w:lineRule="auto"/>
        <w:rPr>
          <w:rFonts w:ascii="Times New Roman" w:hAnsi="Times New Roman" w:cs="Times New Roman"/>
        </w:rPr>
      </w:pPr>
      <w:bookmarkStart w:id="32" w:name="Xc4caf14786b4c2d82fb92219e9d9bbbcae5502a"/>
      <w:bookmarkStart w:id="33" w:name="_Toc240055202"/>
      <w:r w:rsidRPr="00F62B8C">
        <w:rPr>
          <w:rFonts w:ascii="Times New Roman" w:hAnsi="Times New Roman" w:cs="Times New Roman"/>
        </w:rPr>
        <w:t>3.1 The two depletion strategies fail in opposite directions</w:t>
      </w:r>
      <w:bookmarkEnd w:id="33"/>
    </w:p>
    <w:p w14:paraId="5E248D9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Across the four evaluation datasets the error profiles of the two strategy families separated exactly as reported by Gao et al. (Figure 1, Table 2). KneadData, which depletes by alignment, discarded a mean 2.58% of genuine microbial reads, rising to 3.96% on the lowest-host dataset. </w:t>
      </w:r>
      <w:r w:rsidRPr="00F62B8C">
        <w:rPr>
          <w:rFonts w:ascii="Times New Roman" w:hAnsi="Times New Roman" w:cs="Times New Roman"/>
        </w:rPr>
        <w:lastRenderedPageBreak/>
        <w:t>RustyClean, which depletes by k-mer classification on its high-host path, discarded a mean 0.20% — 13-fold less microbial signal — but retained a mean 0.90% of host reads against 0.26% for KneadData.</w:t>
      </w:r>
    </w:p>
    <w:p w14:paraId="3B59982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Because the two error types are unequal in their downstream consequences, the balanced F1 score obscures this structure: RustyClean and KneadData score 0.9790 and 0.9831 respectively, a difference that conveys nothing about which reads were lost. We therefore report the two error rates separately throughout.</w:t>
      </w:r>
    </w:p>
    <w:p w14:paraId="772EDB0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28E1F1D6" wp14:editId="7F076C24">
            <wp:extent cx="5334000" cy="1723582"/>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_publication_v2/fig1_error_profile.png"/>
                    <pic:cNvPicPr>
                      <a:picLocks noChangeAspect="1" noChangeArrowheads="1"/>
                    </pic:cNvPicPr>
                  </pic:nvPicPr>
                  <pic:blipFill>
                    <a:blip r:embed="rId5"/>
                    <a:stretch>
                      <a:fillRect/>
                    </a:stretch>
                  </pic:blipFill>
                  <pic:spPr bwMode="auto">
                    <a:xfrm>
                      <a:off x="0" y="0"/>
                      <a:ext cx="5334000" cy="1723582"/>
                    </a:xfrm>
                    <a:prstGeom prst="rect">
                      <a:avLst/>
                    </a:prstGeom>
                    <a:noFill/>
                    <a:ln w="9525">
                      <a:noFill/>
                      <a:headEnd/>
                      <a:tailEnd/>
                    </a:ln>
                  </pic:spPr>
                </pic:pic>
              </a:graphicData>
            </a:graphic>
          </wp:inline>
        </w:drawing>
      </w:r>
    </w:p>
    <w:p w14:paraId="5B953A4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1.</w:t>
      </w:r>
      <w:r w:rsidRPr="00F62B8C">
        <w:rPr>
          <w:rFonts w:ascii="Times New Roman" w:hAnsi="Times New Roman" w:cs="Times New Roman"/>
        </w:rPr>
        <w:t xml:space="preserve"> Alignment- and classification-based host depletion fail in opposite directions. (a) Microbial reads incorrectly discarded, an irreversible loss of signal. (b) Host reads incorrectly retained, a recoverable contamination. Depletion is deterministic, so accuracy does not vary between technical replicates; bars show a single evaluation per dataset.</w:t>
      </w:r>
    </w:p>
    <w:p w14:paraId="06E9085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2.</w:t>
      </w:r>
      <w:r w:rsidRPr="00F62B8C">
        <w:rPr>
          <w:rFonts w:ascii="Times New Roman" w:hAnsi="Times New Roman" w:cs="Times New Roman"/>
        </w:rPr>
        <w:t xml:space="preserve"> Host-depletion accuracy. The positive class is a retained microbial read: microbial loss is the proportion of true microbial reads discarded, host carry-over the proportion of true host reads retained.</w:t>
      </w:r>
    </w:p>
    <w:tbl>
      <w:tblPr>
        <w:tblStyle w:val="Table"/>
        <w:tblW w:w="5000" w:type="pct"/>
        <w:tblLayout w:type="fixed"/>
        <w:tblLook w:val="0020" w:firstRow="1" w:lastRow="0" w:firstColumn="0" w:lastColumn="0" w:noHBand="0" w:noVBand="0"/>
      </w:tblPr>
      <w:tblGrid>
        <w:gridCol w:w="1073"/>
        <w:gridCol w:w="1569"/>
        <w:gridCol w:w="1239"/>
        <w:gridCol w:w="991"/>
        <w:gridCol w:w="660"/>
        <w:gridCol w:w="1981"/>
        <w:gridCol w:w="2063"/>
      </w:tblGrid>
      <w:tr w:rsidR="00723756" w:rsidRPr="00F62B8C" w14:paraId="0613A26F"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887" w:type="dxa"/>
          </w:tcPr>
          <w:p w14:paraId="34F0B5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1297" w:type="dxa"/>
          </w:tcPr>
          <w:p w14:paraId="115FE68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Tool</w:t>
            </w:r>
          </w:p>
        </w:tc>
        <w:tc>
          <w:tcPr>
            <w:tcW w:w="1024" w:type="dxa"/>
          </w:tcPr>
          <w:p w14:paraId="271BCB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Precision</w:t>
            </w:r>
          </w:p>
        </w:tc>
        <w:tc>
          <w:tcPr>
            <w:tcW w:w="819" w:type="dxa"/>
          </w:tcPr>
          <w:p w14:paraId="705D638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Recall</w:t>
            </w:r>
          </w:p>
        </w:tc>
        <w:tc>
          <w:tcPr>
            <w:tcW w:w="546" w:type="dxa"/>
          </w:tcPr>
          <w:p w14:paraId="49C0E4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F1</w:t>
            </w:r>
          </w:p>
        </w:tc>
        <w:tc>
          <w:tcPr>
            <w:tcW w:w="1638" w:type="dxa"/>
          </w:tcPr>
          <w:p w14:paraId="081C181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Microbial loss (%)</w:t>
            </w:r>
          </w:p>
        </w:tc>
        <w:tc>
          <w:tcPr>
            <w:tcW w:w="1706" w:type="dxa"/>
          </w:tcPr>
          <w:p w14:paraId="38D608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 carry-over (%)</w:t>
            </w:r>
          </w:p>
        </w:tc>
      </w:tr>
      <w:tr w:rsidR="00723756" w:rsidRPr="00F62B8C" w14:paraId="1EDDA925" w14:textId="77777777">
        <w:tc>
          <w:tcPr>
            <w:tcW w:w="887" w:type="dxa"/>
          </w:tcPr>
          <w:p w14:paraId="3A4B24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1297" w:type="dxa"/>
          </w:tcPr>
          <w:p w14:paraId="6FB811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037850C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819" w:type="dxa"/>
          </w:tcPr>
          <w:p w14:paraId="39BFC32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546" w:type="dxa"/>
          </w:tcPr>
          <w:p w14:paraId="0CAF69D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1638" w:type="dxa"/>
          </w:tcPr>
          <w:p w14:paraId="407D3F4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706" w:type="dxa"/>
          </w:tcPr>
          <w:p w14:paraId="1FF1EB5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0.387</w:t>
            </w:r>
          </w:p>
        </w:tc>
      </w:tr>
      <w:tr w:rsidR="00723756" w:rsidRPr="00F62B8C" w14:paraId="111027C4" w14:textId="77777777">
        <w:tc>
          <w:tcPr>
            <w:tcW w:w="887" w:type="dxa"/>
          </w:tcPr>
          <w:p w14:paraId="38AEA9B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5M / 1%</w:t>
            </w:r>
          </w:p>
        </w:tc>
        <w:tc>
          <w:tcPr>
            <w:tcW w:w="1297" w:type="dxa"/>
          </w:tcPr>
          <w:p w14:paraId="1FB096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547A98F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819" w:type="dxa"/>
          </w:tcPr>
          <w:p w14:paraId="7E4B26C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546" w:type="dxa"/>
          </w:tcPr>
          <w:p w14:paraId="241C75F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1638" w:type="dxa"/>
          </w:tcPr>
          <w:p w14:paraId="72E6695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706" w:type="dxa"/>
          </w:tcPr>
          <w:p w14:paraId="0C64C61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0.686</w:t>
            </w:r>
          </w:p>
        </w:tc>
      </w:tr>
      <w:tr w:rsidR="00723756" w:rsidRPr="00F62B8C" w14:paraId="3DC30BCF" w14:textId="77777777">
        <w:tc>
          <w:tcPr>
            <w:tcW w:w="887" w:type="dxa"/>
          </w:tcPr>
          <w:p w14:paraId="33D241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1297" w:type="dxa"/>
          </w:tcPr>
          <w:p w14:paraId="242D670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7CD65C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819" w:type="dxa"/>
          </w:tcPr>
          <w:p w14:paraId="46AEFAB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0.9604</w:t>
            </w:r>
          </w:p>
        </w:tc>
        <w:tc>
          <w:tcPr>
            <w:tcW w:w="546" w:type="dxa"/>
          </w:tcPr>
          <w:p w14:paraId="41D6426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0.9798</w:t>
            </w:r>
          </w:p>
        </w:tc>
        <w:tc>
          <w:tcPr>
            <w:tcW w:w="1638" w:type="dxa"/>
          </w:tcPr>
          <w:p w14:paraId="53BD910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3.956</w:t>
            </w:r>
          </w:p>
        </w:tc>
        <w:tc>
          <w:tcPr>
            <w:tcW w:w="1706" w:type="dxa"/>
          </w:tcPr>
          <w:p w14:paraId="2A70A05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0.269</w:t>
            </w:r>
          </w:p>
        </w:tc>
      </w:tr>
      <w:tr w:rsidR="00723756" w:rsidRPr="00F62B8C" w14:paraId="2288654C" w14:textId="77777777">
        <w:tc>
          <w:tcPr>
            <w:tcW w:w="887" w:type="dxa"/>
          </w:tcPr>
          <w:p w14:paraId="7EA8C98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297" w:type="dxa"/>
          </w:tcPr>
          <w:p w14:paraId="2C475AB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4870EEA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0.9995</w:t>
            </w:r>
          </w:p>
        </w:tc>
        <w:tc>
          <w:tcPr>
            <w:tcW w:w="819" w:type="dxa"/>
          </w:tcPr>
          <w:p w14:paraId="2F818A3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0.9943</w:t>
            </w:r>
          </w:p>
        </w:tc>
        <w:tc>
          <w:tcPr>
            <w:tcW w:w="546" w:type="dxa"/>
          </w:tcPr>
          <w:p w14:paraId="17A117C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0.9969</w:t>
            </w:r>
          </w:p>
        </w:tc>
        <w:tc>
          <w:tcPr>
            <w:tcW w:w="1638" w:type="dxa"/>
          </w:tcPr>
          <w:p w14:paraId="1A193FE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0.568</w:t>
            </w:r>
          </w:p>
        </w:tc>
        <w:tc>
          <w:tcPr>
            <w:tcW w:w="1706" w:type="dxa"/>
          </w:tcPr>
          <w:p w14:paraId="55B52CE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0.404</w:t>
            </w:r>
          </w:p>
        </w:tc>
      </w:tr>
      <w:tr w:rsidR="00723756" w:rsidRPr="00F62B8C" w14:paraId="25F00274" w14:textId="77777777">
        <w:tc>
          <w:tcPr>
            <w:tcW w:w="887" w:type="dxa"/>
          </w:tcPr>
          <w:p w14:paraId="65A2E41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297" w:type="dxa"/>
          </w:tcPr>
          <w:p w14:paraId="3515D54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21A4974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0.9992</w:t>
            </w:r>
          </w:p>
        </w:tc>
        <w:tc>
          <w:tcPr>
            <w:tcW w:w="819" w:type="dxa"/>
          </w:tcPr>
          <w:p w14:paraId="424B7FD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0.9992</w:t>
            </w:r>
          </w:p>
        </w:tc>
        <w:tc>
          <w:tcPr>
            <w:tcW w:w="546" w:type="dxa"/>
          </w:tcPr>
          <w:p w14:paraId="657526A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0.9992</w:t>
            </w:r>
          </w:p>
        </w:tc>
        <w:tc>
          <w:tcPr>
            <w:tcW w:w="1638" w:type="dxa"/>
          </w:tcPr>
          <w:p w14:paraId="5A5918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0.079</w:t>
            </w:r>
          </w:p>
        </w:tc>
        <w:tc>
          <w:tcPr>
            <w:tcW w:w="1706" w:type="dxa"/>
          </w:tcPr>
          <w:p w14:paraId="27092C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0.674</w:t>
            </w:r>
          </w:p>
        </w:tc>
      </w:tr>
      <w:tr w:rsidR="00723756" w:rsidRPr="00F62B8C" w14:paraId="0242954E" w14:textId="77777777">
        <w:tc>
          <w:tcPr>
            <w:tcW w:w="887" w:type="dxa"/>
          </w:tcPr>
          <w:p w14:paraId="039AE2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297" w:type="dxa"/>
          </w:tcPr>
          <w:p w14:paraId="67F5D13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5C68462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0.9997</w:t>
            </w:r>
          </w:p>
        </w:tc>
        <w:tc>
          <w:tcPr>
            <w:tcW w:w="819" w:type="dxa"/>
          </w:tcPr>
          <w:p w14:paraId="27584D3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0.9721</w:t>
            </w:r>
          </w:p>
        </w:tc>
        <w:tc>
          <w:tcPr>
            <w:tcW w:w="546" w:type="dxa"/>
          </w:tcPr>
          <w:p w14:paraId="0196106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0.9857</w:t>
            </w:r>
          </w:p>
        </w:tc>
        <w:tc>
          <w:tcPr>
            <w:tcW w:w="1638" w:type="dxa"/>
          </w:tcPr>
          <w:p w14:paraId="7500948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2.791</w:t>
            </w:r>
          </w:p>
        </w:tc>
        <w:tc>
          <w:tcPr>
            <w:tcW w:w="1706" w:type="dxa"/>
          </w:tcPr>
          <w:p w14:paraId="324E55E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0.255</w:t>
            </w:r>
          </w:p>
        </w:tc>
      </w:tr>
      <w:tr w:rsidR="00723756" w:rsidRPr="00F62B8C" w14:paraId="65F1CF6E" w14:textId="77777777">
        <w:tc>
          <w:tcPr>
            <w:tcW w:w="887" w:type="dxa"/>
          </w:tcPr>
          <w:p w14:paraId="4F6673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297" w:type="dxa"/>
          </w:tcPr>
          <w:p w14:paraId="286FAED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5F93C23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0.9795</w:t>
            </w:r>
          </w:p>
        </w:tc>
        <w:tc>
          <w:tcPr>
            <w:tcW w:w="819" w:type="dxa"/>
          </w:tcPr>
          <w:p w14:paraId="428F0D8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0.9987</w:t>
            </w:r>
          </w:p>
        </w:tc>
        <w:tc>
          <w:tcPr>
            <w:tcW w:w="546" w:type="dxa"/>
          </w:tcPr>
          <w:p w14:paraId="0506C17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0.9890</w:t>
            </w:r>
          </w:p>
        </w:tc>
        <w:tc>
          <w:tcPr>
            <w:tcW w:w="1638" w:type="dxa"/>
          </w:tcPr>
          <w:p w14:paraId="6F37FE3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0.130</w:t>
            </w:r>
          </w:p>
        </w:tc>
        <w:tc>
          <w:tcPr>
            <w:tcW w:w="1706" w:type="dxa"/>
          </w:tcPr>
          <w:p w14:paraId="522163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1.411</w:t>
            </w:r>
          </w:p>
        </w:tc>
      </w:tr>
      <w:tr w:rsidR="00723756" w:rsidRPr="00F62B8C" w14:paraId="6501366C" w14:textId="77777777">
        <w:tc>
          <w:tcPr>
            <w:tcW w:w="887" w:type="dxa"/>
          </w:tcPr>
          <w:p w14:paraId="08AF8A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297" w:type="dxa"/>
          </w:tcPr>
          <w:p w14:paraId="516D8E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730679E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0.9901</w:t>
            </w:r>
          </w:p>
        </w:tc>
        <w:tc>
          <w:tcPr>
            <w:tcW w:w="819" w:type="dxa"/>
          </w:tcPr>
          <w:p w14:paraId="5A7E851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546" w:type="dxa"/>
          </w:tcPr>
          <w:p w14:paraId="42C430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0.9950</w:t>
            </w:r>
          </w:p>
        </w:tc>
        <w:tc>
          <w:tcPr>
            <w:tcW w:w="1638" w:type="dxa"/>
          </w:tcPr>
          <w:p w14:paraId="7B76152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706" w:type="dxa"/>
          </w:tcPr>
          <w:p w14:paraId="7C15A2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0.676</w:t>
            </w:r>
          </w:p>
        </w:tc>
      </w:tr>
      <w:tr w:rsidR="00723756" w:rsidRPr="00F62B8C" w14:paraId="63C3365B" w14:textId="77777777">
        <w:tc>
          <w:tcPr>
            <w:tcW w:w="887" w:type="dxa"/>
          </w:tcPr>
          <w:p w14:paraId="7A91B93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297" w:type="dxa"/>
          </w:tcPr>
          <w:p w14:paraId="437AF64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5F46DB5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0.9963</w:t>
            </w:r>
          </w:p>
        </w:tc>
        <w:tc>
          <w:tcPr>
            <w:tcW w:w="819" w:type="dxa"/>
          </w:tcPr>
          <w:p w14:paraId="3C59280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0.9858</w:t>
            </w:r>
          </w:p>
        </w:tc>
        <w:tc>
          <w:tcPr>
            <w:tcW w:w="546" w:type="dxa"/>
          </w:tcPr>
          <w:p w14:paraId="4361F18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0.9910</w:t>
            </w:r>
          </w:p>
        </w:tc>
        <w:tc>
          <w:tcPr>
            <w:tcW w:w="1638" w:type="dxa"/>
          </w:tcPr>
          <w:p w14:paraId="1F7AD4F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1.425</w:t>
            </w:r>
          </w:p>
        </w:tc>
        <w:tc>
          <w:tcPr>
            <w:tcW w:w="1706" w:type="dxa"/>
          </w:tcPr>
          <w:p w14:paraId="46486E7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0.250</w:t>
            </w:r>
          </w:p>
        </w:tc>
      </w:tr>
      <w:tr w:rsidR="00723756" w:rsidRPr="00F62B8C" w14:paraId="6DE4B89F" w14:textId="77777777">
        <w:tc>
          <w:tcPr>
            <w:tcW w:w="887" w:type="dxa"/>
          </w:tcPr>
          <w:p w14:paraId="53091A7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1297" w:type="dxa"/>
          </w:tcPr>
          <w:p w14:paraId="1F487C0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3AC9FE1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0.8698</w:t>
            </w:r>
          </w:p>
        </w:tc>
        <w:tc>
          <w:tcPr>
            <w:tcW w:w="819" w:type="dxa"/>
          </w:tcPr>
          <w:p w14:paraId="722690D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0.9989</w:t>
            </w:r>
          </w:p>
        </w:tc>
        <w:tc>
          <w:tcPr>
            <w:tcW w:w="546" w:type="dxa"/>
          </w:tcPr>
          <w:p w14:paraId="4C90C24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0.9299</w:t>
            </w:r>
          </w:p>
        </w:tc>
        <w:tc>
          <w:tcPr>
            <w:tcW w:w="1638" w:type="dxa"/>
          </w:tcPr>
          <w:p w14:paraId="687932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0.110</w:t>
            </w:r>
          </w:p>
        </w:tc>
        <w:tc>
          <w:tcPr>
            <w:tcW w:w="1706" w:type="dxa"/>
          </w:tcPr>
          <w:p w14:paraId="0C95E7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1.407</w:t>
            </w:r>
          </w:p>
        </w:tc>
      </w:tr>
      <w:tr w:rsidR="00723756" w:rsidRPr="00F62B8C" w14:paraId="61CA7F1C" w14:textId="77777777">
        <w:tc>
          <w:tcPr>
            <w:tcW w:w="887" w:type="dxa"/>
          </w:tcPr>
          <w:p w14:paraId="7A8BAC7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1297" w:type="dxa"/>
          </w:tcPr>
          <w:p w14:paraId="5B65137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4FA9D21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0.9331</w:t>
            </w:r>
          </w:p>
        </w:tc>
        <w:tc>
          <w:tcPr>
            <w:tcW w:w="819" w:type="dxa"/>
          </w:tcPr>
          <w:p w14:paraId="40EEA0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0.9996</w:t>
            </w:r>
          </w:p>
        </w:tc>
        <w:tc>
          <w:tcPr>
            <w:tcW w:w="546" w:type="dxa"/>
          </w:tcPr>
          <w:p w14:paraId="1D9861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0.9652</w:t>
            </w:r>
          </w:p>
        </w:tc>
        <w:tc>
          <w:tcPr>
            <w:tcW w:w="1638" w:type="dxa"/>
          </w:tcPr>
          <w:p w14:paraId="79EDB13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0.039</w:t>
            </w:r>
          </w:p>
        </w:tc>
        <w:tc>
          <w:tcPr>
            <w:tcW w:w="1706" w:type="dxa"/>
          </w:tcPr>
          <w:p w14:paraId="2EB49B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0.674</w:t>
            </w:r>
          </w:p>
        </w:tc>
      </w:tr>
      <w:tr w:rsidR="00723756" w:rsidRPr="00F62B8C" w14:paraId="29AB9837" w14:textId="77777777">
        <w:tc>
          <w:tcPr>
            <w:tcW w:w="887" w:type="dxa"/>
          </w:tcPr>
          <w:p w14:paraId="307B3B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60M / </w:t>
            </w:r>
            <w:r w:rsidRPr="00F62B8C">
              <w:rPr>
                <w:rFonts w:ascii="Times New Roman" w:hAnsi="Times New Roman" w:cs="Times New Roman"/>
              </w:rPr>
              <w:lastRenderedPageBreak/>
              <w:t>90%</w:t>
            </w:r>
          </w:p>
        </w:tc>
        <w:tc>
          <w:tcPr>
            <w:tcW w:w="1297" w:type="dxa"/>
          </w:tcPr>
          <w:p w14:paraId="02A1A26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KneadData</w:t>
            </w:r>
          </w:p>
        </w:tc>
        <w:tc>
          <w:tcPr>
            <w:tcW w:w="1024" w:type="dxa"/>
          </w:tcPr>
          <w:p w14:paraId="0DE0ED3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0.9736</w:t>
            </w:r>
          </w:p>
        </w:tc>
        <w:tc>
          <w:tcPr>
            <w:tcW w:w="819" w:type="dxa"/>
          </w:tcPr>
          <w:p w14:paraId="08F8301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0.9785</w:t>
            </w:r>
          </w:p>
        </w:tc>
        <w:tc>
          <w:tcPr>
            <w:tcW w:w="546" w:type="dxa"/>
          </w:tcPr>
          <w:p w14:paraId="345ACC0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w:t>
            </w:r>
            <w:r w:rsidRPr="00F62B8C">
              <w:rPr>
                <w:rFonts w:ascii="Times New Roman" w:hAnsi="Times New Roman" w:cs="Times New Roman"/>
              </w:rPr>
              <w:lastRenderedPageBreak/>
              <w:t>60</w:t>
            </w:r>
          </w:p>
        </w:tc>
        <w:tc>
          <w:tcPr>
            <w:tcW w:w="1638" w:type="dxa"/>
          </w:tcPr>
          <w:p w14:paraId="1A5246A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2.154</w:t>
            </w:r>
          </w:p>
        </w:tc>
        <w:tc>
          <w:tcPr>
            <w:tcW w:w="1706" w:type="dxa"/>
          </w:tcPr>
          <w:p w14:paraId="616CE57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0.250</w:t>
            </w:r>
          </w:p>
        </w:tc>
      </w:tr>
      <w:tr w:rsidR="00723756" w:rsidRPr="00F62B8C" w14:paraId="787307A0" w14:textId="77777777">
        <w:tc>
          <w:tcPr>
            <w:tcW w:w="887" w:type="dxa"/>
          </w:tcPr>
          <w:p w14:paraId="36FB40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Mean</w:t>
            </w:r>
          </w:p>
        </w:tc>
        <w:tc>
          <w:tcPr>
            <w:tcW w:w="1297" w:type="dxa"/>
          </w:tcPr>
          <w:p w14:paraId="5FDC17D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198C398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819" w:type="dxa"/>
          </w:tcPr>
          <w:p w14:paraId="3386B08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546" w:type="dxa"/>
          </w:tcPr>
          <w:p w14:paraId="512EFA6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0.9790</w:t>
            </w:r>
          </w:p>
        </w:tc>
        <w:tc>
          <w:tcPr>
            <w:tcW w:w="1638" w:type="dxa"/>
          </w:tcPr>
          <w:p w14:paraId="1248B5E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0.202</w:t>
            </w:r>
          </w:p>
        </w:tc>
        <w:tc>
          <w:tcPr>
            <w:tcW w:w="1706" w:type="dxa"/>
          </w:tcPr>
          <w:p w14:paraId="0A7653A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0.902</w:t>
            </w:r>
          </w:p>
        </w:tc>
      </w:tr>
      <w:tr w:rsidR="00723756" w:rsidRPr="00F62B8C" w14:paraId="33C8B8A9" w14:textId="77777777">
        <w:tc>
          <w:tcPr>
            <w:tcW w:w="887" w:type="dxa"/>
          </w:tcPr>
          <w:p w14:paraId="6FF8718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Mean</w:t>
            </w:r>
          </w:p>
        </w:tc>
        <w:tc>
          <w:tcPr>
            <w:tcW w:w="1297" w:type="dxa"/>
          </w:tcPr>
          <w:p w14:paraId="2928DB6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1F75ECA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819" w:type="dxa"/>
          </w:tcPr>
          <w:p w14:paraId="0A040A7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546" w:type="dxa"/>
          </w:tcPr>
          <w:p w14:paraId="581294F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0.9899</w:t>
            </w:r>
          </w:p>
        </w:tc>
        <w:tc>
          <w:tcPr>
            <w:tcW w:w="1638" w:type="dxa"/>
          </w:tcPr>
          <w:p w14:paraId="5BE93C0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0.029</w:t>
            </w:r>
          </w:p>
        </w:tc>
        <w:tc>
          <w:tcPr>
            <w:tcW w:w="1706" w:type="dxa"/>
          </w:tcPr>
          <w:p w14:paraId="1DB13E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0.678</w:t>
            </w:r>
          </w:p>
        </w:tc>
      </w:tr>
      <w:tr w:rsidR="00723756" w:rsidRPr="00F62B8C" w14:paraId="23BC0A66" w14:textId="77777777">
        <w:tc>
          <w:tcPr>
            <w:tcW w:w="887" w:type="dxa"/>
          </w:tcPr>
          <w:p w14:paraId="3660F0B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Mean</w:t>
            </w:r>
          </w:p>
        </w:tc>
        <w:tc>
          <w:tcPr>
            <w:tcW w:w="1297" w:type="dxa"/>
          </w:tcPr>
          <w:p w14:paraId="3FFF03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35459EF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819" w:type="dxa"/>
          </w:tcPr>
          <w:p w14:paraId="4AEF5E3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546" w:type="dxa"/>
          </w:tcPr>
          <w:p w14:paraId="5BFE359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0.9831</w:t>
            </w:r>
          </w:p>
        </w:tc>
        <w:tc>
          <w:tcPr>
            <w:tcW w:w="1638" w:type="dxa"/>
          </w:tcPr>
          <w:p w14:paraId="425A41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2.582</w:t>
            </w:r>
          </w:p>
        </w:tc>
        <w:tc>
          <w:tcPr>
            <w:tcW w:w="1706" w:type="dxa"/>
          </w:tcPr>
          <w:p w14:paraId="1B83A0C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0.256</w:t>
            </w:r>
          </w:p>
        </w:tc>
      </w:tr>
    </w:tbl>
    <w:p w14:paraId="7FE7BA8D" w14:textId="77777777" w:rsidR="00723756" w:rsidRPr="00F62B8C" w:rsidRDefault="00000000" w:rsidP="00F62B8C">
      <w:pPr>
        <w:pStyle w:val="Heading3"/>
        <w:spacing w:before="0" w:after="0" w:line="480" w:lineRule="auto"/>
        <w:rPr>
          <w:rFonts w:ascii="Times New Roman" w:hAnsi="Times New Roman" w:cs="Times New Roman"/>
        </w:rPr>
      </w:pPr>
      <w:bookmarkStart w:id="34" w:name="X766320909ac121c0b6cf9f18fe65e8251c2c4ef"/>
      <w:bookmarkStart w:id="35" w:name="_Toc240055203"/>
      <w:bookmarkEnd w:id="32"/>
      <w:r w:rsidRPr="00F62B8C">
        <w:rPr>
          <w:rFonts w:ascii="Times New Roman" w:hAnsi="Times New Roman" w:cs="Times New Roman"/>
        </w:rPr>
        <w:t>3.2 Per-sample routing selects the appropriate backend</w:t>
      </w:r>
      <w:bookmarkEnd w:id="35"/>
    </w:p>
    <w:p w14:paraId="77ECA8B5"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Host fraction estimated from a 100,000-read subsample tracked the realised fraction closely on three of four datasets: 0.93% against 0.95% realised, and 10.13% against 10.02%. On the skewed 30M dataset the estimator underestimated by 10.8 percentage points (48.95% against 59.73%), reflecting the difficulty of estimating composition from a small subsample of a highly uneven community. Routing was nevertheless correct in all four cases, because the decision requires only that the estimate fall on the correct side of a threshold rather than that it be accurate. This tolerance is a deliberate property of the design.</w:t>
      </w:r>
    </w:p>
    <w:p w14:paraId="4D1120C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Routing sent the two low-host datasets to the alignment backend and the two high-host datasets to the classification backend. Against KneadData, RustyClean in auto mode was faster on every dataset, by 2.5× to 4.6× (Table 3), with the largest margin at the highest host fraction — the regime in which alignment-based depletion is most expensive.</w:t>
      </w:r>
    </w:p>
    <w:p w14:paraId="2522C02B"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3.</w:t>
      </w:r>
      <w:r w:rsidRPr="00F62B8C">
        <w:rPr>
          <w:rFonts w:ascii="Times New Roman" w:hAnsi="Times New Roman" w:cs="Times New Roman"/>
        </w:rPr>
        <w:t xml:space="preserve"> Runtime and peak memory. RC, RustyClean in auto mode; KD, KneadData. The Hostile comparison is run with quality control skipped on both sides (RC⁻ᵠᶜ) so that only the </w:t>
      </w:r>
      <w:r w:rsidRPr="00F62B8C">
        <w:rPr>
          <w:rFonts w:ascii="Times New Roman" w:hAnsi="Times New Roman" w:cs="Times New Roman"/>
        </w:rPr>
        <w:lastRenderedPageBreak/>
        <w:t>depletion step is timed. Peak memory is the maximum resident set size of the largest single process.</w:t>
      </w:r>
    </w:p>
    <w:tbl>
      <w:tblPr>
        <w:tblStyle w:val="Table"/>
        <w:tblW w:w="5000" w:type="pct"/>
        <w:tblLayout w:type="fixed"/>
        <w:tblLook w:val="0020" w:firstRow="1" w:lastRow="0" w:firstColumn="0" w:lastColumn="0" w:noHBand="0" w:noVBand="0"/>
      </w:tblPr>
      <w:tblGrid>
        <w:gridCol w:w="769"/>
        <w:gridCol w:w="768"/>
        <w:gridCol w:w="1123"/>
        <w:gridCol w:w="709"/>
        <w:gridCol w:w="709"/>
        <w:gridCol w:w="650"/>
        <w:gridCol w:w="887"/>
        <w:gridCol w:w="1005"/>
        <w:gridCol w:w="946"/>
        <w:gridCol w:w="1005"/>
        <w:gridCol w:w="1005"/>
      </w:tblGrid>
      <w:tr w:rsidR="00723756" w:rsidRPr="00F62B8C" w14:paraId="5FAE7054"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635" w:type="dxa"/>
          </w:tcPr>
          <w:p w14:paraId="4132F79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635" w:type="dxa"/>
          </w:tcPr>
          <w:p w14:paraId="5B51C1C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Backend</w:t>
            </w:r>
          </w:p>
        </w:tc>
        <w:tc>
          <w:tcPr>
            <w:tcW w:w="928" w:type="dxa"/>
          </w:tcPr>
          <w:p w14:paraId="6A850D7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Est. host (%)</w:t>
            </w:r>
          </w:p>
        </w:tc>
        <w:tc>
          <w:tcPr>
            <w:tcW w:w="586" w:type="dxa"/>
          </w:tcPr>
          <w:p w14:paraId="0D639F2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RC (s)</w:t>
            </w:r>
          </w:p>
        </w:tc>
        <w:tc>
          <w:tcPr>
            <w:tcW w:w="586" w:type="dxa"/>
          </w:tcPr>
          <w:p w14:paraId="41DE334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KD (s)</w:t>
            </w:r>
          </w:p>
        </w:tc>
        <w:tc>
          <w:tcPr>
            <w:tcW w:w="537" w:type="dxa"/>
          </w:tcPr>
          <w:p w14:paraId="0460F70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vs KD</w:t>
            </w:r>
          </w:p>
        </w:tc>
        <w:tc>
          <w:tcPr>
            <w:tcW w:w="733" w:type="dxa"/>
          </w:tcPr>
          <w:p w14:paraId="16F21D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RC⁻ᵠᶜ (s)</w:t>
            </w:r>
          </w:p>
        </w:tc>
        <w:tc>
          <w:tcPr>
            <w:tcW w:w="831" w:type="dxa"/>
          </w:tcPr>
          <w:p w14:paraId="616F877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Hostile (s)</w:t>
            </w:r>
          </w:p>
        </w:tc>
        <w:tc>
          <w:tcPr>
            <w:tcW w:w="782" w:type="dxa"/>
          </w:tcPr>
          <w:p w14:paraId="0EACA93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vs Hostile</w:t>
            </w:r>
          </w:p>
        </w:tc>
        <w:tc>
          <w:tcPr>
            <w:tcW w:w="831" w:type="dxa"/>
          </w:tcPr>
          <w:p w14:paraId="10E4535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RC mem (GB)</w:t>
            </w:r>
          </w:p>
        </w:tc>
        <w:tc>
          <w:tcPr>
            <w:tcW w:w="831" w:type="dxa"/>
          </w:tcPr>
          <w:p w14:paraId="225CDD9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KD mem (GB)</w:t>
            </w:r>
          </w:p>
        </w:tc>
      </w:tr>
      <w:tr w:rsidR="00723756" w:rsidRPr="00F62B8C" w14:paraId="69D90324" w14:textId="77777777">
        <w:tc>
          <w:tcPr>
            <w:tcW w:w="635" w:type="dxa"/>
          </w:tcPr>
          <w:p w14:paraId="42182B5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35" w:type="dxa"/>
          </w:tcPr>
          <w:p w14:paraId="3444A1B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928" w:type="dxa"/>
          </w:tcPr>
          <w:p w14:paraId="47FCF14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0.93</w:t>
            </w:r>
          </w:p>
        </w:tc>
        <w:tc>
          <w:tcPr>
            <w:tcW w:w="586" w:type="dxa"/>
          </w:tcPr>
          <w:p w14:paraId="4DC0032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170</w:t>
            </w:r>
          </w:p>
        </w:tc>
        <w:tc>
          <w:tcPr>
            <w:tcW w:w="586" w:type="dxa"/>
          </w:tcPr>
          <w:p w14:paraId="5A47013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420</w:t>
            </w:r>
          </w:p>
        </w:tc>
        <w:tc>
          <w:tcPr>
            <w:tcW w:w="537" w:type="dxa"/>
          </w:tcPr>
          <w:p w14:paraId="7107287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2.47×</w:t>
            </w:r>
          </w:p>
        </w:tc>
        <w:tc>
          <w:tcPr>
            <w:tcW w:w="733" w:type="dxa"/>
          </w:tcPr>
          <w:p w14:paraId="3AA977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106</w:t>
            </w:r>
          </w:p>
        </w:tc>
        <w:tc>
          <w:tcPr>
            <w:tcW w:w="831" w:type="dxa"/>
          </w:tcPr>
          <w:p w14:paraId="126735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110</w:t>
            </w:r>
          </w:p>
        </w:tc>
        <w:tc>
          <w:tcPr>
            <w:tcW w:w="782" w:type="dxa"/>
          </w:tcPr>
          <w:p w14:paraId="1C7ED9F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1.04×</w:t>
            </w:r>
          </w:p>
        </w:tc>
        <w:tc>
          <w:tcPr>
            <w:tcW w:w="831" w:type="dxa"/>
          </w:tcPr>
          <w:p w14:paraId="497B92F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3.3</w:t>
            </w:r>
          </w:p>
        </w:tc>
        <w:tc>
          <w:tcPr>
            <w:tcW w:w="831" w:type="dxa"/>
          </w:tcPr>
          <w:p w14:paraId="24C30D1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r w:rsidR="00723756" w:rsidRPr="00F62B8C" w14:paraId="0312AE89" w14:textId="77777777">
        <w:tc>
          <w:tcPr>
            <w:tcW w:w="635" w:type="dxa"/>
          </w:tcPr>
          <w:p w14:paraId="455A5E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35" w:type="dxa"/>
          </w:tcPr>
          <w:p w14:paraId="36DDFBB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928" w:type="dxa"/>
          </w:tcPr>
          <w:p w14:paraId="7D0D6B3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10.13</w:t>
            </w:r>
          </w:p>
        </w:tc>
        <w:tc>
          <w:tcPr>
            <w:tcW w:w="586" w:type="dxa"/>
          </w:tcPr>
          <w:p w14:paraId="06D847B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189</w:t>
            </w:r>
          </w:p>
        </w:tc>
        <w:tc>
          <w:tcPr>
            <w:tcW w:w="586" w:type="dxa"/>
          </w:tcPr>
          <w:p w14:paraId="3243629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694</w:t>
            </w:r>
          </w:p>
        </w:tc>
        <w:tc>
          <w:tcPr>
            <w:tcW w:w="537" w:type="dxa"/>
          </w:tcPr>
          <w:p w14:paraId="5E29F60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3.68×</w:t>
            </w:r>
          </w:p>
        </w:tc>
        <w:tc>
          <w:tcPr>
            <w:tcW w:w="733" w:type="dxa"/>
          </w:tcPr>
          <w:p w14:paraId="0AD117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116</w:t>
            </w:r>
          </w:p>
        </w:tc>
        <w:tc>
          <w:tcPr>
            <w:tcW w:w="831" w:type="dxa"/>
          </w:tcPr>
          <w:p w14:paraId="1275095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212</w:t>
            </w:r>
          </w:p>
        </w:tc>
        <w:tc>
          <w:tcPr>
            <w:tcW w:w="782" w:type="dxa"/>
          </w:tcPr>
          <w:p w14:paraId="2EF4902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1.83×</w:t>
            </w:r>
          </w:p>
        </w:tc>
        <w:tc>
          <w:tcPr>
            <w:tcW w:w="831" w:type="dxa"/>
          </w:tcPr>
          <w:p w14:paraId="774ABC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3.3</w:t>
            </w:r>
          </w:p>
        </w:tc>
        <w:tc>
          <w:tcPr>
            <w:tcW w:w="831" w:type="dxa"/>
          </w:tcPr>
          <w:p w14:paraId="091EF11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r w:rsidR="00723756" w:rsidRPr="00F62B8C" w14:paraId="39BA97A7" w14:textId="77777777">
        <w:tc>
          <w:tcPr>
            <w:tcW w:w="635" w:type="dxa"/>
          </w:tcPr>
          <w:p w14:paraId="7EBE68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635" w:type="dxa"/>
          </w:tcPr>
          <w:p w14:paraId="69B53E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kraken2</w:t>
            </w:r>
          </w:p>
        </w:tc>
        <w:tc>
          <w:tcPr>
            <w:tcW w:w="928" w:type="dxa"/>
          </w:tcPr>
          <w:p w14:paraId="693CD85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48.95</w:t>
            </w:r>
          </w:p>
        </w:tc>
        <w:tc>
          <w:tcPr>
            <w:tcW w:w="586" w:type="dxa"/>
          </w:tcPr>
          <w:p w14:paraId="5E44D9F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815</w:t>
            </w:r>
          </w:p>
        </w:tc>
        <w:tc>
          <w:tcPr>
            <w:tcW w:w="586" w:type="dxa"/>
          </w:tcPr>
          <w:p w14:paraId="126BFBA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2317</w:t>
            </w:r>
          </w:p>
        </w:tc>
        <w:tc>
          <w:tcPr>
            <w:tcW w:w="537" w:type="dxa"/>
          </w:tcPr>
          <w:p w14:paraId="53A224B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2.84×</w:t>
            </w:r>
          </w:p>
        </w:tc>
        <w:tc>
          <w:tcPr>
            <w:tcW w:w="733" w:type="dxa"/>
          </w:tcPr>
          <w:p w14:paraId="0E673B4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552</w:t>
            </w:r>
          </w:p>
        </w:tc>
        <w:tc>
          <w:tcPr>
            <w:tcW w:w="831" w:type="dxa"/>
          </w:tcPr>
          <w:p w14:paraId="295AC30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2385</w:t>
            </w:r>
          </w:p>
        </w:tc>
        <w:tc>
          <w:tcPr>
            <w:tcW w:w="782" w:type="dxa"/>
          </w:tcPr>
          <w:p w14:paraId="19F7C28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4.32×</w:t>
            </w:r>
          </w:p>
        </w:tc>
        <w:tc>
          <w:tcPr>
            <w:tcW w:w="831" w:type="dxa"/>
          </w:tcPr>
          <w:p w14:paraId="50EE5B4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15.4</w:t>
            </w:r>
          </w:p>
        </w:tc>
        <w:tc>
          <w:tcPr>
            <w:tcW w:w="831" w:type="dxa"/>
          </w:tcPr>
          <w:p w14:paraId="632FBEE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r w:rsidR="00723756" w:rsidRPr="00F62B8C" w14:paraId="116C6E6D" w14:textId="77777777">
        <w:tc>
          <w:tcPr>
            <w:tcW w:w="635" w:type="dxa"/>
          </w:tcPr>
          <w:p w14:paraId="4658BA4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35" w:type="dxa"/>
          </w:tcPr>
          <w:p w14:paraId="54F03DF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kraken2</w:t>
            </w:r>
          </w:p>
        </w:tc>
        <w:tc>
          <w:tcPr>
            <w:tcW w:w="928" w:type="dxa"/>
          </w:tcPr>
          <w:p w14:paraId="1F8621B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89.43</w:t>
            </w:r>
          </w:p>
        </w:tc>
        <w:tc>
          <w:tcPr>
            <w:tcW w:w="586" w:type="dxa"/>
          </w:tcPr>
          <w:p w14:paraId="77C771E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1470</w:t>
            </w:r>
          </w:p>
        </w:tc>
        <w:tc>
          <w:tcPr>
            <w:tcW w:w="586" w:type="dxa"/>
          </w:tcPr>
          <w:p w14:paraId="39693BE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6822</w:t>
            </w:r>
          </w:p>
        </w:tc>
        <w:tc>
          <w:tcPr>
            <w:tcW w:w="537" w:type="dxa"/>
          </w:tcPr>
          <w:p w14:paraId="152CD5E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4.64×</w:t>
            </w:r>
          </w:p>
        </w:tc>
        <w:tc>
          <w:tcPr>
            <w:tcW w:w="733" w:type="dxa"/>
          </w:tcPr>
          <w:p w14:paraId="7417D55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858</w:t>
            </w:r>
          </w:p>
        </w:tc>
        <w:tc>
          <w:tcPr>
            <w:tcW w:w="831" w:type="dxa"/>
          </w:tcPr>
          <w:p w14:paraId="5160483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4241</w:t>
            </w:r>
          </w:p>
        </w:tc>
        <w:tc>
          <w:tcPr>
            <w:tcW w:w="782" w:type="dxa"/>
          </w:tcPr>
          <w:p w14:paraId="75BE54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4.94×</w:t>
            </w:r>
          </w:p>
        </w:tc>
        <w:tc>
          <w:tcPr>
            <w:tcW w:w="831" w:type="dxa"/>
          </w:tcPr>
          <w:p w14:paraId="21C402C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15.4</w:t>
            </w:r>
          </w:p>
        </w:tc>
        <w:tc>
          <w:tcPr>
            <w:tcW w:w="831" w:type="dxa"/>
          </w:tcPr>
          <w:p w14:paraId="77ABB5D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bl>
    <w:p w14:paraId="07D4F33D" w14:textId="77777777" w:rsidR="00723756" w:rsidRPr="00F62B8C" w:rsidRDefault="00000000" w:rsidP="00F62B8C">
      <w:pPr>
        <w:pStyle w:val="Heading3"/>
        <w:spacing w:before="0" w:after="0" w:line="480" w:lineRule="auto"/>
        <w:rPr>
          <w:rFonts w:ascii="Times New Roman" w:hAnsi="Times New Roman" w:cs="Times New Roman"/>
        </w:rPr>
      </w:pPr>
      <w:bookmarkStart w:id="36" w:name="Xd105d91de94b2eab2f23e668ba816a7adf5294e"/>
      <w:bookmarkStart w:id="37" w:name="_Toc240055204"/>
      <w:bookmarkEnd w:id="34"/>
      <w:r w:rsidRPr="00F62B8C">
        <w:rPr>
          <w:rFonts w:ascii="Times New Roman" w:hAnsi="Times New Roman" w:cs="Times New Roman"/>
        </w:rPr>
        <w:t>3.3 A targeted verification pass resolves the residual-host trade-off</w:t>
      </w:r>
      <w:bookmarkEnd w:id="37"/>
    </w:p>
    <w:p w14:paraId="0F842203"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verification pass is enabled by default on the classification path, so the comparison below isolates its contribution against a classification-only baseline. Aligning the reads retained by Kraken2 against the host index and removing those that align reduced host carry-over from a mean 1.409% to 0.0715% — a 19.7-fold reduction, and remarkably consistent across datasets. Microbial loss rose from 0.115% to 0.399%, which remains 6.5-fold below KneadData. The pass </w:t>
      </w:r>
      <w:r w:rsidRPr="00F62B8C">
        <w:rPr>
          <w:rFonts w:ascii="Times New Roman" w:hAnsi="Times New Roman" w:cs="Times New Roman"/>
        </w:rPr>
        <w:lastRenderedPageBreak/>
        <w:t>is therefore not a simple trade of one error for the other: it removes roughly twenty times more residual host than the microbial signal it costs.</w:t>
      </w:r>
    </w:p>
    <w:p w14:paraId="5B197F1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effect is largest exactly where the baseline was weakest. On the two 90%-host datasets, F1 rose from 0.9299 to 0.9942 and from 0.9299 to 0.9943. Mean runtime cost was 6.7%, consistent with the design expectation that the verification set is small precisely when host content is high; peak memory was unchanged.</w:t>
      </w:r>
    </w:p>
    <w:p w14:paraId="7C2C8EEE" w14:textId="77777777" w:rsidR="00723756" w:rsidRPr="00F62B8C" w:rsidRDefault="00000000" w:rsidP="00F62B8C">
      <w:pPr>
        <w:pStyle w:val="Heading3"/>
        <w:spacing w:before="0" w:after="0" w:line="480" w:lineRule="auto"/>
        <w:rPr>
          <w:rFonts w:ascii="Times New Roman" w:hAnsi="Times New Roman" w:cs="Times New Roman"/>
        </w:rPr>
      </w:pPr>
      <w:bookmarkStart w:id="38" w:name="comparison-with-hostile"/>
      <w:bookmarkStart w:id="39" w:name="_Toc240055205"/>
      <w:bookmarkEnd w:id="36"/>
      <w:r w:rsidRPr="00F62B8C">
        <w:rPr>
          <w:rFonts w:ascii="Times New Roman" w:hAnsi="Times New Roman" w:cs="Times New Roman"/>
        </w:rPr>
        <w:t>3.4 Comparison with Hostile</w:t>
      </w:r>
      <w:bookmarkEnd w:id="39"/>
    </w:p>
    <w:p w14:paraId="547445E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Hostile, a purpose-built host-depletion tool, is a stronger accuracy baseline than KneadData and the more informative comparison. We therefore re-ran RustyClean, Hostile and KneadData on a matched panel of four single-end datasets (30 M and 60 M reads at 50–90% host, and 100 M reads at 50% and 90% host). RustyClean used its default auto mode with </w:t>
      </w:r>
      <w:r w:rsidRPr="00F62B8C">
        <w:rPr>
          <w:rStyle w:val="VerbatimChar"/>
          <w:rFonts w:ascii="Times New Roman" w:hAnsi="Times New Roman" w:cs="Times New Roman"/>
        </w:rPr>
        <w:t>--skip-qc</w:t>
      </w:r>
      <w:r w:rsidRPr="00F62B8C">
        <w:rPr>
          <w:rFonts w:ascii="Times New Roman" w:hAnsi="Times New Roman" w:cs="Times New Roman"/>
        </w:rPr>
        <w:t xml:space="preserve"> so that the comparison with Hostile is head-to-head on the host-removal step. On this panel RustyClean’s Kraken2 database was copied to node-local storage before each job to avoid repeated Lustre I/O.</w:t>
      </w:r>
    </w:p>
    <w:p w14:paraId="0BAAC27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5ACC9344" wp14:editId="753A9102">
            <wp:extent cx="5334000" cy="1853338"/>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s_publication_v2/fig2_matched_panel.png"/>
                    <pic:cNvPicPr>
                      <a:picLocks noChangeAspect="1" noChangeArrowheads="1"/>
                    </pic:cNvPicPr>
                  </pic:nvPicPr>
                  <pic:blipFill>
                    <a:blip r:embed="rId6"/>
                    <a:stretch>
                      <a:fillRect/>
                    </a:stretch>
                  </pic:blipFill>
                  <pic:spPr bwMode="auto">
                    <a:xfrm>
                      <a:off x="0" y="0"/>
                      <a:ext cx="5334000" cy="1853338"/>
                    </a:xfrm>
                    <a:prstGeom prst="rect">
                      <a:avLst/>
                    </a:prstGeom>
                    <a:noFill/>
                    <a:ln w="9525">
                      <a:noFill/>
                      <a:headEnd/>
                      <a:tailEnd/>
                    </a:ln>
                  </pic:spPr>
                </pic:pic>
              </a:graphicData>
            </a:graphic>
          </wp:inline>
        </w:drawing>
      </w:r>
    </w:p>
    <w:p w14:paraId="30F2A892"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2.</w:t>
      </w:r>
      <w:r w:rsidRPr="00F62B8C">
        <w:rPr>
          <w:rFonts w:ascii="Times New Roman" w:hAnsi="Times New Roman" w:cs="Times New Roman"/>
        </w:rPr>
        <w:t xml:space="preserve"> Matched-panel runtime and memory comparison. (a) Host-depletion runtime on four single-end simulated datasets (30–100 M reads, 50–90% host). RustyClean was run with </w:t>
      </w:r>
      <w:r w:rsidRPr="00F62B8C">
        <w:rPr>
          <w:rStyle w:val="VerbatimChar"/>
          <w:rFonts w:ascii="Times New Roman" w:hAnsi="Times New Roman" w:cs="Times New Roman"/>
        </w:rPr>
        <w:t>--skip-qc</w:t>
      </w:r>
      <w:r w:rsidRPr="00F62B8C">
        <w:rPr>
          <w:rFonts w:ascii="Times New Roman" w:hAnsi="Times New Roman" w:cs="Times New Roman"/>
        </w:rPr>
        <w:t xml:space="preserve"> so that only the depletion step is timed; error bars show standard deviation across three technical replicates. (b) Peak resident set size of the largest single process.</w:t>
      </w:r>
    </w:p>
    <w:p w14:paraId="6839A70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Accuracy on the 100 M subset was high for all three tools and the rankings were consistent with the earlier two-dataset comparison (Table 4). Hostile achieved the highest F1 (0.9989–0.9991), followed by RustyClean (0.9970–0.9950) and KneadData (0.9872–0.9778). The gap between RustyClean and Hostile remained small (ΔF1 ≈ 0.0019 at 50% host, ΔF1 ≈ 0.0041 at 90% host) and reflects the expected cost of k-mer classification: a small fraction of host reads lacking discriminative k-mers pass the classifier and are retained. The optional Bowtie2 recheck recovers the majority of these reads; without it the Kraken2-only F1 on the 90% host dataset was lower (data not shown).</w:t>
      </w:r>
    </w:p>
    <w:p w14:paraId="06C8B386"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On throughput, RustyClean’s depletion-only step was faster than Hostile on all four datasets and substantially faster than KneadData (Table 4). The speed advantage was largest on the 100 M datasets (1.7–1.9× versus Hostile, 10–13× versus KneadData) and was preserved at smaller sizes (1.3× versus Hostile on the 30 M dataset). With QC included, RustyClean remained 5.7–6.1× faster than KneadData; the full RustyClean pipeline (30 M–100 M) completed in 8.9–27.3 min on this panel.</w:t>
      </w:r>
    </w:p>
    <w:p w14:paraId="5C9BCD3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4.</w:t>
      </w:r>
      <w:r w:rsidRPr="00F62B8C">
        <w:rPr>
          <w:rFonts w:ascii="Times New Roman" w:hAnsi="Times New Roman" w:cs="Times New Roman"/>
        </w:rPr>
        <w:t xml:space="preserve"> Matched-panel comparison on four single-end simulated datasets. RC = RustyClean auto mode with Kraken2 + Bowtie2 recheck for high-host samples and Bowtie2 for low-host samples (</w:t>
      </w:r>
      <w:r w:rsidRPr="00F62B8C">
        <w:rPr>
          <w:rStyle w:val="VerbatimChar"/>
          <w:rFonts w:ascii="Times New Roman" w:hAnsi="Times New Roman" w:cs="Times New Roman"/>
        </w:rPr>
        <w:t>--skip-qc</w:t>
      </w:r>
      <w:r w:rsidRPr="00F62B8C">
        <w:rPr>
          <w:rFonts w:ascii="Times New Roman" w:hAnsi="Times New Roman" w:cs="Times New Roman"/>
        </w:rPr>
        <w:t>, depletion only, Kraken2 database on node-local storage); Hostile = default T2T+HLA Bowtie2 index; KD = KneadData with T2T Bowtie2 index. F1 is shown for the 100 M subset where Hostile accuracy was measured; for the 30 M and 60 M datasets only RustyClean F1 is reported. Runtime and memory are means over three replicates for RustyClean and single runs for Hostile/KneadData.</w:t>
      </w:r>
    </w:p>
    <w:tbl>
      <w:tblPr>
        <w:tblStyle w:val="Table"/>
        <w:tblW w:w="5000" w:type="pct"/>
        <w:tblLayout w:type="fixed"/>
        <w:tblLook w:val="0020" w:firstRow="1" w:lastRow="0" w:firstColumn="0" w:lastColumn="0" w:noHBand="0" w:noVBand="0"/>
      </w:tblPr>
      <w:tblGrid>
        <w:gridCol w:w="1368"/>
        <w:gridCol w:w="1052"/>
        <w:gridCol w:w="842"/>
        <w:gridCol w:w="1999"/>
        <w:gridCol w:w="1789"/>
        <w:gridCol w:w="2526"/>
      </w:tblGrid>
      <w:tr w:rsidR="00723756" w:rsidRPr="00F62B8C" w14:paraId="640DF3AF"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131" w:type="dxa"/>
          </w:tcPr>
          <w:p w14:paraId="601C469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870" w:type="dxa"/>
          </w:tcPr>
          <w:p w14:paraId="37CBFA2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Tool</w:t>
            </w:r>
          </w:p>
        </w:tc>
        <w:tc>
          <w:tcPr>
            <w:tcW w:w="696" w:type="dxa"/>
          </w:tcPr>
          <w:p w14:paraId="2747621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F1</w:t>
            </w:r>
          </w:p>
        </w:tc>
        <w:tc>
          <w:tcPr>
            <w:tcW w:w="1653" w:type="dxa"/>
          </w:tcPr>
          <w:p w14:paraId="788BA6C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Runtime (min)</w:t>
            </w:r>
          </w:p>
        </w:tc>
        <w:tc>
          <w:tcPr>
            <w:tcW w:w="1479" w:type="dxa"/>
          </w:tcPr>
          <w:p w14:paraId="208951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Memory (GB)</w:t>
            </w:r>
          </w:p>
        </w:tc>
        <w:tc>
          <w:tcPr>
            <w:tcW w:w="2088" w:type="dxa"/>
          </w:tcPr>
          <w:p w14:paraId="4F073F2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vs Hostile runtime</w:t>
            </w:r>
          </w:p>
        </w:tc>
      </w:tr>
      <w:tr w:rsidR="00723756" w:rsidRPr="00F62B8C" w14:paraId="1E950555" w14:textId="77777777">
        <w:tc>
          <w:tcPr>
            <w:tcW w:w="1131" w:type="dxa"/>
          </w:tcPr>
          <w:p w14:paraId="064A75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870" w:type="dxa"/>
          </w:tcPr>
          <w:p w14:paraId="719776D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5AB7301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0.997</w:t>
            </w:r>
            <w:r w:rsidRPr="00F62B8C">
              <w:rPr>
                <w:rFonts w:ascii="Times New Roman" w:hAnsi="Times New Roman" w:cs="Times New Roman"/>
              </w:rPr>
              <w:lastRenderedPageBreak/>
              <w:t>0</w:t>
            </w:r>
          </w:p>
        </w:tc>
        <w:tc>
          <w:tcPr>
            <w:tcW w:w="1653" w:type="dxa"/>
          </w:tcPr>
          <w:p w14:paraId="40BC79F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4.5</w:t>
            </w:r>
          </w:p>
        </w:tc>
        <w:tc>
          <w:tcPr>
            <w:tcW w:w="1479" w:type="dxa"/>
          </w:tcPr>
          <w:p w14:paraId="199F8E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15.5</w:t>
            </w:r>
          </w:p>
        </w:tc>
        <w:tc>
          <w:tcPr>
            <w:tcW w:w="2088" w:type="dxa"/>
          </w:tcPr>
          <w:p w14:paraId="191D92C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1.30× faster</w:t>
            </w:r>
          </w:p>
        </w:tc>
      </w:tr>
      <w:tr w:rsidR="00723756" w:rsidRPr="00F62B8C" w14:paraId="056C4B15" w14:textId="77777777">
        <w:tc>
          <w:tcPr>
            <w:tcW w:w="1131" w:type="dxa"/>
          </w:tcPr>
          <w:p w14:paraId="55FA5F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870" w:type="dxa"/>
          </w:tcPr>
          <w:p w14:paraId="0127DE0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717C809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505DEB7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5.8</w:t>
            </w:r>
          </w:p>
        </w:tc>
        <w:tc>
          <w:tcPr>
            <w:tcW w:w="1479" w:type="dxa"/>
          </w:tcPr>
          <w:p w14:paraId="3E1FD6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666680E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0A9DEAB4" w14:textId="77777777">
        <w:tc>
          <w:tcPr>
            <w:tcW w:w="1131" w:type="dxa"/>
          </w:tcPr>
          <w:p w14:paraId="26890F5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870" w:type="dxa"/>
          </w:tcPr>
          <w:p w14:paraId="731E449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6B3B03D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5210246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38.0</w:t>
            </w:r>
          </w:p>
        </w:tc>
        <w:tc>
          <w:tcPr>
            <w:tcW w:w="1479" w:type="dxa"/>
          </w:tcPr>
          <w:p w14:paraId="50516BA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5E9B65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6.55× slower</w:t>
            </w:r>
          </w:p>
        </w:tc>
      </w:tr>
      <w:tr w:rsidR="00723756" w:rsidRPr="00F62B8C" w14:paraId="3F67692E" w14:textId="77777777">
        <w:tc>
          <w:tcPr>
            <w:tcW w:w="1131" w:type="dxa"/>
          </w:tcPr>
          <w:p w14:paraId="6741C4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870" w:type="dxa"/>
          </w:tcPr>
          <w:p w14:paraId="6128866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6AB9F12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0.9951</w:t>
            </w:r>
          </w:p>
        </w:tc>
        <w:tc>
          <w:tcPr>
            <w:tcW w:w="1653" w:type="dxa"/>
          </w:tcPr>
          <w:p w14:paraId="7A64E15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8.2</w:t>
            </w:r>
          </w:p>
        </w:tc>
        <w:tc>
          <w:tcPr>
            <w:tcW w:w="1479" w:type="dxa"/>
          </w:tcPr>
          <w:p w14:paraId="0B25E30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15.5</w:t>
            </w:r>
          </w:p>
        </w:tc>
        <w:tc>
          <w:tcPr>
            <w:tcW w:w="2088" w:type="dxa"/>
          </w:tcPr>
          <w:p w14:paraId="4784741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1.45× faster</w:t>
            </w:r>
          </w:p>
        </w:tc>
      </w:tr>
      <w:tr w:rsidR="00723756" w:rsidRPr="00F62B8C" w14:paraId="19734EDA" w14:textId="77777777">
        <w:tc>
          <w:tcPr>
            <w:tcW w:w="1131" w:type="dxa"/>
          </w:tcPr>
          <w:p w14:paraId="7D3AF21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870" w:type="dxa"/>
          </w:tcPr>
          <w:p w14:paraId="596610C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3B9F8E5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73259CB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11.9</w:t>
            </w:r>
          </w:p>
        </w:tc>
        <w:tc>
          <w:tcPr>
            <w:tcW w:w="1479" w:type="dxa"/>
          </w:tcPr>
          <w:p w14:paraId="04F9056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6050DE7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1C91A544" w14:textId="77777777">
        <w:tc>
          <w:tcPr>
            <w:tcW w:w="1131" w:type="dxa"/>
          </w:tcPr>
          <w:p w14:paraId="77A4CFF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870" w:type="dxa"/>
          </w:tcPr>
          <w:p w14:paraId="08CA4D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53FBF41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03D12CC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104.3</w:t>
            </w:r>
          </w:p>
        </w:tc>
        <w:tc>
          <w:tcPr>
            <w:tcW w:w="1479" w:type="dxa"/>
          </w:tcPr>
          <w:p w14:paraId="0AAF3D7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7FD4AA2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12.72× slower</w:t>
            </w:r>
          </w:p>
        </w:tc>
      </w:tr>
      <w:tr w:rsidR="00723756" w:rsidRPr="00F62B8C" w14:paraId="1E6D48BA" w14:textId="77777777">
        <w:tc>
          <w:tcPr>
            <w:tcW w:w="1131" w:type="dxa"/>
          </w:tcPr>
          <w:p w14:paraId="1A7DF3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870" w:type="dxa"/>
          </w:tcPr>
          <w:p w14:paraId="6CF722E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6001D39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0.9970</w:t>
            </w:r>
          </w:p>
        </w:tc>
        <w:tc>
          <w:tcPr>
            <w:tcW w:w="1653" w:type="dxa"/>
          </w:tcPr>
          <w:p w14:paraId="411F87E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14.9</w:t>
            </w:r>
          </w:p>
        </w:tc>
        <w:tc>
          <w:tcPr>
            <w:tcW w:w="1479" w:type="dxa"/>
          </w:tcPr>
          <w:p w14:paraId="71AD4AE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15.6</w:t>
            </w:r>
          </w:p>
        </w:tc>
        <w:tc>
          <w:tcPr>
            <w:tcW w:w="2088" w:type="dxa"/>
          </w:tcPr>
          <w:p w14:paraId="20209E8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1.86× faster</w:t>
            </w:r>
          </w:p>
        </w:tc>
      </w:tr>
      <w:tr w:rsidR="00723756" w:rsidRPr="00F62B8C" w14:paraId="76006609" w14:textId="77777777">
        <w:tc>
          <w:tcPr>
            <w:tcW w:w="1131" w:type="dxa"/>
          </w:tcPr>
          <w:p w14:paraId="618BD23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870" w:type="dxa"/>
          </w:tcPr>
          <w:p w14:paraId="4C0BC51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7A94158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0.9989</w:t>
            </w:r>
          </w:p>
        </w:tc>
        <w:tc>
          <w:tcPr>
            <w:tcW w:w="1653" w:type="dxa"/>
          </w:tcPr>
          <w:p w14:paraId="1E0A117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27.8</w:t>
            </w:r>
          </w:p>
        </w:tc>
        <w:tc>
          <w:tcPr>
            <w:tcW w:w="1479" w:type="dxa"/>
          </w:tcPr>
          <w:p w14:paraId="034DCC9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5AAE911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75F119EE" w14:textId="77777777">
        <w:tc>
          <w:tcPr>
            <w:tcW w:w="1131" w:type="dxa"/>
          </w:tcPr>
          <w:p w14:paraId="085759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870" w:type="dxa"/>
          </w:tcPr>
          <w:p w14:paraId="1A1E363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1413B7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0.9872</w:t>
            </w:r>
          </w:p>
        </w:tc>
        <w:tc>
          <w:tcPr>
            <w:tcW w:w="1653" w:type="dxa"/>
          </w:tcPr>
          <w:p w14:paraId="53792D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224.9</w:t>
            </w:r>
          </w:p>
        </w:tc>
        <w:tc>
          <w:tcPr>
            <w:tcW w:w="1479" w:type="dxa"/>
          </w:tcPr>
          <w:p w14:paraId="6AE4AA8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616EE26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8.09× slower</w:t>
            </w:r>
          </w:p>
        </w:tc>
      </w:tr>
      <w:tr w:rsidR="00723756" w:rsidRPr="00F62B8C" w14:paraId="3F928259" w14:textId="77777777">
        <w:tc>
          <w:tcPr>
            <w:tcW w:w="1131" w:type="dxa"/>
          </w:tcPr>
          <w:p w14:paraId="3D7CB15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870" w:type="dxa"/>
          </w:tcPr>
          <w:p w14:paraId="73ACA7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41948A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0.9950</w:t>
            </w:r>
          </w:p>
        </w:tc>
        <w:tc>
          <w:tcPr>
            <w:tcW w:w="1653" w:type="dxa"/>
          </w:tcPr>
          <w:p w14:paraId="7A87F3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13.4</w:t>
            </w:r>
          </w:p>
        </w:tc>
        <w:tc>
          <w:tcPr>
            <w:tcW w:w="1479" w:type="dxa"/>
          </w:tcPr>
          <w:p w14:paraId="4C897F0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15.5</w:t>
            </w:r>
          </w:p>
        </w:tc>
        <w:tc>
          <w:tcPr>
            <w:tcW w:w="2088" w:type="dxa"/>
          </w:tcPr>
          <w:p w14:paraId="51DA524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1.68× faster</w:t>
            </w:r>
          </w:p>
        </w:tc>
      </w:tr>
      <w:tr w:rsidR="00723756" w:rsidRPr="00F62B8C" w14:paraId="42E6812A" w14:textId="77777777">
        <w:tc>
          <w:tcPr>
            <w:tcW w:w="1131" w:type="dxa"/>
          </w:tcPr>
          <w:p w14:paraId="729F580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870" w:type="dxa"/>
          </w:tcPr>
          <w:p w14:paraId="66014A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5AA54BE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0.9991</w:t>
            </w:r>
          </w:p>
        </w:tc>
        <w:tc>
          <w:tcPr>
            <w:tcW w:w="1653" w:type="dxa"/>
          </w:tcPr>
          <w:p w14:paraId="125CDD6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22.5</w:t>
            </w:r>
          </w:p>
        </w:tc>
        <w:tc>
          <w:tcPr>
            <w:tcW w:w="1479" w:type="dxa"/>
          </w:tcPr>
          <w:p w14:paraId="0FA619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722650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4CF287BE" w14:textId="77777777">
        <w:tc>
          <w:tcPr>
            <w:tcW w:w="1131" w:type="dxa"/>
          </w:tcPr>
          <w:p w14:paraId="1FF5FFB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870" w:type="dxa"/>
          </w:tcPr>
          <w:p w14:paraId="3B5F4EE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52626B0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0.9778</w:t>
            </w:r>
          </w:p>
        </w:tc>
        <w:tc>
          <w:tcPr>
            <w:tcW w:w="1653" w:type="dxa"/>
          </w:tcPr>
          <w:p w14:paraId="24AFC7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241.6</w:t>
            </w:r>
          </w:p>
        </w:tc>
        <w:tc>
          <w:tcPr>
            <w:tcW w:w="1479" w:type="dxa"/>
          </w:tcPr>
          <w:p w14:paraId="0689284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56DBE52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10.74× slower</w:t>
            </w:r>
          </w:p>
        </w:tc>
      </w:tr>
    </w:tbl>
    <w:p w14:paraId="0F4E72EC" w14:textId="0AEABBAA"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Taken together, the Kraken2-based auto configuration places RustyClean between Hostile and KneadData on accuracy, but closer to Hostile than to KneadData. Against KneadData it is roughly four times faster (median 4.3× on the matched panel). Against Hostile it is not faster: on </w:t>
      </w:r>
      <w:r w:rsidRPr="00F62B8C">
        <w:rPr>
          <w:rFonts w:ascii="Times New Roman" w:hAnsi="Times New Roman" w:cs="Times New Roman"/>
        </w:rPr>
        <w:lastRenderedPageBreak/>
        <w:t>the rebuilt panel the two are indistinguishable on the depletion step (median 1.00×, 434 s versus 436 s), and on the uniform 1 M-read panel of Section 3.9 Hostile is faster at every worker count. The earlier figures showing RustyClean 1.3–1.9× faster than Hostile were obtained with a Bowtie2 index that included HLA sequences and are superseded. The accuracy gap versus Hostile is the cost of using k-mer classification rather than aligning every read.</w:t>
      </w:r>
    </w:p>
    <w:p w14:paraId="4F9B749E"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62D9FCD9" wp14:editId="5FC60C16">
            <wp:extent cx="5334000" cy="3763328"/>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_publication_v2/fig4_speedup.png"/>
                    <pic:cNvPicPr>
                      <a:picLocks noChangeAspect="1" noChangeArrowheads="1"/>
                    </pic:cNvPicPr>
                  </pic:nvPicPr>
                  <pic:blipFill>
                    <a:blip r:embed="rId7"/>
                    <a:stretch>
                      <a:fillRect/>
                    </a:stretch>
                  </pic:blipFill>
                  <pic:spPr bwMode="auto">
                    <a:xfrm>
                      <a:off x="0" y="0"/>
                      <a:ext cx="5334000" cy="3763328"/>
                    </a:xfrm>
                    <a:prstGeom prst="rect">
                      <a:avLst/>
                    </a:prstGeom>
                    <a:noFill/>
                    <a:ln w="9525">
                      <a:noFill/>
                      <a:headEnd/>
                      <a:tailEnd/>
                    </a:ln>
                  </pic:spPr>
                </pic:pic>
              </a:graphicData>
            </a:graphic>
          </wp:inline>
        </w:drawing>
      </w:r>
    </w:p>
    <w:p w14:paraId="19D5A3AC"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4.</w:t>
      </w:r>
      <w:r w:rsidRPr="00F62B8C">
        <w:rPr>
          <w:rFonts w:ascii="Times New Roman" w:hAnsi="Times New Roman" w:cs="Times New Roman"/>
        </w:rPr>
        <w:t xml:space="preserve"> RustyClean speedup on the matched panel. Speedup is relative to Hostile (red) and KneadData (tan) for the depletion-only step; values are annotated above each bar.</w:t>
      </w:r>
    </w:p>
    <w:p w14:paraId="33F4C1E5" w14:textId="77777777" w:rsidR="00723756" w:rsidRPr="00F62B8C" w:rsidRDefault="00000000" w:rsidP="00F62B8C">
      <w:pPr>
        <w:pStyle w:val="Heading3"/>
        <w:spacing w:before="0" w:after="0" w:line="480" w:lineRule="auto"/>
        <w:rPr>
          <w:rFonts w:ascii="Times New Roman" w:hAnsi="Times New Roman" w:cs="Times New Roman"/>
        </w:rPr>
      </w:pPr>
      <w:bookmarkStart w:id="40" w:name="X88a43697a6847eb0c5ee1a1fdfb30ccd60da50f"/>
      <w:bookmarkStart w:id="41" w:name="_Toc240055206"/>
      <w:bookmarkEnd w:id="38"/>
      <w:r w:rsidRPr="00F62B8C">
        <w:rPr>
          <w:rFonts w:ascii="Times New Roman" w:hAnsi="Times New Roman" w:cs="Times New Roman"/>
        </w:rPr>
        <w:t>3.4a Full enhanced panel with the default Kraken2 + Bowtie2 recheck backend</w:t>
      </w:r>
      <w:bookmarkEnd w:id="41"/>
    </w:p>
    <w:p w14:paraId="4FBF41D0"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full enhanced panel of 18 simulated datasets (0–99% host fraction, 5–100 M reads, three abundance distributions, SE and PE layouts; three replicates per dataset) was evaluated with the default auto backend set to Kraken2 classification followed by Bowtie2 recheck of unclassified reads. Across 0–90% host content RustyClean maintained F1 ≥ 0.995; at 99% host F1 dropped to </w:t>
      </w:r>
      <w:r w:rsidRPr="00F62B8C">
        <w:rPr>
          <w:rFonts w:ascii="Times New Roman" w:hAnsi="Times New Roman" w:cs="Times New Roman"/>
        </w:rPr>
        <w:lastRenderedPageBreak/>
        <w:t>0.980 as the absolute number of retained host reads increased (Supplementary Table S2). Runtime scaled primarily with sample size and, for high-host samples, with the Kraken2 classification step: low-host samples completed in 3.8–8.6 min, 50–90% host samples in 8.2–15.1 min, and the 99% host sample in ~15 min. Peak memory on the low-host Bowtie2 path was 3.4–4.8 GB and on the high-host Kraken2 path ~15.5 GB, reflecting the resident human-only Kraken2 database rather than the read count.</w:t>
      </w:r>
    </w:p>
    <w:p w14:paraId="774C974F" w14:textId="77777777" w:rsidR="00723756" w:rsidRPr="00F62B8C" w:rsidRDefault="00000000" w:rsidP="00F62B8C">
      <w:pPr>
        <w:pStyle w:val="Heading3"/>
        <w:spacing w:before="0" w:after="0" w:line="480" w:lineRule="auto"/>
        <w:rPr>
          <w:rFonts w:ascii="Times New Roman" w:hAnsi="Times New Roman" w:cs="Times New Roman"/>
        </w:rPr>
      </w:pPr>
      <w:bookmarkStart w:id="42" w:name="X404f9b7bbc64a7052a3a12e92b66c143b0109e7"/>
      <w:bookmarkStart w:id="43" w:name="_Toc240055207"/>
      <w:bookmarkEnd w:id="40"/>
      <w:r w:rsidRPr="00F62B8C">
        <w:rPr>
          <w:rFonts w:ascii="Times New Roman" w:hAnsi="Times New Roman" w:cs="Times New Roman"/>
        </w:rPr>
        <w:t>3.5 Memory profile of the default Kraken2 + Bowtie2 recheck path</w:t>
      </w:r>
      <w:bookmarkEnd w:id="43"/>
    </w:p>
    <w:p w14:paraId="5055AE3B" w14:textId="6A2E2F30"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The default high-host path loads the full Kraken2 database, so peak memory is determined primarily by the database size rather than by read count. On the matched panel RustyClean peaked at ~15.5 GB, essentially the resident size of the human Kraken2 index plus the working set of the Bowtie2 pass over the retained reads. This figure is a resident anonymous hash table and GNU time measures it correctly.</w:t>
      </w:r>
    </w:p>
    <w:p w14:paraId="0209E2EE"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The comparator figures in Table 4 (3.6 GB for Hostile, 1.1 GB for KneadData) come from the same tool but do not mean the same thing, and mislead in opposite directions. Re-running the same benchmarks while sampling each job's cgroup separates them. RustyClean's own Kraken2 rows are unchanged by the switch — 6.71 GB by either measure — because that is a genuinely resident private hash table, which is the case GNU time handles correctly. KneadData is undercounted 3.35-fold, 1.11 GB against 3.71 GB of anonymous memory, because it aligns in subprocesses that GNU time does not account for. Hostile is overstated by about twenty-fold in the other direction: 3.52 GB of resident set is 0.18 GB of anonymous memory, the rest being a shared mapping of its Bowtie2 index. That only one pair of rows moves, and that RustyClean's own do not, is what makes the correction credible rather than merely different.</w:t>
      </w:r>
    </w:p>
    <w:p w14:paraId="5053819A"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lastRenderedPageBreak/>
        <w:t>Read this way the comparison inverts. RustyClean's alignment path, measured directly with --host-removal-mode bowtie2, holds 0.14 GB of anonymous memory — the smallest footprint of anything measured here, below Hostile's 0.18 GB. The pipeline is therefore not expensive in memory as such: what costs memory is the classification path, whose 6.7 GB resident hash table is precisely what buys the speed on high-host samples. The honest statement is that peak memory depends on which backend routing selected, not that RustyClean trades memory for time. That arm also runs no host-fraction survey, which is why its footprint is so much smaller than the 3.50 GB per worker seen in Section 3.9, and is independent confirmation that the memory scaling with worker count belongs to the survey rather than to depletion.</w:t>
      </w:r>
    </w:p>
    <w:p w14:paraId="2E9FD32E" w14:textId="2FCA581D"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classification path's requirement is larger than Hostile's, but it is bounded and predictable: it does not scale with sample size, and the memory-aware worker cap (Section 2.8) limits the number of concurrent samples to the available RAM divided by the database size. On network filesystems such as Lustre we copied the Kraken2 database to node-local storage before each job; this removes repeated remote I/O and was essential for the runtimes reported in Table 4. For memory-constrained environments, or simply for the low-host samples that routing sends there anyway, the Bowtie2 path costs 0.14 GB. Note that the earlier statement that classification let RustyClean outrun Hostile does not survive the rebuilt panel: on the depletion step the two are indistinguishable (Section 3.4), and under concurrency Hostile is faster (Section 3.9). What the classification path buys is throughput against KneadData, not against Hostile.</w:t>
      </w:r>
    </w:p>
    <w:p w14:paraId="44755B36" w14:textId="77777777" w:rsidR="00723756" w:rsidRPr="00F62B8C" w:rsidRDefault="00000000" w:rsidP="00F62B8C">
      <w:pPr>
        <w:pStyle w:val="Heading3"/>
        <w:spacing w:before="0" w:after="0" w:line="480" w:lineRule="auto"/>
        <w:rPr>
          <w:rFonts w:ascii="Times New Roman" w:hAnsi="Times New Roman" w:cs="Times New Roman"/>
        </w:rPr>
      </w:pPr>
      <w:bookmarkStart w:id="44" w:name="the-depletion-backend-is-interchangeable"/>
      <w:bookmarkStart w:id="45" w:name="_Toc240055208"/>
      <w:bookmarkEnd w:id="42"/>
      <w:r w:rsidRPr="00F62B8C">
        <w:rPr>
          <w:rFonts w:ascii="Times New Roman" w:hAnsi="Times New Roman" w:cs="Times New Roman"/>
        </w:rPr>
        <w:t>3.6 The depletion backend is interchangeable</w:t>
      </w:r>
      <w:bookmarkEnd w:id="45"/>
    </w:p>
    <w:p w14:paraId="6538F5B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Because routing treats the depletion step as a replaceable component, alternative backends can be substituted without changing the surrounding pipeline. We evaluated Bowtie2, minimap2 and Centrifuge on the full enhanced panel. Bowtie2 and minimap2 were closely matched on accuracy, </w:t>
      </w:r>
      <w:r w:rsidRPr="00F62B8C">
        <w:rPr>
          <w:rFonts w:ascii="Times New Roman" w:hAnsi="Times New Roman" w:cs="Times New Roman"/>
        </w:rPr>
        <w:lastRenderedPageBreak/>
        <w:t>while Centrifuge showed substantially higher host carry-over at high host fractions (F1 0.745 at 99% host versus 0.980 for RustyClean) and was not retained as a recommended backend. Peak memory differed substantially between backends, which is the practical consideration when choosing between Bowtie2 and minimap2.</w:t>
      </w:r>
    </w:p>
    <w:p w14:paraId="55384CAB" w14:textId="77777777" w:rsidR="00723756" w:rsidRPr="00F62B8C" w:rsidRDefault="00000000" w:rsidP="00F62B8C">
      <w:pPr>
        <w:pStyle w:val="Heading3"/>
        <w:spacing w:before="0" w:after="0" w:line="480" w:lineRule="auto"/>
        <w:rPr>
          <w:rFonts w:ascii="Times New Roman" w:hAnsi="Times New Roman" w:cs="Times New Roman"/>
        </w:rPr>
      </w:pPr>
      <w:bookmarkStart w:id="46" w:name="cross-species-host-depletion"/>
      <w:bookmarkStart w:id="47" w:name="_Toc240055209"/>
      <w:bookmarkEnd w:id="44"/>
      <w:r w:rsidRPr="00F62B8C">
        <w:rPr>
          <w:rFonts w:ascii="Times New Roman" w:hAnsi="Times New Roman" w:cs="Times New Roman"/>
        </w:rPr>
        <w:t>3.7 Cross-species host depletion</w:t>
      </w:r>
      <w:bookmarkEnd w:id="47"/>
    </w:p>
    <w:p w14:paraId="6BE2235F"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Human-associated metagenomes are not the only use case for host depletion; the same problem arises for model organisms, livestock and plants. We therefore tested RustyClean and KneadData on a panel of 10 M-read single-end simulated datasets in which the host genome was human, monkey, mouse, rat, pig or rice (50% host fraction in each case). RustyClean used its default auto backend; for non-human hosts the same Kraken2 database was used because it contains the common mammalian reference genomes.</w:t>
      </w:r>
    </w:p>
    <w:p w14:paraId="5D73D8E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RustyClean maintained F1 ≥ 0.9997 across all six hosts, including the phylogenetically distant rice host (Table 5 and Figure 3). KneadData, which requires a species-specific Bowtie2 index, also performed well (F1 ≈ 0.996) but was slightly below RustyClean on every host. The result indicates that the adaptive routing strategy is not restricted to human contamination and can be applied wherever a reference genome for the host is available.</w:t>
      </w:r>
    </w:p>
    <w:p w14:paraId="4054738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4BCAA07A" wp14:editId="377B4528">
            <wp:extent cx="5334000" cy="1910244"/>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_publication_v2/fig3_accuracy.png"/>
                    <pic:cNvPicPr>
                      <a:picLocks noChangeAspect="1" noChangeArrowheads="1"/>
                    </pic:cNvPicPr>
                  </pic:nvPicPr>
                  <pic:blipFill>
                    <a:blip r:embed="rId8"/>
                    <a:stretch>
                      <a:fillRect/>
                    </a:stretch>
                  </pic:blipFill>
                  <pic:spPr bwMode="auto">
                    <a:xfrm>
                      <a:off x="0" y="0"/>
                      <a:ext cx="5334000" cy="1910244"/>
                    </a:xfrm>
                    <a:prstGeom prst="rect">
                      <a:avLst/>
                    </a:prstGeom>
                    <a:noFill/>
                    <a:ln w="9525">
                      <a:noFill/>
                      <a:headEnd/>
                      <a:tailEnd/>
                    </a:ln>
                  </pic:spPr>
                </pic:pic>
              </a:graphicData>
            </a:graphic>
          </wp:inline>
        </w:drawing>
      </w:r>
    </w:p>
    <w:p w14:paraId="02E0CD9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lastRenderedPageBreak/>
        <w:t>Figure 3.</w:t>
      </w:r>
      <w:r w:rsidRPr="00F62B8C">
        <w:rPr>
          <w:rFonts w:ascii="Times New Roman" w:hAnsi="Times New Roman" w:cs="Times New Roman"/>
        </w:rPr>
        <w:t xml:space="preserve"> Accuracy of the default RustyClean auto backend. (a) F1 score across host fractions from 0% to 99% on the full enhanced panel. The dashed grey line marks F1 = 0.99; the value at each anchor point is annotated. The drop at 99% host reflects the increased impact of retained host reads when microbial reads are rare. (b) Cross-species host-depletion accuracy on 10 M-read, 50%-host simulated datasets. Values are shown above each bar.</w:t>
      </w:r>
    </w:p>
    <w:p w14:paraId="053B377B"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5.</w:t>
      </w:r>
      <w:r w:rsidRPr="00F62B8C">
        <w:rPr>
          <w:rFonts w:ascii="Times New Roman" w:hAnsi="Times New Roman" w:cs="Times New Roman"/>
        </w:rPr>
        <w:t xml:space="preserve"> Cross-species host depletion accuracy on 10 M-read, 50%-host simulated datasets.</w:t>
      </w:r>
    </w:p>
    <w:tbl>
      <w:tblPr>
        <w:tblStyle w:val="Table"/>
        <w:tblW w:w="5000" w:type="pct"/>
        <w:tblLayout w:type="fixed"/>
        <w:tblLook w:val="0020" w:firstRow="1" w:lastRow="0" w:firstColumn="0" w:lastColumn="0" w:noHBand="0" w:noVBand="0"/>
      </w:tblPr>
      <w:tblGrid>
        <w:gridCol w:w="1243"/>
        <w:gridCol w:w="2363"/>
        <w:gridCol w:w="2239"/>
        <w:gridCol w:w="3731"/>
      </w:tblGrid>
      <w:tr w:rsidR="00723756" w:rsidRPr="00F62B8C" w14:paraId="1E03D912"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028" w:type="dxa"/>
          </w:tcPr>
          <w:p w14:paraId="4BCC0A3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w:t>
            </w:r>
          </w:p>
        </w:tc>
        <w:tc>
          <w:tcPr>
            <w:tcW w:w="1954" w:type="dxa"/>
          </w:tcPr>
          <w:p w14:paraId="6DB0574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RustyClean F1</w:t>
            </w:r>
          </w:p>
        </w:tc>
        <w:tc>
          <w:tcPr>
            <w:tcW w:w="1851" w:type="dxa"/>
          </w:tcPr>
          <w:p w14:paraId="21115B0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KneadData F1</w:t>
            </w:r>
          </w:p>
        </w:tc>
        <w:tc>
          <w:tcPr>
            <w:tcW w:w="3085" w:type="dxa"/>
          </w:tcPr>
          <w:p w14:paraId="31DD9E0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RustyClean runtime (min)</w:t>
            </w:r>
          </w:p>
        </w:tc>
      </w:tr>
      <w:tr w:rsidR="00723756" w:rsidRPr="00F62B8C" w14:paraId="5D466AB8" w14:textId="77777777">
        <w:tc>
          <w:tcPr>
            <w:tcW w:w="1028" w:type="dxa"/>
          </w:tcPr>
          <w:p w14:paraId="14AB444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human</w:t>
            </w:r>
          </w:p>
        </w:tc>
        <w:tc>
          <w:tcPr>
            <w:tcW w:w="1954" w:type="dxa"/>
          </w:tcPr>
          <w:p w14:paraId="09684A1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00EF217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0.9959</w:t>
            </w:r>
          </w:p>
        </w:tc>
        <w:tc>
          <w:tcPr>
            <w:tcW w:w="3085" w:type="dxa"/>
          </w:tcPr>
          <w:p w14:paraId="70E35BD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r>
      <w:tr w:rsidR="00723756" w:rsidRPr="00F62B8C" w14:paraId="75884809" w14:textId="77777777">
        <w:tc>
          <w:tcPr>
            <w:tcW w:w="1028" w:type="dxa"/>
          </w:tcPr>
          <w:p w14:paraId="7178FB9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monkey</w:t>
            </w:r>
          </w:p>
        </w:tc>
        <w:tc>
          <w:tcPr>
            <w:tcW w:w="1954" w:type="dxa"/>
          </w:tcPr>
          <w:p w14:paraId="4957EB0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4CDF4C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2D857FE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r>
      <w:tr w:rsidR="00723756" w:rsidRPr="00F62B8C" w14:paraId="375529E5" w14:textId="77777777">
        <w:tc>
          <w:tcPr>
            <w:tcW w:w="1028" w:type="dxa"/>
          </w:tcPr>
          <w:p w14:paraId="084064E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mouse</w:t>
            </w:r>
          </w:p>
        </w:tc>
        <w:tc>
          <w:tcPr>
            <w:tcW w:w="1954" w:type="dxa"/>
          </w:tcPr>
          <w:p w14:paraId="296CA1E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0.9998</w:t>
            </w:r>
          </w:p>
        </w:tc>
        <w:tc>
          <w:tcPr>
            <w:tcW w:w="1851" w:type="dxa"/>
          </w:tcPr>
          <w:p w14:paraId="478BF18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5EBDEDB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4.6</w:t>
            </w:r>
          </w:p>
        </w:tc>
      </w:tr>
      <w:tr w:rsidR="00723756" w:rsidRPr="00F62B8C" w14:paraId="405113A0" w14:textId="77777777">
        <w:tc>
          <w:tcPr>
            <w:tcW w:w="1028" w:type="dxa"/>
          </w:tcPr>
          <w:p w14:paraId="59351AA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rat</w:t>
            </w:r>
          </w:p>
        </w:tc>
        <w:tc>
          <w:tcPr>
            <w:tcW w:w="1954" w:type="dxa"/>
          </w:tcPr>
          <w:p w14:paraId="654D023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565AC7A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73A9488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4.7</w:t>
            </w:r>
          </w:p>
        </w:tc>
      </w:tr>
      <w:tr w:rsidR="00723756" w:rsidRPr="00F62B8C" w14:paraId="2927F7AD" w14:textId="77777777">
        <w:tc>
          <w:tcPr>
            <w:tcW w:w="1028" w:type="dxa"/>
          </w:tcPr>
          <w:p w14:paraId="016AC93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pig</w:t>
            </w:r>
          </w:p>
        </w:tc>
        <w:tc>
          <w:tcPr>
            <w:tcW w:w="1954" w:type="dxa"/>
          </w:tcPr>
          <w:p w14:paraId="78B58E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68354B0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5F8C6C6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r>
      <w:tr w:rsidR="00723756" w:rsidRPr="00F62B8C" w14:paraId="2BA3E13E" w14:textId="77777777">
        <w:tc>
          <w:tcPr>
            <w:tcW w:w="1028" w:type="dxa"/>
          </w:tcPr>
          <w:p w14:paraId="7D5561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rice</w:t>
            </w:r>
          </w:p>
        </w:tc>
        <w:tc>
          <w:tcPr>
            <w:tcW w:w="1954" w:type="dxa"/>
          </w:tcPr>
          <w:p w14:paraId="4F7D86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0.9997</w:t>
            </w:r>
          </w:p>
        </w:tc>
        <w:tc>
          <w:tcPr>
            <w:tcW w:w="1851" w:type="dxa"/>
          </w:tcPr>
          <w:p w14:paraId="1DA6CB8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22DA4C0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w:t>
            </w:r>
          </w:p>
        </w:tc>
      </w:tr>
    </w:tbl>
    <w:p w14:paraId="4904D78C" w14:textId="77777777" w:rsidR="00723756" w:rsidRPr="00F62B8C" w:rsidRDefault="00000000" w:rsidP="00F62B8C">
      <w:pPr>
        <w:pStyle w:val="Heading3"/>
        <w:spacing w:before="0" w:after="0" w:line="480" w:lineRule="auto"/>
        <w:rPr>
          <w:rFonts w:ascii="Times New Roman" w:hAnsi="Times New Roman" w:cs="Times New Roman"/>
        </w:rPr>
      </w:pPr>
      <w:bookmarkStart w:id="48" w:name="real-data-performance"/>
      <w:bookmarkStart w:id="49" w:name="_Toc240055210"/>
      <w:bookmarkEnd w:id="46"/>
      <w:r w:rsidRPr="00F62B8C">
        <w:rPr>
          <w:rFonts w:ascii="Times New Roman" w:hAnsi="Times New Roman" w:cs="Times New Roman"/>
        </w:rPr>
        <w:t>3.8 Real-data performance</w:t>
      </w:r>
      <w:bookmarkEnd w:id="49"/>
    </w:p>
    <w:p w14:paraId="59CDEF66"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We applied RustyClean to 11 human oral microbiome samples from the LU cohort (paired-end, 5–45 million reads per sample) to confirm that the simulated-panel performance translates to real data. All samples completed successfully with the default auto backend. Runtime ranged from 9 to 46 min per sample (mean 18.6 min, median 13.6 min) and peak memory ranged from 3.4 to 6.5 GB (mean 4.1 GB, median 3.6 GB). The total wall clock for the 11-sample cohort was 3.4 h. These numbers are consistent with the simulated-panel throughput and demonstrate that the pipeline is ready for production cohorts.</w:t>
      </w:r>
    </w:p>
    <w:p w14:paraId="4C65F837" w14:textId="77777777" w:rsidR="00723756" w:rsidRPr="00F62B8C" w:rsidRDefault="00000000" w:rsidP="00F62B8C">
      <w:pPr>
        <w:pStyle w:val="Heading3"/>
        <w:spacing w:before="0" w:after="0" w:line="480" w:lineRule="auto"/>
        <w:rPr>
          <w:rFonts w:ascii="Times New Roman" w:hAnsi="Times New Roman" w:cs="Times New Roman"/>
        </w:rPr>
      </w:pPr>
      <w:bookmarkStart w:id="50" w:name="_Toc240055211"/>
      <w:r w:rsidRPr="00F62B8C">
        <w:rPr>
          <w:rFonts w:ascii="Times New Roman" w:hAnsi="Times New Roman" w:cs="Times New Roman"/>
        </w:rPr>
        <w:lastRenderedPageBreak/>
        <w:t>3.9 Parallel scaling against KneadData and Hostile</w:t>
      </w:r>
      <w:bookmarkEnd w:id="50"/>
    </w:p>
    <w:p w14:paraId="7EF03FDA"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The comparisons above run one sample at a time. Because host depletion is normally applied to a whole cohort, we also measured how each tool converts a fixed core budget into throughput. On the uniform 120-sample panel (Section 2.9), five arms were run at each of five worker counts: KneadData and Hostile driven one sample per process by xargs; RustyClean auto and RustyClean --skip-qc as a single process using their own worker pool; and RustyClean auto driven by xargs, which holds the tool fixed and varies only which scheduler is used. At 1,000,000 reads every sample falls below the read-count threshold in the routing rule, so auto selected Bowtie2 for all six host fractions and all five arms align against a comparable index.</w:t>
      </w:r>
    </w:p>
    <w:p w14:paraId="61CE8149"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Every arm reached its best throughput at an intermediate worker count and lost ground beyond it: Hostile at W = 2 (686 samples/h), KneadData at W = 4 (116 samples/h), and the three RustyClean arms at W = 8 (334, 342 and 480 samples/h). At W = 16, where each sample receives a single thread, all five were slower than at W = 8 while CPU utilisation remained above 0.95, so the additional cores were consumed by per-worker fixed costs rather than left idle. Total CPU consumed for the same 120 samples rose with the worker count in every arm, by 38% (Hostile) to 216% (RustyClean --skip-qc) between W = 1 and W = 16.</w:t>
      </w:r>
    </w:p>
    <w:p w14:paraId="4A42A75C"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Against KneadData, RustyClean's advantage is entirely an advantage in parallelism. At one worker RustyClean auto was slower (0.81×); the ratio rose with the worker count to 3.09× at W = 8 and 2.88× comparing each tool at its own best setting. The underlying reason is visible in the CPU figures: RustyClean completed the panel using 16,683 CPU-seconds against KneadData's 48,719, a third of the work, but at one worker it occupied only 2.5 of 16 cores (CPU efficiency 0.15) against KneadData's 8.9 (0.56). RustyClean has very little within-sample parallelism and converts its lower total cost into shorter wall time only through sample-level concurrency.</w:t>
      </w:r>
    </w:p>
    <w:p w14:paraId="7A1B4617"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lastRenderedPageBreak/>
        <w:t>Against Hostile there is no advantage at any worker count (0.51–0.97×), and the memory difference is large. At W = 16 Hostile held 1.2 GB of anonymous memory against RustyClean's 55.0 GB, a factor of 46, and Hostile's footprint grew only 5.6-fold across a 16-fold increase in concurrency while RustyClean's grew 15.7-fold. Both tools invoke the same aligner, so the difference is in how the index is loaded. RustyClean's depletion step already maps its Bowtie2 index (--mm) and shares it between concurrent workers; its host-fraction survey and its optional verification pass do not, and each therefore loads a private copy. Three independent measurements agree on that account: 3.50 GB of anonymous memory at one worker is one Bowtie2 index of T2T-CHM13v2.0, 27.5 GB at eight workers is eight of them, and the single-sample benchmark of Section 3.5, which runs the same aligner with no survey, holds 0.14 GB. On a 128 GB node this caps useful concurrency for RustyClean near W = 16, a limit Hostile is nowhere near, and mapping the survey index would remove the cap.</w:t>
      </w:r>
    </w:p>
    <w:p w14:paraId="035CE01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Finally, RustyClean's own worker pool conferred no throughput benefit over running the same binary under xargs at matched W: ratios of 1.04, 1.00, 1.10, 0.98 and 0.93 across the five worker counts, a median of 1.00×. The pool did use 1.6–1.8× more memory at high worker counts. We therefore attribute the advantage over KneadData to the cost of the depletion work itself rather than to scheduling, and do not claim built-in parallelism as a contribution.</w:t>
      </w:r>
    </w:p>
    <w:p w14:paraId="1D0E6079" w14:textId="77777777" w:rsidR="00723756" w:rsidRPr="00F62B8C" w:rsidRDefault="00000000" w:rsidP="00F62B8C">
      <w:pPr>
        <w:pStyle w:val="Heading2"/>
        <w:spacing w:before="0" w:after="0" w:line="480" w:lineRule="auto"/>
        <w:rPr>
          <w:rFonts w:ascii="Times New Roman" w:hAnsi="Times New Roman" w:cs="Times New Roman"/>
        </w:rPr>
      </w:pPr>
      <w:bookmarkStart w:id="51" w:name="discussion"/>
      <w:bookmarkStart w:id="52" w:name="_Toc240055212"/>
      <w:bookmarkEnd w:id="30"/>
      <w:bookmarkEnd w:id="48"/>
      <w:r w:rsidRPr="00F62B8C">
        <w:rPr>
          <w:rFonts w:ascii="Times New Roman" w:hAnsi="Times New Roman" w:cs="Times New Roman"/>
        </w:rPr>
        <w:t>4. Discussion</w:t>
      </w:r>
      <w:bookmarkEnd w:id="52"/>
    </w:p>
    <w:p w14:paraId="4B97D4A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Neither error direction is universally preferable, which is why the choice should not be made once for every sample and every study. For taxonomic profiling, a small residual host fraction is close to harmless because profilers leave those reads unassigned, whereas discarded microbial reads are an irreversible loss that propagates into diversity and abundance estimates. For assembly, for MAG recovery, and for data released publicly — where residual human sequence </w:t>
      </w:r>
      <w:r w:rsidRPr="00F62B8C">
        <w:rPr>
          <w:rFonts w:ascii="Times New Roman" w:hAnsi="Times New Roman" w:cs="Times New Roman"/>
        </w:rPr>
        <w:lastRenderedPageBreak/>
        <w:t>is a consent and privacy matter rather than a technical one — the calculus reverses. RustyClean exposes both the routing threshold and the verification pass as user-facing settings for this reason.</w:t>
      </w:r>
    </w:p>
    <w:p w14:paraId="1AC6DF12"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central result is that the choice of depletion backend should be made per-sample rather than per-study. Routing addresses the runtime half of the asymmetry characterised by Gao et al.: k-mer classification is fastest when most reads are host and can be discarded in bulk, whereas direct alignment is competitive when most reads are microbial and can be rejected early. RustyClean captures this with a rapid alignment survey of a 100 k-read subsample, then routes the sample to Bowtie2 removal when the estimated host fraction is low or moderate and to Kraken2 classification with Bowtie2 recheck when the host fraction is high. For host-negative samples the entire alignment step is skipped.</w:t>
      </w:r>
    </w:p>
    <w:p w14:paraId="5A68706E" w14:textId="4C2923E1"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Two comparisons deserve to be read carefully. First, RustyClean performs no tandem-repeat or low-complexity masking, whereas KneadData does; part of the runtime advantage over KneadData therefore reflects work not done rather than work done faster, and the closer like-for-like comparison is against KneadData with repeat masking disabled. Second, Hostile is the more demanding baseline, and on the rebuilt panel it is the faster tool: RustyClean's depletion-only step (--skip-qc) is indistinguishable from Hostile per sample (median 1.00×) and slower than Hostile at every worker count under concurrency, while the accuracy gap versus Hostile remains small and runs in RustyClean's favour on host carry-over. RustyClean's contribution is therefore not speed against Hostile, and not that k-mer classification is more accurate than alignment — it is not — but that per-sample routing lets the pipeline use classification where it has the largest speed advantage while falling back to alignment where alignment is already efficient or where the residual-host penalty is unacceptable.</w:t>
      </w:r>
    </w:p>
    <w:p w14:paraId="73AE2352"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lastRenderedPageBreak/>
        <w:t>Third, the way a pipeline loads its reference matters as much as which reference it loads once more than one sample is in flight. Hostile's Bowtie2 index is a shared mapping and sixteen concurrent processes hold 1.2 GB between them; RustyClean's survey loads a private copy per worker and the same concurrency costs 55 GB. Neither figure is visible in a peak resident set size measured one sample at a time, which is how memory is usually reported for these tools, and the two conventions disagree by more than an order of magnitude on exactly the comparison a reader would want to make. We report anonymous memory from the cgroup for this reason, and note that mapping the survey index would remove most of the difference.</w:t>
      </w:r>
    </w:p>
    <w:p w14:paraId="7A8DE830"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Limitations. Evaluation is on simulated data; simulation is what makes per-read ground truth possible, but it does not reproduce real sequencing artefacts, host genome variation, or the divergence between an individual's genome and the reference, and validation on a real cohort with matched host genotypes remains necessary. The primary accuracy evaluation covers a matched 100 M-read panel and a broader 18 simulated-dataset panel; neither includes real sequencing artefacts. Paired-end libraries and intermediate host fractions near the routing threshold are now represented in the full panel, but behaviour very close to the threshold remains the regime most likely to be mis-routed. Depletion is deterministic, so accuracy was evaluated once per dataset and replication applies only to timing. Finally, host-fraction estimation from a small subsample was substantially less accurate on a skewed community, and while routing tolerated that error here, the margin is not guaranteed for samples whose true host fraction lies near the threshold.</w:t>
      </w:r>
    </w:p>
    <w:p w14:paraId="31116CC1"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 xml:space="preserve">The parallel-scaling panel is a throughput measurement and inherits its own limits. Its samples are uniform by construction, which is what makes batch wall time interpretable but is unlike a real cohort; at 1,000,000 reads every sample routes to Bowtie2, so the figures describe the </w:t>
      </w:r>
      <w:r w:rsidRPr="00F62B8C">
        <w:rPr>
          <w:rFonts w:ascii="Times New Roman" w:hAnsi="Times New Roman" w:cs="Times New Roman"/>
        </w:rPr>
        <w:lastRenderedPageBreak/>
        <w:t>alignment path and not the classification path; and reading the inputs and indexes into page cache before timing makes it a warm-cache measurement rather than a first run against cold storage. Concurrency was varied while holding W × T constant at 16 cores, so the results describe how a fixed budget is best divided and not how the tools behave on a larger machine.</w:t>
      </w:r>
    </w:p>
    <w:p w14:paraId="0485F093" w14:textId="77777777" w:rsidR="00723756" w:rsidRPr="00F62B8C" w:rsidRDefault="00000000" w:rsidP="00F62B8C">
      <w:pPr>
        <w:pStyle w:val="Heading2"/>
        <w:spacing w:before="0" w:after="0" w:line="480" w:lineRule="auto"/>
        <w:rPr>
          <w:rFonts w:ascii="Times New Roman" w:hAnsi="Times New Roman" w:cs="Times New Roman"/>
        </w:rPr>
      </w:pPr>
      <w:bookmarkStart w:id="53" w:name="software-and-data-availability"/>
      <w:bookmarkStart w:id="54" w:name="_Toc240055213"/>
      <w:bookmarkEnd w:id="51"/>
      <w:r w:rsidRPr="00F62B8C">
        <w:rPr>
          <w:rFonts w:ascii="Times New Roman" w:hAnsi="Times New Roman" w:cs="Times New Roman"/>
        </w:rPr>
        <w:t>5. Software and data availability</w:t>
      </w:r>
      <w:bookmarkEnd w:id="54"/>
    </w:p>
    <w:p w14:paraId="216ADD51"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RustyClean is implemented as a single Rust binary and is available at https://github.com/HuangShiLab/rustyclean under the MIT licence. The version used for the experiments in this manuscript is [tag/SHA]. Source code for the benchmarking and analysis scripts, together with the simulated dataset metadata and result tables, are available at https://github.com/HuangShiLab/rustyclean-paper. Simulated reads and ground-truth labels are available from the same repository; real human oral microbiome data are from the LU cohort and are subject to the original data-access agreements.</w:t>
      </w:r>
    </w:p>
    <w:p w14:paraId="1BB942D2" w14:textId="77777777" w:rsidR="00723756" w:rsidRPr="00F62B8C" w:rsidRDefault="00000000" w:rsidP="00F62B8C">
      <w:pPr>
        <w:pStyle w:val="Heading2"/>
        <w:spacing w:before="0" w:after="0" w:line="480" w:lineRule="auto"/>
        <w:rPr>
          <w:rFonts w:ascii="Times New Roman" w:hAnsi="Times New Roman" w:cs="Times New Roman"/>
        </w:rPr>
      </w:pPr>
      <w:bookmarkStart w:id="55" w:name="X5e7fc9a2bba330cc343b13bfe4d5c9bdb134d21"/>
      <w:bookmarkStart w:id="56" w:name="_Toc240055214"/>
      <w:bookmarkEnd w:id="53"/>
      <w:r w:rsidRPr="00F62B8C">
        <w:rPr>
          <w:rFonts w:ascii="Times New Roman" w:hAnsi="Times New Roman" w:cs="Times New Roman"/>
        </w:rPr>
        <w:t>6. Target journals and peer-review preparation</w:t>
      </w:r>
      <w:bookmarkEnd w:id="56"/>
    </w:p>
    <w:p w14:paraId="2D453653"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[This section is retained for internal review and should be removed or converted to a cover letter before submission.]</w:t>
      </w:r>
    </w:p>
    <w:p w14:paraId="5341E54B" w14:textId="77777777" w:rsidR="00723756" w:rsidRPr="00F62B8C" w:rsidRDefault="00000000" w:rsidP="00F62B8C">
      <w:pPr>
        <w:pStyle w:val="Heading3"/>
        <w:spacing w:before="0" w:after="0" w:line="480" w:lineRule="auto"/>
        <w:rPr>
          <w:rFonts w:ascii="Times New Roman" w:hAnsi="Times New Roman" w:cs="Times New Roman"/>
        </w:rPr>
      </w:pPr>
      <w:bookmarkStart w:id="57" w:name="suggested-target-venues"/>
      <w:bookmarkStart w:id="58" w:name="_Toc240055215"/>
      <w:r w:rsidRPr="00F62B8C">
        <w:rPr>
          <w:rFonts w:ascii="Times New Roman" w:hAnsi="Times New Roman" w:cs="Times New Roman"/>
        </w:rPr>
        <w:t>6.1 Suggested target venues</w:t>
      </w:r>
      <w:bookmarkEnd w:id="58"/>
    </w:p>
    <w:p w14:paraId="2206519A"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GigaScience</w:t>
      </w:r>
      <w:r w:rsidRPr="00F62B8C">
        <w:rPr>
          <w:rFonts w:ascii="Times New Roman" w:hAnsi="Times New Roman" w:cs="Times New Roman"/>
        </w:rPr>
        <w:t xml:space="preserve"> (IF ~11.8, Oxford). Strong fit: the motivating benchmark by Gao et al. (2025) was published here, the scope includes large-scale computational methods, and the software + benchmark narrative matches the journal’s emphasis on reproducible, data-rich methods papers.</w:t>
      </w:r>
    </w:p>
    <w:p w14:paraId="6775553D"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Bioinformatics</w:t>
      </w:r>
      <w:r w:rsidRPr="00F62B8C">
        <w:rPr>
          <w:rFonts w:ascii="Times New Roman" w:hAnsi="Times New Roman" w:cs="Times New Roman"/>
        </w:rPr>
        <w:t xml:space="preserve"> (IF ~4.4, Oxford). Good fit for a concise methods contribution with a strong implementation and comparative benchmark. The adaptive-routing angle is methodologically novel enough for a full article rather than an Application Note.</w:t>
      </w:r>
    </w:p>
    <w:p w14:paraId="1B53EC44"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lastRenderedPageBreak/>
        <w:t>Microbiome</w:t>
      </w:r>
      <w:r w:rsidRPr="00F62B8C">
        <w:rPr>
          <w:rFonts w:ascii="Times New Roman" w:hAnsi="Times New Roman" w:cs="Times New Roman"/>
        </w:rPr>
        <w:t xml:space="preserve"> (IF ~13.8, BMC). Good fit if the manuscript stresses the downstream impact on microbiome studies (signal preservation, cross-species applicability, real-data validation).</w:t>
      </w:r>
    </w:p>
    <w:p w14:paraId="7D9B9DC7"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BMC Bioinformatics</w:t>
      </w:r>
      <w:r w:rsidRPr="00F62B8C">
        <w:rPr>
          <w:rFonts w:ascii="Times New Roman" w:hAnsi="Times New Roman" w:cs="Times New Roman"/>
        </w:rPr>
        <w:t xml:space="preserve"> (IF ~2.9, BMC). A reliable, method-focused venue with a relatively fast turnaround; suitable if the contribution is framed primarily as a software/benchmark advance.</w:t>
      </w:r>
    </w:p>
    <w:p w14:paraId="5600DA85"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NAR Genomics and Bioinformatics</w:t>
      </w:r>
      <w:r w:rsidRPr="00F62B8C">
        <w:rPr>
          <w:rFonts w:ascii="Times New Roman" w:hAnsi="Times New Roman" w:cs="Times New Roman"/>
        </w:rPr>
        <w:t xml:space="preserve"> (IF ~4.4, Oxford). Publishes methods and software with strong technical contributions; the checkpointing, bounded concurrency, and validation-gate aspects are good matches.</w:t>
      </w:r>
    </w:p>
    <w:p w14:paraId="79CC0A7D" w14:textId="77777777" w:rsidR="00723756" w:rsidRPr="00F62B8C" w:rsidRDefault="00000000" w:rsidP="00F62B8C">
      <w:pPr>
        <w:pStyle w:val="Heading3"/>
        <w:spacing w:before="0" w:after="0" w:line="480" w:lineRule="auto"/>
        <w:rPr>
          <w:rFonts w:ascii="Times New Roman" w:hAnsi="Times New Roman" w:cs="Times New Roman"/>
        </w:rPr>
      </w:pPr>
      <w:bookmarkStart w:id="59" w:name="Xe4ce7175756d72f51ca3648006be2d8103f8e26"/>
      <w:bookmarkStart w:id="60" w:name="_Toc240055216"/>
      <w:bookmarkEnd w:id="57"/>
      <w:r w:rsidRPr="00F62B8C">
        <w:rPr>
          <w:rFonts w:ascii="Times New Roman" w:hAnsi="Times New Roman" w:cs="Times New Roman"/>
        </w:rPr>
        <w:t>6.2 Anticipated peer-review questions and responses</w:t>
      </w:r>
      <w:bookmarkEnd w:id="60"/>
    </w:p>
    <w:tbl>
      <w:tblPr>
        <w:tblStyle w:val="Table"/>
        <w:tblW w:w="5000" w:type="pct"/>
        <w:tblLayout w:type="fixed"/>
        <w:tblLook w:val="0020" w:firstRow="1" w:lastRow="0" w:firstColumn="0" w:lastColumn="0" w:noHBand="0" w:noVBand="0"/>
      </w:tblPr>
      <w:tblGrid>
        <w:gridCol w:w="624"/>
        <w:gridCol w:w="3747"/>
        <w:gridCol w:w="5205"/>
      </w:tblGrid>
      <w:tr w:rsidR="00723756" w:rsidRPr="00F62B8C" w14:paraId="5F7907CB"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516" w:type="dxa"/>
          </w:tcPr>
          <w:p w14:paraId="23BB460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3099" w:type="dxa"/>
          </w:tcPr>
          <w:p w14:paraId="6279AA7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Reviewer concern</w:t>
            </w:r>
          </w:p>
        </w:tc>
        <w:tc>
          <w:tcPr>
            <w:tcW w:w="4304" w:type="dxa"/>
          </w:tcPr>
          <w:p w14:paraId="708CAA9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Our response / evidence</w:t>
            </w:r>
          </w:p>
        </w:tc>
      </w:tr>
      <w:tr w:rsidR="00723756" w:rsidRPr="00F62B8C" w14:paraId="34B4D7C9" w14:textId="77777777">
        <w:tc>
          <w:tcPr>
            <w:tcW w:w="516" w:type="dxa"/>
          </w:tcPr>
          <w:p w14:paraId="412CE5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w:t>
            </w:r>
          </w:p>
        </w:tc>
        <w:tc>
          <w:tcPr>
            <w:tcW w:w="3099" w:type="dxa"/>
          </w:tcPr>
          <w:p w14:paraId="727577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Why is Kraken2 memory so much larger than Hostile?</w:t>
            </w:r>
          </w:p>
        </w:tc>
        <w:tc>
          <w:tcPr>
            <w:tcW w:w="4304" w:type="dxa"/>
          </w:tcPr>
          <w:p w14:paraId="1F7DB5D1" w14:textId="61525158"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Default path uses a T2T-only human Kraken2 index (~15.5 GB). Memory is bounded by DB size, not sample size, and the memory-aware worker cap prevents overload (Section 2.8). Users can force the Bowtie2 path for low-memory environments, which we measure at 0.14 GB of anonymous memory — below Hostile. Note also that the resident-set figures are not comparable across these tools: Hostile's 3.52 GB is 0.18 GB of private memory plus a shared index mapping, and KneadData's 1.11 GB omits the subprocesses it aligns in, which hold 3.71 GB (Sections 3.5 and </w:t>
            </w:r>
            <w:r w:rsidRPr="00F62B8C">
              <w:rPr>
                <w:rFonts w:ascii="Times New Roman" w:hAnsi="Times New Roman" w:cs="Times New Roman"/>
              </w:rPr>
              <w:lastRenderedPageBreak/>
              <w:t>3.9).</w:t>
            </w:r>
          </w:p>
        </w:tc>
      </w:tr>
      <w:tr w:rsidR="00723756" w:rsidRPr="00F62B8C" w14:paraId="0DE0E766" w14:textId="77777777">
        <w:tc>
          <w:tcPr>
            <w:tcW w:w="516" w:type="dxa"/>
          </w:tcPr>
          <w:p w14:paraId="18C7111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2</w:t>
            </w:r>
          </w:p>
        </w:tc>
        <w:tc>
          <w:tcPr>
            <w:tcW w:w="3099" w:type="dxa"/>
          </w:tcPr>
          <w:p w14:paraId="27E755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The 99% host F1 drop looks concerning.</w:t>
            </w:r>
          </w:p>
        </w:tc>
        <w:tc>
          <w:tcPr>
            <w:tcW w:w="4304" w:type="dxa"/>
          </w:tcPr>
          <w:p w14:paraId="70C342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Expected behaviour: when microbial reads are rare, retained host reads dominate the F1 denominator. The absolute host carry-over remains modest; the relevant metric for assembly/profiling is residual-host fraction, which is low (Section 3.4a).</w:t>
            </w:r>
          </w:p>
        </w:tc>
      </w:tr>
      <w:tr w:rsidR="00723756" w:rsidRPr="00F62B8C" w14:paraId="256E0481" w14:textId="77777777">
        <w:tc>
          <w:tcPr>
            <w:tcW w:w="516" w:type="dxa"/>
          </w:tcPr>
          <w:p w14:paraId="0819E8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w:t>
            </w:r>
          </w:p>
        </w:tc>
        <w:tc>
          <w:tcPr>
            <w:tcW w:w="3099" w:type="dxa"/>
          </w:tcPr>
          <w:p w14:paraId="65021C0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The routing thresholds (10% / 30%) seem arbitrary.</w:t>
            </w:r>
          </w:p>
        </w:tc>
        <w:tc>
          <w:tcPr>
            <w:tcW w:w="4304" w:type="dxa"/>
          </w:tcPr>
          <w:p w14:paraId="1CF95C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Set from measured runtime crossover of the two backends; conservative routing sends borderline samples to the safer alignment path (Section 2.3).</w:t>
            </w:r>
          </w:p>
        </w:tc>
      </w:tr>
      <w:tr w:rsidR="00723756" w:rsidRPr="00F62B8C" w14:paraId="3F7DF255" w14:textId="77777777">
        <w:tc>
          <w:tcPr>
            <w:tcW w:w="516" w:type="dxa"/>
          </w:tcPr>
          <w:p w14:paraId="08AF82A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w:t>
            </w:r>
          </w:p>
        </w:tc>
        <w:tc>
          <w:tcPr>
            <w:tcW w:w="3099" w:type="dxa"/>
          </w:tcPr>
          <w:p w14:paraId="50335C6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KneadData includes Trimmomatic and repeat masking; the comparison is not like-for-like.</w:t>
            </w:r>
          </w:p>
        </w:tc>
        <w:tc>
          <w:tcPr>
            <w:tcW w:w="4304" w:type="dxa"/>
          </w:tcPr>
          <w:p w14:paraId="5D6D26F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Acknowledged. We report KneadData as the de facto standard and note that part of the speed advantage reflects scope differences (Discussion). A </w:t>
            </w:r>
            <w:r w:rsidRPr="00F62B8C">
              <w:rPr>
                <w:rStyle w:val="VerbatimChar"/>
                <w:rFonts w:ascii="Times New Roman" w:hAnsi="Times New Roman" w:cs="Times New Roman"/>
              </w:rPr>
              <w:t>--bypass-trf</w:t>
            </w:r>
            <w:r w:rsidRPr="00F62B8C">
              <w:rPr>
                <w:rFonts w:ascii="Times New Roman" w:hAnsi="Times New Roman" w:cs="Times New Roman"/>
              </w:rPr>
              <w:t xml:space="preserve"> comparison would further clarify this.</w:t>
            </w:r>
          </w:p>
        </w:tc>
      </w:tr>
      <w:tr w:rsidR="00723756" w:rsidRPr="00F62B8C" w14:paraId="7358F715" w14:textId="77777777">
        <w:tc>
          <w:tcPr>
            <w:tcW w:w="516" w:type="dxa"/>
          </w:tcPr>
          <w:p w14:paraId="5DC67DB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w:t>
            </w:r>
          </w:p>
        </w:tc>
        <w:tc>
          <w:tcPr>
            <w:tcW w:w="3099" w:type="dxa"/>
          </w:tcPr>
          <w:p w14:paraId="22D1E9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Why not compare with Hostile on all 18 datasets?</w:t>
            </w:r>
          </w:p>
        </w:tc>
        <w:tc>
          <w:tcPr>
            <w:tcW w:w="4304" w:type="dxa"/>
          </w:tcPr>
          <w:p w14:paraId="69FEE9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Matched panel was run for all four conditions; full 18-dataset panel is RustyClean-only for computational cost. Cross-species and real-data validation extend generalisability.</w:t>
            </w:r>
          </w:p>
        </w:tc>
      </w:tr>
      <w:tr w:rsidR="00723756" w:rsidRPr="00F62B8C" w14:paraId="54C4E977" w14:textId="77777777">
        <w:tc>
          <w:tcPr>
            <w:tcW w:w="516" w:type="dxa"/>
          </w:tcPr>
          <w:p w14:paraId="370BC62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w:t>
            </w:r>
          </w:p>
        </w:tc>
        <w:tc>
          <w:tcPr>
            <w:tcW w:w="3099" w:type="dxa"/>
          </w:tcPr>
          <w:p w14:paraId="59BDCB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Is the accuracy evaluation deterministic?</w:t>
            </w:r>
          </w:p>
        </w:tc>
        <w:tc>
          <w:tcPr>
            <w:tcW w:w="4304" w:type="dxa"/>
          </w:tcPr>
          <w:p w14:paraId="6127F3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Yes; depletion is deterministic, so accuracy is reported once per condition and replication applies only to timing (to be stated explicitly in Methods).</w:t>
            </w:r>
          </w:p>
        </w:tc>
      </w:tr>
      <w:tr w:rsidR="00723756" w:rsidRPr="00F62B8C" w14:paraId="2913A169" w14:textId="77777777">
        <w:tc>
          <w:tcPr>
            <w:tcW w:w="516" w:type="dxa"/>
          </w:tcPr>
          <w:p w14:paraId="213D606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w:t>
            </w:r>
          </w:p>
        </w:tc>
        <w:tc>
          <w:tcPr>
            <w:tcW w:w="3099" w:type="dxa"/>
          </w:tcPr>
          <w:p w14:paraId="4AA952D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 xml:space="preserve">What about real sequencing artefacts and host genetic </w:t>
            </w:r>
            <w:r w:rsidRPr="00F62B8C">
              <w:rPr>
                <w:rFonts w:ascii="Times New Roman" w:hAnsi="Times New Roman" w:cs="Times New Roman"/>
                <w:i/>
                <w:iCs/>
              </w:rPr>
              <w:lastRenderedPageBreak/>
              <w:t>variation?</w:t>
            </w:r>
          </w:p>
        </w:tc>
        <w:tc>
          <w:tcPr>
            <w:tcW w:w="4304" w:type="dxa"/>
          </w:tcPr>
          <w:p w14:paraId="5CDD18F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 xml:space="preserve">Limitations section acknowledges this. The 11-sample real cohort validates throughput and </w:t>
            </w:r>
            <w:r w:rsidRPr="00F62B8C">
              <w:rPr>
                <w:rFonts w:ascii="Times New Roman" w:hAnsi="Times New Roman" w:cs="Times New Roman"/>
              </w:rPr>
              <w:lastRenderedPageBreak/>
              <w:t>robustness, but matched-host-genotype validation remains future work.</w:t>
            </w:r>
          </w:p>
        </w:tc>
      </w:tr>
      <w:tr w:rsidR="00723756" w:rsidRPr="00F62B8C" w14:paraId="4D06F511" w14:textId="77777777">
        <w:tc>
          <w:tcPr>
            <w:tcW w:w="516" w:type="dxa"/>
          </w:tcPr>
          <w:p w14:paraId="7123FF4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8</w:t>
            </w:r>
          </w:p>
        </w:tc>
        <w:tc>
          <w:tcPr>
            <w:tcW w:w="3099" w:type="dxa"/>
          </w:tcPr>
          <w:p w14:paraId="0D0521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The auto-survey estimator was inaccurate on the skewed 30M dataset.</w:t>
            </w:r>
          </w:p>
        </w:tc>
        <w:tc>
          <w:tcPr>
            <w:tcW w:w="4304" w:type="dxa"/>
          </w:tcPr>
          <w:p w14:paraId="18D8B79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Routing tolerates estimation error because it only needs the estimate to be on the correct side of a threshold. This is a designed property, not a bug (Section 3.2).</w:t>
            </w:r>
          </w:p>
        </w:tc>
      </w:tr>
      <w:tr w:rsidR="00723756" w:rsidRPr="00F62B8C" w14:paraId="490D1C35" w14:textId="77777777">
        <w:tc>
          <w:tcPr>
            <w:tcW w:w="516" w:type="dxa"/>
          </w:tcPr>
          <w:p w14:paraId="1EF45A4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w:t>
            </w:r>
          </w:p>
        </w:tc>
        <w:tc>
          <w:tcPr>
            <w:tcW w:w="3099" w:type="dxa"/>
          </w:tcPr>
          <w:p w14:paraId="1F382C1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Why is Centrifuge included if it performs poorly?</w:t>
            </w:r>
          </w:p>
        </w:tc>
        <w:tc>
          <w:tcPr>
            <w:tcW w:w="4304" w:type="dxa"/>
          </w:tcPr>
          <w:p w14:paraId="490111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Evaluated as an alternative backend and rejected; included to show that the backend is interchangeable and that not all classifiers are suitable (Section 3.6).</w:t>
            </w:r>
          </w:p>
        </w:tc>
      </w:tr>
      <w:tr w:rsidR="00723756" w:rsidRPr="00F62B8C" w14:paraId="1D5E07E2" w14:textId="77777777">
        <w:tc>
          <w:tcPr>
            <w:tcW w:w="516" w:type="dxa"/>
          </w:tcPr>
          <w:p w14:paraId="1700003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w:t>
            </w:r>
          </w:p>
        </w:tc>
        <w:tc>
          <w:tcPr>
            <w:tcW w:w="3099" w:type="dxa"/>
          </w:tcPr>
          <w:p w14:paraId="7615D59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Does the pipeline handle ultra-high host fractions (&gt;99%) or very large cohorts?</w:t>
            </w:r>
          </w:p>
        </w:tc>
        <w:tc>
          <w:tcPr>
            <w:tcW w:w="4304" w:type="dxa"/>
          </w:tcPr>
          <w:p w14:paraId="3EB0BD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99% host tested. Cohort-level throughput depends on available memory and node-local DB copy; the memory-aware worker cap and sample-level parallelism are designed for cohorts (Section 2.8, real-data section).</w:t>
            </w:r>
          </w:p>
        </w:tc>
      </w:tr>
      <w:tr w:rsidR="00723756" w:rsidRPr="00F62B8C" w14:paraId="6A491A5C" w14:textId="77777777">
        <w:tc>
          <w:tcPr>
            <w:tcW w:w="516" w:type="dxa"/>
          </w:tcPr>
          <w:p w14:paraId="3B61342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3099" w:type="dxa"/>
          </w:tcPr>
          <w:p w14:paraId="1B1BA2B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How does the user choose the reference database?</w:t>
            </w:r>
          </w:p>
        </w:tc>
        <w:tc>
          <w:tcPr>
            <w:tcW w:w="4304" w:type="dxa"/>
          </w:tcPr>
          <w:p w14:paraId="0E3D8CA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Default is T2T-CHM13v2.0 human-only Kraken2 index + Bowtie2 index; mixed Kraken2 databases are optional for users who also want taxonomy (Section 2.4).</w:t>
            </w:r>
          </w:p>
        </w:tc>
      </w:tr>
      <w:tr w:rsidR="00723756" w:rsidRPr="00F62B8C" w14:paraId="0B02F854" w14:textId="77777777">
        <w:tc>
          <w:tcPr>
            <w:tcW w:w="516" w:type="dxa"/>
          </w:tcPr>
          <w:p w14:paraId="118530C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12</w:t>
            </w:r>
          </w:p>
        </w:tc>
        <w:tc>
          <w:tcPr>
            <w:tcW w:w="3099" w:type="dxa"/>
          </w:tcPr>
          <w:p w14:paraId="3DAC6D8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What is the practical advantage over running Hostile + fastp?</w:t>
            </w:r>
          </w:p>
        </w:tc>
        <w:tc>
          <w:tcPr>
            <w:tcW w:w="4304" w:type="dxa"/>
          </w:tcPr>
          <w:p w14:paraId="1AF3835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RustyClean integrates QC, adaptive routing, checkpointing, validation, and bounded concurrency in one binary; on the matched panel </w:t>
            </w:r>
            <w:r w:rsidRPr="00F62B8C">
              <w:rPr>
                <w:rFonts w:ascii="Times New Roman" w:hAnsi="Times New Roman" w:cs="Times New Roman"/>
              </w:rPr>
              <w:lastRenderedPageBreak/>
              <w:t>the depletion step is 1.3–1.9× faster than Hostile while accuracy is comparable (Section 3.4).</w:t>
            </w:r>
          </w:p>
        </w:tc>
      </w:tr>
    </w:tbl>
    <w:p w14:paraId="0BFD5FD2" w14:textId="77777777" w:rsidR="00723756" w:rsidRPr="00F62B8C" w:rsidRDefault="00000000" w:rsidP="00F62B8C">
      <w:pPr>
        <w:pStyle w:val="Heading2"/>
        <w:spacing w:before="0" w:after="0" w:line="480" w:lineRule="auto"/>
        <w:rPr>
          <w:rFonts w:ascii="Times New Roman" w:hAnsi="Times New Roman" w:cs="Times New Roman"/>
        </w:rPr>
      </w:pPr>
      <w:bookmarkStart w:id="61" w:name="references"/>
      <w:bookmarkStart w:id="62" w:name="_Toc240055217"/>
      <w:bookmarkEnd w:id="55"/>
      <w:bookmarkEnd w:id="59"/>
      <w:r w:rsidRPr="00F62B8C">
        <w:rPr>
          <w:rFonts w:ascii="Times New Roman" w:hAnsi="Times New Roman" w:cs="Times New Roman"/>
        </w:rPr>
        <w:lastRenderedPageBreak/>
        <w:t>References</w:t>
      </w:r>
      <w:bookmarkEnd w:id="62"/>
    </w:p>
    <w:p w14:paraId="1251C2B3"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Gao Y, Luo H, Lyu H, Yang H, Yousuf S, Huang S, Liu Y-X. Benchmarking short-read metagenomics tools for removing host contamination. </w:t>
      </w:r>
      <w:r w:rsidRPr="00F62B8C">
        <w:rPr>
          <w:rFonts w:ascii="Times New Roman" w:hAnsi="Times New Roman" w:cs="Times New Roman"/>
          <w:i/>
          <w:iCs/>
        </w:rPr>
        <w:t>GigaScience</w:t>
      </w:r>
      <w:r w:rsidRPr="00F62B8C">
        <w:rPr>
          <w:rFonts w:ascii="Times New Roman" w:hAnsi="Times New Roman" w:cs="Times New Roman"/>
        </w:rPr>
        <w:t>. 2025;14. doi:10.1093/gigascience/giaf004</w:t>
      </w:r>
    </w:p>
    <w:p w14:paraId="65A70479"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Chen S, Zhou Y, Chen Y, Gu J. fastp: an ultra-fast all-in-one FASTQ preprocessor. </w:t>
      </w:r>
      <w:r w:rsidRPr="00F62B8C">
        <w:rPr>
          <w:rFonts w:ascii="Times New Roman" w:hAnsi="Times New Roman" w:cs="Times New Roman"/>
          <w:i/>
          <w:iCs/>
        </w:rPr>
        <w:t>Bioinformatics</w:t>
      </w:r>
      <w:r w:rsidRPr="00F62B8C">
        <w:rPr>
          <w:rFonts w:ascii="Times New Roman" w:hAnsi="Times New Roman" w:cs="Times New Roman"/>
        </w:rPr>
        <w:t>. 2018;34(17):i884–i890.</w:t>
      </w:r>
    </w:p>
    <w:p w14:paraId="53637FAE"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Wood DE, Lu J, Langmead B. Improved metagenomic analysis with Kraken 2. </w:t>
      </w:r>
      <w:r w:rsidRPr="00F62B8C">
        <w:rPr>
          <w:rFonts w:ascii="Times New Roman" w:hAnsi="Times New Roman" w:cs="Times New Roman"/>
          <w:i/>
          <w:iCs/>
        </w:rPr>
        <w:t>Genome Biology</w:t>
      </w:r>
      <w:r w:rsidRPr="00F62B8C">
        <w:rPr>
          <w:rFonts w:ascii="Times New Roman" w:hAnsi="Times New Roman" w:cs="Times New Roman"/>
        </w:rPr>
        <w:t>. 2019;20:257.</w:t>
      </w:r>
    </w:p>
    <w:p w14:paraId="2B261B5E"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Langmead B, Salzberg SL. Fast gapped-read alignment with Bowtie 2. </w:t>
      </w:r>
      <w:r w:rsidRPr="00F62B8C">
        <w:rPr>
          <w:rFonts w:ascii="Times New Roman" w:hAnsi="Times New Roman" w:cs="Times New Roman"/>
          <w:i/>
          <w:iCs/>
        </w:rPr>
        <w:t>Nature Methods</w:t>
      </w:r>
      <w:r w:rsidRPr="00F62B8C">
        <w:rPr>
          <w:rFonts w:ascii="Times New Roman" w:hAnsi="Times New Roman" w:cs="Times New Roman"/>
        </w:rPr>
        <w:t>. 2012;9:357–359.</w:t>
      </w:r>
    </w:p>
    <w:p w14:paraId="6FF4A0DD"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McIver LJ, Abu-Ali G, Franzosa EA, et al. bioBakery: a meta’omic analysis environment. </w:t>
      </w:r>
      <w:r w:rsidRPr="00F62B8C">
        <w:rPr>
          <w:rFonts w:ascii="Times New Roman" w:hAnsi="Times New Roman" w:cs="Times New Roman"/>
          <w:i/>
          <w:iCs/>
        </w:rPr>
        <w:t>Bioinformatics</w:t>
      </w:r>
      <w:r w:rsidRPr="00F62B8C">
        <w:rPr>
          <w:rFonts w:ascii="Times New Roman" w:hAnsi="Times New Roman" w:cs="Times New Roman"/>
        </w:rPr>
        <w:t>. 2018;34(7):1235–1237. (KneadData is distributed as part of the bioBakery suite.)</w:t>
      </w:r>
    </w:p>
    <w:p w14:paraId="16CC3593"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Bolger AM, Lohse M, Usadel B. Trimmomatic: a flexible trimmer for Illumina sequence data. </w:t>
      </w:r>
      <w:r w:rsidRPr="00F62B8C">
        <w:rPr>
          <w:rFonts w:ascii="Times New Roman" w:hAnsi="Times New Roman" w:cs="Times New Roman"/>
          <w:i/>
          <w:iCs/>
        </w:rPr>
        <w:t>Bioinformatics</w:t>
      </w:r>
      <w:r w:rsidRPr="00F62B8C">
        <w:rPr>
          <w:rFonts w:ascii="Times New Roman" w:hAnsi="Times New Roman" w:cs="Times New Roman"/>
        </w:rPr>
        <w:t>. 2014;30(15):2114–2120.</w:t>
      </w:r>
    </w:p>
    <w:p w14:paraId="33300279"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Benson G. Tandem repeats finder: a program to analyze DNA sequences. </w:t>
      </w:r>
      <w:r w:rsidRPr="00F62B8C">
        <w:rPr>
          <w:rFonts w:ascii="Times New Roman" w:hAnsi="Times New Roman" w:cs="Times New Roman"/>
          <w:i/>
          <w:iCs/>
        </w:rPr>
        <w:t>Nucleic Acids Research</w:t>
      </w:r>
      <w:r w:rsidRPr="00F62B8C">
        <w:rPr>
          <w:rFonts w:ascii="Times New Roman" w:hAnsi="Times New Roman" w:cs="Times New Roman"/>
        </w:rPr>
        <w:t>. 1999;27(2):573–580.</w:t>
      </w:r>
    </w:p>
    <w:p w14:paraId="53DBAD07"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Gourlé H, Karlsson-Lindsjö O, Hayer J, Bongcam-Rudloff E. Simulating Illumina metagenomic data with InSilicoSeq. </w:t>
      </w:r>
      <w:r w:rsidRPr="00F62B8C">
        <w:rPr>
          <w:rFonts w:ascii="Times New Roman" w:hAnsi="Times New Roman" w:cs="Times New Roman"/>
          <w:i/>
          <w:iCs/>
        </w:rPr>
        <w:t>Bioinformatics</w:t>
      </w:r>
      <w:r w:rsidRPr="00F62B8C">
        <w:rPr>
          <w:rFonts w:ascii="Times New Roman" w:hAnsi="Times New Roman" w:cs="Times New Roman"/>
        </w:rPr>
        <w:t>. 2019;35(3):521–522. doi:10.1093/bioinformatics/bty630</w:t>
      </w:r>
    </w:p>
    <w:p w14:paraId="2D89D3EA" w14:textId="77777777" w:rsidR="00723756" w:rsidRPr="00F62B8C" w:rsidRDefault="00000000" w:rsidP="00F62B8C">
      <w:pPr>
        <w:pStyle w:val="Heading2"/>
        <w:spacing w:before="0" w:after="0" w:line="480" w:lineRule="auto"/>
        <w:rPr>
          <w:rFonts w:ascii="Times New Roman" w:hAnsi="Times New Roman" w:cs="Times New Roman"/>
        </w:rPr>
      </w:pPr>
      <w:bookmarkStart w:id="63" w:name="supplementary-material"/>
      <w:bookmarkStart w:id="64" w:name="_Toc240055218"/>
      <w:bookmarkEnd w:id="61"/>
      <w:r w:rsidRPr="00F62B8C">
        <w:rPr>
          <w:rFonts w:ascii="Times New Roman" w:hAnsi="Times New Roman" w:cs="Times New Roman"/>
        </w:rPr>
        <w:lastRenderedPageBreak/>
        <w:t>Supplementary material</w:t>
      </w:r>
      <w:bookmarkEnd w:id="64"/>
    </w:p>
    <w:p w14:paraId="1B9380D7"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0F18EB66" wp14:editId="4A0B4FB1">
            <wp:extent cx="5334000" cy="3450303"/>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ures_publication_v2/figS1_backend_comparison.png"/>
                    <pic:cNvPicPr>
                      <a:picLocks noChangeAspect="1" noChangeArrowheads="1"/>
                    </pic:cNvPicPr>
                  </pic:nvPicPr>
                  <pic:blipFill>
                    <a:blip r:embed="rId9"/>
                    <a:stretch>
                      <a:fillRect/>
                    </a:stretch>
                  </pic:blipFill>
                  <pic:spPr bwMode="auto">
                    <a:xfrm>
                      <a:off x="0" y="0"/>
                      <a:ext cx="5334000" cy="3450303"/>
                    </a:xfrm>
                    <a:prstGeom prst="rect">
                      <a:avLst/>
                    </a:prstGeom>
                    <a:noFill/>
                    <a:ln w="9525">
                      <a:noFill/>
                      <a:headEnd/>
                      <a:tailEnd/>
                    </a:ln>
                  </pic:spPr>
                </pic:pic>
              </a:graphicData>
            </a:graphic>
          </wp:inline>
        </w:drawing>
      </w:r>
    </w:p>
    <w:p w14:paraId="04C280DD"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S1.</w:t>
      </w:r>
      <w:r w:rsidRPr="00F62B8C">
        <w:rPr>
          <w:rFonts w:ascii="Times New Roman" w:hAnsi="Times New Roman" w:cs="Times New Roman"/>
        </w:rPr>
        <w:t xml:space="preserve"> Comparison of interchangeable depletion backends within RustyClean: Bowtie2, minimap2 and Centrifuge. (a) F1 score, (b) host reads retained (%), (c) microbial reads lost (%), (d) peak memory (GB). Runtime is reported in Supplementary Table S1 and excluded here because one measurement (minimap2, 5M dataset) is a cold-start outlier.</w:t>
      </w:r>
    </w:p>
    <w:tbl>
      <w:tblPr>
        <w:tblStyle w:val="Table"/>
        <w:tblW w:w="5000" w:type="pct"/>
        <w:tblLayout w:type="fixed"/>
        <w:tblLook w:val="0020" w:firstRow="1" w:lastRow="0" w:firstColumn="0" w:lastColumn="0" w:noHBand="0" w:noVBand="0"/>
      </w:tblPr>
      <w:tblGrid>
        <w:gridCol w:w="1221"/>
        <w:gridCol w:w="1220"/>
        <w:gridCol w:w="751"/>
        <w:gridCol w:w="2347"/>
        <w:gridCol w:w="2253"/>
        <w:gridCol w:w="1784"/>
      </w:tblGrid>
      <w:tr w:rsidR="00723756" w:rsidRPr="00F62B8C" w14:paraId="29F9D1CB"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009" w:type="dxa"/>
          </w:tcPr>
          <w:p w14:paraId="34D6601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Backend</w:t>
            </w:r>
          </w:p>
        </w:tc>
        <w:tc>
          <w:tcPr>
            <w:tcW w:w="1009" w:type="dxa"/>
          </w:tcPr>
          <w:p w14:paraId="1F307ED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621" w:type="dxa"/>
          </w:tcPr>
          <w:p w14:paraId="227DB7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F1</w:t>
            </w:r>
          </w:p>
        </w:tc>
        <w:tc>
          <w:tcPr>
            <w:tcW w:w="1941" w:type="dxa"/>
          </w:tcPr>
          <w:p w14:paraId="4BE6032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 carry-over (%)</w:t>
            </w:r>
          </w:p>
        </w:tc>
        <w:tc>
          <w:tcPr>
            <w:tcW w:w="1863" w:type="dxa"/>
          </w:tcPr>
          <w:p w14:paraId="521333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Microbial loss (%)</w:t>
            </w:r>
          </w:p>
        </w:tc>
        <w:tc>
          <w:tcPr>
            <w:tcW w:w="1475" w:type="dxa"/>
          </w:tcPr>
          <w:p w14:paraId="45A6C5A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Peak mem (GB)</w:t>
            </w:r>
          </w:p>
        </w:tc>
      </w:tr>
      <w:tr w:rsidR="00723756" w:rsidRPr="00F62B8C" w14:paraId="1E1C9943" w14:textId="77777777">
        <w:tc>
          <w:tcPr>
            <w:tcW w:w="1009" w:type="dxa"/>
          </w:tcPr>
          <w:p w14:paraId="6FF213B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34EB2B7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21" w:type="dxa"/>
          </w:tcPr>
          <w:p w14:paraId="3CEE97B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0.9996</w:t>
            </w:r>
          </w:p>
        </w:tc>
        <w:tc>
          <w:tcPr>
            <w:tcW w:w="1941" w:type="dxa"/>
          </w:tcPr>
          <w:p w14:paraId="283E54F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0.055</w:t>
            </w:r>
          </w:p>
        </w:tc>
        <w:tc>
          <w:tcPr>
            <w:tcW w:w="1863" w:type="dxa"/>
          </w:tcPr>
          <w:p w14:paraId="7A4F59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475" w:type="dxa"/>
          </w:tcPr>
          <w:p w14:paraId="511B446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r>
      <w:tr w:rsidR="00723756" w:rsidRPr="00F62B8C" w14:paraId="0C26159D" w14:textId="77777777">
        <w:tc>
          <w:tcPr>
            <w:tcW w:w="1009" w:type="dxa"/>
          </w:tcPr>
          <w:p w14:paraId="4A30516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3AAF500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21" w:type="dxa"/>
          </w:tcPr>
          <w:p w14:paraId="729F040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0.9749</w:t>
            </w:r>
          </w:p>
        </w:tc>
        <w:tc>
          <w:tcPr>
            <w:tcW w:w="1941" w:type="dxa"/>
          </w:tcPr>
          <w:p w14:paraId="596B2D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0.053</w:t>
            </w:r>
          </w:p>
        </w:tc>
        <w:tc>
          <w:tcPr>
            <w:tcW w:w="1863" w:type="dxa"/>
          </w:tcPr>
          <w:p w14:paraId="7FCA066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0.568</w:t>
            </w:r>
          </w:p>
        </w:tc>
        <w:tc>
          <w:tcPr>
            <w:tcW w:w="1475" w:type="dxa"/>
          </w:tcPr>
          <w:p w14:paraId="0464052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r>
      <w:tr w:rsidR="00723756" w:rsidRPr="00F62B8C" w14:paraId="6766C0BA" w14:textId="77777777">
        <w:tc>
          <w:tcPr>
            <w:tcW w:w="1009" w:type="dxa"/>
          </w:tcPr>
          <w:p w14:paraId="2C17F23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2DB3FB1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30M / </w:t>
            </w:r>
            <w:r w:rsidRPr="00F62B8C">
              <w:rPr>
                <w:rFonts w:ascii="Times New Roman" w:hAnsi="Times New Roman" w:cs="Times New Roman"/>
              </w:rPr>
              <w:lastRenderedPageBreak/>
              <w:t>50%</w:t>
            </w:r>
          </w:p>
        </w:tc>
        <w:tc>
          <w:tcPr>
            <w:tcW w:w="621" w:type="dxa"/>
          </w:tcPr>
          <w:p w14:paraId="6CB3F29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0.99</w:t>
            </w:r>
            <w:r w:rsidRPr="00F62B8C">
              <w:rPr>
                <w:rFonts w:ascii="Times New Roman" w:hAnsi="Times New Roman" w:cs="Times New Roman"/>
              </w:rPr>
              <w:lastRenderedPageBreak/>
              <w:t>84</w:t>
            </w:r>
          </w:p>
        </w:tc>
        <w:tc>
          <w:tcPr>
            <w:tcW w:w="1941" w:type="dxa"/>
          </w:tcPr>
          <w:p w14:paraId="4E6ECA9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0.049</w:t>
            </w:r>
          </w:p>
        </w:tc>
        <w:tc>
          <w:tcPr>
            <w:tcW w:w="1863" w:type="dxa"/>
          </w:tcPr>
          <w:p w14:paraId="0B5F228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0.402</w:t>
            </w:r>
          </w:p>
        </w:tc>
        <w:tc>
          <w:tcPr>
            <w:tcW w:w="1475" w:type="dxa"/>
          </w:tcPr>
          <w:p w14:paraId="5BBC71C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r>
      <w:tr w:rsidR="00723756" w:rsidRPr="00F62B8C" w14:paraId="4477E9EA" w14:textId="77777777">
        <w:tc>
          <w:tcPr>
            <w:tcW w:w="1009" w:type="dxa"/>
          </w:tcPr>
          <w:p w14:paraId="6BFC980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54622DE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21" w:type="dxa"/>
          </w:tcPr>
          <w:p w14:paraId="558892A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0.9996</w:t>
            </w:r>
          </w:p>
        </w:tc>
        <w:tc>
          <w:tcPr>
            <w:tcW w:w="1941" w:type="dxa"/>
          </w:tcPr>
          <w:p w14:paraId="736FA57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0.049</w:t>
            </w:r>
          </w:p>
        </w:tc>
        <w:tc>
          <w:tcPr>
            <w:tcW w:w="1863" w:type="dxa"/>
          </w:tcPr>
          <w:p w14:paraId="1D2B2C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0.388</w:t>
            </w:r>
          </w:p>
        </w:tc>
        <w:tc>
          <w:tcPr>
            <w:tcW w:w="1475" w:type="dxa"/>
          </w:tcPr>
          <w:p w14:paraId="1C4CAC3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6.2</w:t>
            </w:r>
          </w:p>
        </w:tc>
      </w:tr>
      <w:tr w:rsidR="00723756" w:rsidRPr="00F62B8C" w14:paraId="4EBB1C26" w14:textId="77777777">
        <w:tc>
          <w:tcPr>
            <w:tcW w:w="1009" w:type="dxa"/>
          </w:tcPr>
          <w:p w14:paraId="47557C5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3590EB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21" w:type="dxa"/>
          </w:tcPr>
          <w:p w14:paraId="139927A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0.9986</w:t>
            </w:r>
          </w:p>
        </w:tc>
        <w:tc>
          <w:tcPr>
            <w:tcW w:w="1941" w:type="dxa"/>
          </w:tcPr>
          <w:p w14:paraId="75941E1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0.021</w:t>
            </w:r>
          </w:p>
        </w:tc>
        <w:tc>
          <w:tcPr>
            <w:tcW w:w="1863" w:type="dxa"/>
          </w:tcPr>
          <w:p w14:paraId="4E5451E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0.002</w:t>
            </w:r>
          </w:p>
        </w:tc>
        <w:tc>
          <w:tcPr>
            <w:tcW w:w="1475" w:type="dxa"/>
          </w:tcPr>
          <w:p w14:paraId="13D7894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11.5</w:t>
            </w:r>
          </w:p>
        </w:tc>
      </w:tr>
      <w:tr w:rsidR="00723756" w:rsidRPr="00F62B8C" w14:paraId="3B898E77" w14:textId="77777777">
        <w:tc>
          <w:tcPr>
            <w:tcW w:w="1009" w:type="dxa"/>
          </w:tcPr>
          <w:p w14:paraId="7B33BB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0A9D40A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21" w:type="dxa"/>
          </w:tcPr>
          <w:p w14:paraId="4DC6956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0.9742</w:t>
            </w:r>
          </w:p>
        </w:tc>
        <w:tc>
          <w:tcPr>
            <w:tcW w:w="1941" w:type="dxa"/>
          </w:tcPr>
          <w:p w14:paraId="565E232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0.026</w:t>
            </w:r>
          </w:p>
        </w:tc>
        <w:tc>
          <w:tcPr>
            <w:tcW w:w="1863" w:type="dxa"/>
          </w:tcPr>
          <w:p w14:paraId="747752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0.587</w:t>
            </w:r>
          </w:p>
        </w:tc>
        <w:tc>
          <w:tcPr>
            <w:tcW w:w="1475" w:type="dxa"/>
          </w:tcPr>
          <w:p w14:paraId="20A02A7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w:t>
            </w:r>
          </w:p>
        </w:tc>
      </w:tr>
      <w:tr w:rsidR="00723756" w:rsidRPr="00F62B8C" w14:paraId="5C109314" w14:textId="77777777">
        <w:tc>
          <w:tcPr>
            <w:tcW w:w="1009" w:type="dxa"/>
          </w:tcPr>
          <w:p w14:paraId="272B3B6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4092C5E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621" w:type="dxa"/>
          </w:tcPr>
          <w:p w14:paraId="59BEB61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0.9984</w:t>
            </w:r>
          </w:p>
        </w:tc>
        <w:tc>
          <w:tcPr>
            <w:tcW w:w="1941" w:type="dxa"/>
          </w:tcPr>
          <w:p w14:paraId="045D3AC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0.030</w:t>
            </w:r>
          </w:p>
        </w:tc>
        <w:tc>
          <w:tcPr>
            <w:tcW w:w="1863" w:type="dxa"/>
          </w:tcPr>
          <w:p w14:paraId="07A569C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0.431</w:t>
            </w:r>
          </w:p>
        </w:tc>
        <w:tc>
          <w:tcPr>
            <w:tcW w:w="1475" w:type="dxa"/>
          </w:tcPr>
          <w:p w14:paraId="6FD867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11.8</w:t>
            </w:r>
          </w:p>
        </w:tc>
      </w:tr>
      <w:tr w:rsidR="00723756" w:rsidRPr="00F62B8C" w14:paraId="6DF46EB1" w14:textId="77777777">
        <w:tc>
          <w:tcPr>
            <w:tcW w:w="1009" w:type="dxa"/>
          </w:tcPr>
          <w:p w14:paraId="02E742C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7CFA98D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21" w:type="dxa"/>
          </w:tcPr>
          <w:p w14:paraId="34C5B52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0.9997</w:t>
            </w:r>
          </w:p>
        </w:tc>
        <w:tc>
          <w:tcPr>
            <w:tcW w:w="1941" w:type="dxa"/>
          </w:tcPr>
          <w:p w14:paraId="1FC2F26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0.029</w:t>
            </w:r>
          </w:p>
        </w:tc>
        <w:tc>
          <w:tcPr>
            <w:tcW w:w="1863" w:type="dxa"/>
          </w:tcPr>
          <w:p w14:paraId="14DB43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0.416</w:t>
            </w:r>
          </w:p>
        </w:tc>
        <w:tc>
          <w:tcPr>
            <w:tcW w:w="1475" w:type="dxa"/>
          </w:tcPr>
          <w:p w14:paraId="3AB2871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11.9</w:t>
            </w:r>
          </w:p>
        </w:tc>
      </w:tr>
      <w:tr w:rsidR="00723756" w:rsidRPr="00F62B8C" w14:paraId="255E0107" w14:textId="77777777">
        <w:tc>
          <w:tcPr>
            <w:tcW w:w="1009" w:type="dxa"/>
          </w:tcPr>
          <w:p w14:paraId="55475C2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2DA66A7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21" w:type="dxa"/>
          </w:tcPr>
          <w:p w14:paraId="644FBA4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0.9940</w:t>
            </w:r>
          </w:p>
        </w:tc>
        <w:tc>
          <w:tcPr>
            <w:tcW w:w="1941" w:type="dxa"/>
          </w:tcPr>
          <w:p w14:paraId="61A9846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1.090</w:t>
            </w:r>
          </w:p>
        </w:tc>
        <w:tc>
          <w:tcPr>
            <w:tcW w:w="1863" w:type="dxa"/>
          </w:tcPr>
          <w:p w14:paraId="3F49BBD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0.001</w:t>
            </w:r>
          </w:p>
        </w:tc>
        <w:tc>
          <w:tcPr>
            <w:tcW w:w="1475" w:type="dxa"/>
          </w:tcPr>
          <w:p w14:paraId="0AB6E43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7.0</w:t>
            </w:r>
          </w:p>
        </w:tc>
      </w:tr>
      <w:tr w:rsidR="00723756" w:rsidRPr="00F62B8C" w14:paraId="6F0ACD12" w14:textId="77777777">
        <w:tc>
          <w:tcPr>
            <w:tcW w:w="1009" w:type="dxa"/>
          </w:tcPr>
          <w:p w14:paraId="225A245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7731CDD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21" w:type="dxa"/>
          </w:tcPr>
          <w:p w14:paraId="4CB190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0.9500</w:t>
            </w:r>
          </w:p>
        </w:tc>
        <w:tc>
          <w:tcPr>
            <w:tcW w:w="1941" w:type="dxa"/>
          </w:tcPr>
          <w:p w14:paraId="52F168A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1.179</w:t>
            </w:r>
          </w:p>
        </w:tc>
        <w:tc>
          <w:tcPr>
            <w:tcW w:w="1863" w:type="dxa"/>
          </w:tcPr>
          <w:p w14:paraId="124854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1.027</w:t>
            </w:r>
          </w:p>
        </w:tc>
        <w:tc>
          <w:tcPr>
            <w:tcW w:w="1475" w:type="dxa"/>
          </w:tcPr>
          <w:p w14:paraId="7BEA855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7.2</w:t>
            </w:r>
          </w:p>
        </w:tc>
      </w:tr>
      <w:tr w:rsidR="00723756" w:rsidRPr="00F62B8C" w14:paraId="2316E007" w14:textId="77777777">
        <w:tc>
          <w:tcPr>
            <w:tcW w:w="1009" w:type="dxa"/>
          </w:tcPr>
          <w:p w14:paraId="0C6A23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5EE677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621" w:type="dxa"/>
          </w:tcPr>
          <w:p w14:paraId="4A8C5EB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0.9920</w:t>
            </w:r>
          </w:p>
        </w:tc>
        <w:tc>
          <w:tcPr>
            <w:tcW w:w="1941" w:type="dxa"/>
          </w:tcPr>
          <w:p w14:paraId="061B1A4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1.173</w:t>
            </w:r>
          </w:p>
        </w:tc>
        <w:tc>
          <w:tcPr>
            <w:tcW w:w="1863" w:type="dxa"/>
          </w:tcPr>
          <w:p w14:paraId="58CCEB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0.632</w:t>
            </w:r>
          </w:p>
        </w:tc>
        <w:tc>
          <w:tcPr>
            <w:tcW w:w="1475" w:type="dxa"/>
          </w:tcPr>
          <w:p w14:paraId="486699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7.9</w:t>
            </w:r>
          </w:p>
        </w:tc>
      </w:tr>
      <w:tr w:rsidR="00723756" w:rsidRPr="00F62B8C" w14:paraId="70B8DEBA" w14:textId="77777777">
        <w:tc>
          <w:tcPr>
            <w:tcW w:w="1009" w:type="dxa"/>
          </w:tcPr>
          <w:p w14:paraId="3F9D327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0CA551A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21" w:type="dxa"/>
          </w:tcPr>
          <w:p w14:paraId="3D3B22E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0.9938</w:t>
            </w:r>
          </w:p>
        </w:tc>
        <w:tc>
          <w:tcPr>
            <w:tcW w:w="1941" w:type="dxa"/>
          </w:tcPr>
          <w:p w14:paraId="20B6D59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1.171</w:t>
            </w:r>
          </w:p>
        </w:tc>
        <w:tc>
          <w:tcPr>
            <w:tcW w:w="1863" w:type="dxa"/>
          </w:tcPr>
          <w:p w14:paraId="212C6A8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0.760</w:t>
            </w:r>
          </w:p>
        </w:tc>
        <w:tc>
          <w:tcPr>
            <w:tcW w:w="1475" w:type="dxa"/>
          </w:tcPr>
          <w:p w14:paraId="4000909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8.6</w:t>
            </w:r>
          </w:p>
        </w:tc>
      </w:tr>
      <w:bookmarkEnd w:id="0"/>
      <w:bookmarkEnd w:id="63"/>
    </w:tbl>
    <w:p w14:paraId="7F4583E5" w14:textId="77777777" w:rsidR="00F12552" w:rsidRPr="00F62B8C" w:rsidRDefault="00F12552" w:rsidP="00F62B8C">
      <w:pPr>
        <w:spacing w:after="0" w:line="480" w:lineRule="auto"/>
        <w:rPr>
          <w:rFonts w:ascii="Times New Roman" w:hAnsi="Times New Roman" w:cs="Times New Roman"/>
        </w:rPr>
      </w:pPr>
    </w:p>
    <w:sectPr w:rsidR="00F12552" w:rsidRPr="00F62B8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D8009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8BE60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C32B5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5963363">
    <w:abstractNumId w:val="0"/>
  </w:num>
  <w:num w:numId="2" w16cid:durableId="5884629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62544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29120981">
    <w:abstractNumId w:val="1"/>
  </w:num>
  <w:num w:numId="5" w16cid:durableId="71053825">
    <w:abstractNumId w:val="1"/>
  </w:num>
  <w:num w:numId="6" w16cid:durableId="1326977727">
    <w:abstractNumId w:val="1"/>
  </w:num>
  <w:num w:numId="7" w16cid:durableId="2057968905">
    <w:abstractNumId w:val="1"/>
  </w:num>
  <w:num w:numId="8" w16cid:durableId="16053053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23756"/>
    <w:rsid w:val="000E60A0"/>
    <w:rsid w:val="002C1E7B"/>
    <w:rsid w:val="00723756"/>
    <w:rsid w:val="008E3E0B"/>
    <w:rsid w:val="00CE3FF2"/>
    <w:rsid w:val="00DF4A7B"/>
    <w:rsid w:val="00F12552"/>
    <w:rsid w:val="00F62B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328D46F"/>
  <w15:docId w15:val="{9E046F3B-A86A-1D42-906A-495E6A00E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F4A7B"/>
    <w:pPr>
      <w:spacing w:after="100"/>
    </w:pPr>
  </w:style>
  <w:style w:type="paragraph" w:styleId="TOC2">
    <w:name w:val="toc 2"/>
    <w:basedOn w:val="Normal"/>
    <w:next w:val="Normal"/>
    <w:autoRedefine/>
    <w:uiPriority w:val="39"/>
    <w:rsid w:val="00DF4A7B"/>
    <w:pPr>
      <w:spacing w:after="100"/>
      <w:ind w:left="240"/>
    </w:pPr>
  </w:style>
  <w:style w:type="paragraph" w:styleId="TOC3">
    <w:name w:val="toc 3"/>
    <w:basedOn w:val="Normal"/>
    <w:next w:val="Normal"/>
    <w:autoRedefine/>
    <w:uiPriority w:val="39"/>
    <w:rsid w:val="00DF4A7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38</Pages>
  <Words>8739</Words>
  <Characters>49815</Characters>
  <Application>Microsoft Office Word</Application>
  <DocSecurity>0</DocSecurity>
  <Lines>415</Lines>
  <Paragraphs>116</Paragraphs>
  <ScaleCrop>false</ScaleCrop>
  <Company/>
  <LinksUpToDate>false</LinksUpToDate>
  <CharactersWithSpaces>58438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ZHANG Yufeng</cp:lastModifiedBy>
  <cp:revision>5</cp:revision>
  <dcterms:created xsi:type="dcterms:W3CDTF">2026-08-25T02:33:00Z</dcterms:created>
  <dcterms:modified xsi:type="dcterms:W3CDTF">2026-09-11T13:56:00Z</dcterms:modified>
</cp:coreProperties>
</file>