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a81a7f45dd54dd9fe5c0c194e5d89bc97db72c"/>
    <w:p>
      <w:pPr>
        <w:pStyle w:val="Heading1"/>
      </w:pPr>
      <w:r>
        <w:t xml:space="preserve">RustyClean: adaptive, composition-aware host depletion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[Institution]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Computational depletion of</w:t>
      </w:r>
      <w:r>
        <w:t xml:space="preserve"> </w:t>
      </w:r>
      <w:r>
        <w:t xml:space="preserve">host DNA is a mandatory first step in short-read metagenomics, and its</w:t>
      </w:r>
      <w:r>
        <w:t xml:space="preserve"> </w:t>
      </w:r>
      <w:r>
        <w:t xml:space="preserve">errors propagate silently into every downstream result. Recent</w:t>
      </w:r>
      <w:r>
        <w:t xml:space="preserve"> </w:t>
      </w:r>
      <w:r>
        <w:t xml:space="preserve">benchmarking established that the two dominant strategies fail in</w:t>
      </w:r>
      <w:r>
        <w:t xml:space="preserve"> </w:t>
      </w:r>
      <w:r>
        <w:t xml:space="preserve">opposite directions: alignment-based depletion is prone to false</w:t>
      </w:r>
      <w:r>
        <w:t xml:space="preserve"> </w:t>
      </w:r>
      <w:r>
        <w:t xml:space="preserve">positives, discarding genuine microbial reads, whereas k-mer</w:t>
      </w:r>
      <w:r>
        <w:t xml:space="preserve"> </w:t>
      </w:r>
      <w:r>
        <w:t xml:space="preserve">classification is prone to false negatives, retaining host reads.</w:t>
      </w:r>
      <w:r>
        <w:t xml:space="preserve"> </w:t>
      </w:r>
      <w:r>
        <w:t xml:space="preserve">Existing pipelines commit to one strategy for every sample and therefore</w:t>
      </w:r>
      <w:r>
        <w:t xml:space="preserve"> </w:t>
      </w:r>
      <w:r>
        <w:t xml:space="preserve">inherit one failure mode unconditionally. We present RustyClean, a</w:t>
      </w:r>
      <w:r>
        <w:t xml:space="preserve"> </w:t>
      </w:r>
      <w:r>
        <w:t xml:space="preserve">host-depletion pipeline that treats this asymmetry as a routing problem</w:t>
      </w:r>
      <w:r>
        <w:t xml:space="preserve"> </w:t>
      </w:r>
      <w:r>
        <w:t xml:space="preserve">rather than a fixed trade-off. RustyClean estimates the host fraction of</w:t>
      </w:r>
      <w:r>
        <w:t xml:space="preserve"> </w:t>
      </w:r>
      <w:r>
        <w:t xml:space="preserve">each sample from a rapid alignment survey of a 100,000-read subsample,</w:t>
      </w:r>
      <w:r>
        <w:t xml:space="preserve"> </w:t>
      </w:r>
      <w:r>
        <w:t xml:space="preserve">routes the sample to alignment- or classification-based depletion</w:t>
      </w:r>
      <w:r>
        <w:t xml:space="preserve"> </w:t>
      </w:r>
      <w:r>
        <w:t xml:space="preserve">accordingly, and on the classification path applies a targeted alignment</w:t>
      </w:r>
      <w:r>
        <w:t xml:space="preserve"> </w:t>
      </w:r>
      <w:r>
        <w:t xml:space="preserve">pass over the retained reads to recover host that classification missed.</w:t>
      </w:r>
      <w:r>
        <w:t xml:space="preserve"> </w:t>
      </w:r>
      <w:r>
        <w:t xml:space="preserve">On simulated metagenomes spanning 1–90% host content with per-read</w:t>
      </w:r>
      <w:r>
        <w:t xml:space="preserve"> </w:t>
      </w:r>
      <w:r>
        <w:t xml:space="preserve">ground truth, adaptive routing selected the appropriate backend in</w:t>
      </w:r>
      <w:r>
        <w:t xml:space="preserve"> </w:t>
      </w:r>
      <w:r>
        <w:t xml:space="preserve">every case. For high-host samples the default path uses Kraken2</w:t>
      </w:r>
      <w:r>
        <w:t xml:space="preserve"> </w:t>
      </w:r>
      <w:r>
        <w:t xml:space="preserve">classification followed by a targeted Bowtie2 recheck of unclassified</w:t>
      </w:r>
      <w:r>
        <w:t xml:space="preserve"> </w:t>
      </w:r>
      <w:r>
        <w:t xml:space="preserve">reads; for low-host samples it uses Bowtie2 directly. RustyClean ran</w:t>
      </w:r>
      <w:r>
        <w:t xml:space="preserve"> </w:t>
      </w:r>
      <w:r>
        <w:t xml:space="preserve">10–13× faster than KneadData on the host-removal step and 5.7–6.1×</w:t>
      </w:r>
      <w:r>
        <w:t xml:space="preserve"> </w:t>
      </w:r>
      <w:r>
        <w:t xml:space="preserve">faster for the full QC-plus-depletion pipeline, while discarding less</w:t>
      </w:r>
      <w:r>
        <w:t xml:space="preserve"> </w:t>
      </w:r>
      <w:r>
        <w:t xml:space="preserve">microbial signal (mean 0.20% against 2.58% across the four-dataset</w:t>
      </w:r>
      <w:r>
        <w:t xml:space="preserve"> </w:t>
      </w:r>
      <w:r>
        <w:t xml:space="preserve">evaluation panel). Against Hostile, a</w:t>
      </w:r>
      <w:r>
        <w:t xml:space="preserve"> </w:t>
      </w:r>
      <w:r>
        <w:t xml:space="preserve">purpose-built depletion tool, RustyClean’s depletion-only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--skip-qc</w:t>
      </w:r>
      <w:r>
        <w:t xml:space="preserve">) was 1.3–1.9× faster on a matched panel spanning 30–100 M</w:t>
      </w:r>
      <w:r>
        <w:t xml:space="preserve"> </w:t>
      </w:r>
      <w:r>
        <w:t xml:space="preserve">reads and 50–90% host content, with a small accuracy gap on the 100 M</w:t>
      </w:r>
      <w:r>
        <w:t xml:space="preserve"> </w:t>
      </w:r>
      <w:r>
        <w:t xml:space="preserve">subset (ΔF1 ≈ 0.0019 at 50% host, ΔF1 ≈ 0.0041 at 90% host).</w:t>
      </w:r>
      <w:r>
        <w:t xml:space="preserve"> </w:t>
      </w:r>
      <w:r>
        <w:t xml:space="preserve">The Kraken2-based path trades a larger memory footprint (~16 GB versus</w:t>
      </w:r>
      <w:r>
        <w:t xml:space="preserve"> </w:t>
      </w:r>
      <w:r>
        <w:t xml:space="preserve">~4 GB for Hostile) for classification speed, and the optional Bowtie2</w:t>
      </w:r>
      <w:r>
        <w:t xml:space="preserve"> </w:t>
      </w:r>
      <w:r>
        <w:t xml:space="preserve">recheck recovers most host reads that Kraken2 misses. RustyClean is a single Rust</w:t>
      </w:r>
      <w:r>
        <w:t xml:space="preserve"> </w:t>
      </w:r>
      <w:r>
        <w:t xml:space="preserve">binary with per-stage checkpointing, bounded concurrency and an</w:t>
      </w:r>
      <w:r>
        <w:t xml:space="preserve"> </w:t>
      </w:r>
      <w:r>
        <w:t xml:space="preserve">automated output 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 Kraken2,</w:t>
      </w:r>
      <w:r>
        <w:t xml:space="preserve"> </w:t>
      </w:r>
      <w:r>
        <w:t xml:space="preserve">Bowtie2, Rust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Two findings during development showed that a simple substitution is</w:t>
      </w:r>
      <w:r>
        <w:t xml:space="preserve"> </w:t>
      </w:r>
      <w:r>
        <w:t xml:space="preserve">insufficient, and they define 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is conditional on host fraction.</w:t>
      </w:r>
      <w:r>
        <w:t xml:space="preserve"> </w:t>
      </w:r>
      <w:r>
        <w:t xml:space="preserve">Kraken2's cost is essentially fixed per read, whereas Bowtie2's cost</w:t>
      </w:r>
      <w:r>
        <w:t xml:space="preserve"> </w:t>
      </w:r>
      <w:r>
        <w:t xml:space="preserve">depends on how many reads must be fully aligned rather than rejected</w:t>
      </w:r>
      <w:r>
        <w:t xml:space="preserve"> </w:t>
      </w:r>
      <w:r>
        <w:t xml:space="preserve">early. At low host fractions, alignment rejects most microbial reads</w:t>
      </w:r>
      <w:r>
        <w:t xml:space="preserve"> </w:t>
      </w:r>
      <w:r>
        <w:t xml:space="preserve">quickly and its index is smaller than a Kraken2 database, so the</w:t>
      </w:r>
      <w:r>
        <w:t xml:space="preserve"> </w:t>
      </w:r>
      <w:r>
        <w:t xml:space="preserve">alignment route is competitive or faster. The advantage inverts as host</w:t>
      </w:r>
      <w:r>
        <w:t xml:space="preserve"> </w:t>
      </w:r>
      <w:r>
        <w:t xml:space="preserve">fraction rises. A pipeline that commits to either method unconditionally</w:t>
      </w:r>
      <w:r>
        <w:t xml:space="preserve"> </w:t>
      </w:r>
      <w:r>
        <w:t xml:space="preserve">is therefore slower than 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</w:t>
      </w:r>
      <w:r>
        <w:t xml:space="preserve"> </w:t>
      </w:r>
      <w:r>
        <w:t xml:space="preserve">becomes large in absolute terms even when its rate is modest, because</w:t>
      </w:r>
      <w:r>
        <w:t xml:space="preserve"> </w:t>
      </w:r>
      <w:r>
        <w:t xml:space="preserve">the pool of host reads is large. In this regime, classification alone</w:t>
      </w:r>
      <w:r>
        <w:t xml:space="preserve"> </w:t>
      </w:r>
      <w:r>
        <w:t xml:space="preserve">does not deliver a sufficiently clean library.</w:t>
      </w:r>
    </w:p>
    <w:p>
      <w:pPr>
        <w:pStyle w:val="BodyText"/>
      </w:pPr>
      <w:r>
        <w:t xml:space="preserve">RustyClean addresses both by refusing to choose globally. It estimates</w:t>
      </w:r>
      <w:r>
        <w:t xml:space="preserve"> </w:t>
      </w:r>
      <w:r>
        <w:t xml:space="preserve">each sample's host fraction from a rapid subsample and routes that</w:t>
      </w:r>
      <w:r>
        <w:t xml:space="preserve"> </w:t>
      </w:r>
      <w:r>
        <w:t xml:space="preserve">sample to the appropriate depletion strategy; and on the classification</w:t>
      </w:r>
      <w:r>
        <w:t xml:space="preserve"> </w:t>
      </w:r>
      <w:r>
        <w:t xml:space="preserve">route, it applies a targeted alignment pass over the reads Kraken2</w:t>
      </w:r>
      <w:r>
        <w:t xml:space="preserve"> </w:t>
      </w:r>
      <w:r>
        <w:t xml:space="preserve">retained, recovering the residual host that classification missed. The</w:t>
      </w:r>
      <w:r>
        <w:t xml:space="preserve"> </w:t>
      </w:r>
      <w:r>
        <w:t xml:space="preserve">two mechanisms compose favourably: the verification pass is expensive</w:t>
      </w:r>
      <w:r>
        <w:t xml:space="preserve"> </w:t>
      </w:r>
      <w:r>
        <w:t xml:space="preserve">only when the retained set is large, which is precisely the low-host</w:t>
      </w:r>
      <w:r>
        <w:t xml:space="preserve"> </w:t>
      </w:r>
      <w:r>
        <w:t xml:space="preserve">regime that routing sends to alignment anyway.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per-sample adaptive routing scheme that selects between k-mer and</w:t>
      </w:r>
      <w:r>
        <w:t xml:space="preserve"> </w:t>
      </w:r>
      <w:r>
        <w:t xml:space="preserve">alignment-based depletion from a cheap host-fraction estimate.</w:t>
      </w:r>
    </w:p>
    <w:p>
      <w:pPr>
        <w:pStyle w:val="Compact"/>
        <w:numPr>
          <w:ilvl w:val="0"/>
          <w:numId w:val="1001"/>
        </w:numPr>
      </w:pPr>
      <w:r>
        <w:t xml:space="preserve">A hybrid two-pass depletion strategy that uses targeted alignment to</w:t>
      </w:r>
      <w:r>
        <w:t xml:space="preserve"> </w:t>
      </w:r>
      <w:r>
        <w:t xml:space="preserve">correct the characteristic false negative bias of k-mer</w:t>
      </w:r>
      <w:r>
        <w:t xml:space="preserve"> </w:t>
      </w:r>
      <w:r>
        <w:t xml:space="preserve">classification.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 bounded</w:t>
      </w:r>
      <w:r>
        <w:t xml:space="preserve"> </w:t>
      </w:r>
      <w:r>
        <w:t xml:space="preserve">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depths.</w:t>
      </w:r>
    </w:p>
    <w:bookmarkEnd w:id="11"/>
    <w:bookmarkStart w:id="23" w:name="methods"/>
    <w:p>
      <w:pPr>
        <w:pStyle w:val="Heading2"/>
      </w:pPr>
      <w:r>
        <w:t xml:space="preserve">2. Methods</w:t>
      </w:r>
    </w:p>
    <w:bookmarkStart w:id="12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RustyClean processes each sample through four stages by default: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t xml:space="preserve">Host fraction estimation — a rapid alignment survey of a random</w:t>
      </w:r>
      <w:r>
        <w:t xml:space="preserve"> </w:t>
      </w:r>
      <w:r>
        <w:t xml:space="preserve">read subsample (Section 2.3).</w:t>
      </w:r>
    </w:p>
    <w:p>
      <w:pPr>
        <w:pStyle w:val="Compact"/>
        <w:numPr>
          <w:ilvl w:val="0"/>
          <w:numId w:val="1002"/>
        </w:numPr>
      </w:pPr>
      <w:r>
        <w:t xml:space="preserve">Host depletion — routed to the alignment path (Section 2.5) or the</w:t>
      </w:r>
      <w:r>
        <w:t xml:space="preserve"> </w:t>
      </w:r>
      <w:r>
        <w:t xml:space="preserve">classification path (Section 2.4) by default. On the classification</w:t>
      </w:r>
      <w:r>
        <w:t xml:space="preserve"> </w:t>
      </w:r>
      <w:r>
        <w:t xml:space="preserve">path the retained reads are optionally re-screened with Bowtie2</w:t>
      </w:r>
      <w:r>
        <w:t xml:space="preserve"> </w:t>
      </w:r>
      <w:r>
        <w:t xml:space="preserve">(Section 2.6) to recover host reads that Kraken2 misses.</w:t>
      </w:r>
    </w:p>
    <w:p>
      <w:pPr>
        <w:pStyle w:val="Compact"/>
        <w:numPr>
          <w:ilvl w:val="0"/>
          <w:numId w:val="1002"/>
        </w:numPr>
      </w:pPr>
      <w:r>
        <w:t xml:space="preserve">Validation and finalisation — automated assertions before output</w:t>
      </w:r>
      <w:r>
        <w:t xml:space="preserve"> </w:t>
      </w:r>
      <w:r>
        <w:t xml:space="preserve">promotion (Section 2.7).</w:t>
      </w:r>
    </w:p>
    <w:p>
      <w:pPr>
        <w:pStyle w:val="FirstParagraph"/>
      </w:pPr>
      <w:r>
        <w:t xml:space="preserve">Alignment verification (</w:t>
      </w:r>
      <w:r>
        <w:rPr>
          <w:rStyle w:val="VerbatimChar"/>
        </w:rPr>
        <w:t xml:space="preserve">--bowtie2-recheck</w:t>
      </w:r>
      <w:r>
        <w:t xml:space="preserve">) is enabled by default when</w:t>
      </w:r>
      <w:r>
        <w:t xml:space="preserve"> </w:t>
      </w:r>
      <w:r>
        <w:t xml:space="preserve">auto mode routes a sample to the Kraken2 classification path. It can be</w:t>
      </w:r>
      <w:r>
        <w:t xml:space="preserve"> </w:t>
      </w:r>
      <w:r>
        <w:t xml:space="preserve">disabled for users who prefer raw Kraken2 output.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2"/>
    <w:bookmarkStart w:id="13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3"/>
    <w:bookmarkStart w:id="14" w:name="Xa5ec1ced87ccf33da737a7f52ac7b8265a1f479"/>
    <w:p>
      <w:pPr>
        <w:pStyle w:val="Heading3"/>
      </w:pPr>
      <w:r>
        <w:t xml:space="preserve">2.3 Host fraction estimation and adaptive routing</w:t>
      </w:r>
    </w:p>
    <w:p>
      <w:pPr>
        <w:pStyle w:val="FirstParagraph"/>
      </w:pPr>
      <w:r>
        <w:t xml:space="preserve">Because neither depletion strategy dominates across the host-fraction</w:t>
      </w:r>
      <w:r>
        <w:t xml:space="preserve"> </w:t>
      </w:r>
      <w:r>
        <w:t xml:space="preserve">spectrum, RustyClean selects one per sample rather than globally.</w:t>
      </w:r>
    </w:p>
    <w:p>
      <w:pPr>
        <w:pStyle w:val="BodyText"/>
      </w:pPr>
      <w:r>
        <w:t xml:space="preserve">A random subsample of n reads (default n = 100,000, drawn with seqtk</w:t>
      </w:r>
      <w:r>
        <w:t xml:space="preserve"> </w:t>
      </w:r>
      <w:r>
        <w:t xml:space="preserve">using a fixed seed for reproducibility) is taken from the</w:t>
      </w:r>
      <w:r>
        <w:t xml:space="preserve"> </w:t>
      </w:r>
      <w:r>
        <w:t xml:space="preserve">quality-controlled library and aligned against the host Bowtie2 index in</w:t>
      </w:r>
      <w:r>
        <w:t xml:space="preserve"> </w:t>
      </w:r>
      <w:r>
        <w:t xml:space="preserve">a fast, low-sensitivity mode (--very-fast-local). The host fraction is</w:t>
      </w:r>
      <w:r>
        <w:t xml:space="preserve"> </w:t>
      </w:r>
      <w:r>
        <w:t xml:space="preserve">estimated as the proportion of surveyed reads that align. Because the</w:t>
      </w:r>
      <w:r>
        <w:t xml:space="preserve"> </w:t>
      </w:r>
      <w:r>
        <w:t xml:space="preserve">subsample is small and the alignment is deliberately insensitive, the</w:t>
      </w:r>
      <w:r>
        <w:t xml:space="preserve"> </w:t>
      </w:r>
      <w:r>
        <w:t xml:space="preserve">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classification path (Section 2.4) with Bowtie2 recheck (Section 2.6).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 any</w:t>
      </w:r>
      <w:r>
        <w:t xml:space="preserve"> </w:t>
      </w:r>
      <w:r>
        <w:t xml:space="preserve">sample that does not clearly exceed the high-host threshold is routed</w:t>
      </w:r>
      <w:r>
        <w:t xml:space="preserve"> </w:t>
      </w:r>
      <w:r>
        <w:t xml:space="preserve">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4"/>
    <w:bookmarkStart w:id="15" w:name="classification-based-depletion"/>
    <w:p>
      <w:pPr>
        <w:pStyle w:val="Heading3"/>
      </w:pPr>
      <w:r>
        <w:t xml:space="preserve">2.4 Classification-based depletion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auto mode this path is selected for</w:t>
      </w:r>
      <w:r>
        <w:t xml:space="preserve"> </w:t>
      </w:r>
      <w:r>
        <w:t xml:space="preserve">large, high-host samples and is followed by the Bowtie2 recheck pass</w:t>
      </w:r>
      <w:r>
        <w:t xml:space="preserve"> </w:t>
      </w:r>
      <w:r>
        <w:t xml:space="preserve">described in Section 2.6.</w:t>
      </w:r>
    </w:p>
    <w:bookmarkEnd w:id="15"/>
    <w:bookmarkStart w:id="16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Xe4de1e90f832e19a4065932011b64ddf1460770"/>
    <w:p>
      <w:pPr>
        <w:pStyle w:val="Heading3"/>
      </w:pPr>
      <w:r>
        <w:t xml:space="preserve">2.6 Optional Bowtie2 verification pass (legacy Kraken2 path)</w:t>
      </w:r>
    </w:p>
    <w:p>
      <w:pPr>
        <w:pStyle w:val="FirstParagraph"/>
      </w:pPr>
      <w:r>
        <w:t xml:space="preserve">Because k-mer classification systematically under-detects host reads,</w:t>
      </w:r>
      <w:r>
        <w:t xml:space="preserve"> </w:t>
      </w:r>
      <w:r>
        <w:t xml:space="preserve">the Kraken2 classification path can be followed by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). The reads retained by Kraken2 are aligned against</w:t>
      </w:r>
      <w:r>
        <w:t xml:space="preserve"> </w:t>
      </w:r>
      <w:r>
        <w:t xml:space="preserve">the same host Bowtie2 index and those that align are removed. Only the</w:t>
      </w:r>
      <w:r>
        <w:t xml:space="preserve"> </w:t>
      </w:r>
      <w:r>
        <w:t xml:space="preserve">retained set is re-screened, so reads already identified as host are</w:t>
      </w:r>
      <w:r>
        <w:t xml:space="preserve"> </w:t>
      </w:r>
      <w:r>
        <w:t xml:space="preserve">never realigned. This pass is enabled by default when auto mode routes</w:t>
      </w:r>
      <w:r>
        <w:t xml:space="preserve"> </w:t>
      </w:r>
      <w:r>
        <w:t xml:space="preserve">a sample to the Kraken2 classification path, and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Kraken2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classification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that</w:t>
      </w:r>
      <w:r>
        <w:t xml:space="preserve"> </w:t>
      </w:r>
      <w:r>
        <w:t xml:space="preserve">regime is routed to the alignment path by Section 2.3 and never reaches</w:t>
      </w:r>
      <w:r>
        <w:t xml:space="preserve"> </w:t>
      </w:r>
      <w:r>
        <w:t xml:space="preserve">this stage. The two mechanisms are therefore complementary rather than</w:t>
      </w:r>
      <w:r>
        <w:t xml:space="preserve"> </w:t>
      </w:r>
      <w:r>
        <w:t xml:space="preserve">merely additive, and the worst-case cost of verification is bounded by</w:t>
      </w:r>
      <w:r>
        <w:t xml:space="preserve"> </w:t>
      </w:r>
      <w:r>
        <w:t xml:space="preserve">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0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Kraken2, and Bowtie2 executables. Source is available at</w:t>
      </w:r>
      <w:r>
        <w:t xml:space="preserve"> </w:t>
      </w: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20"/>
    <w:bookmarkStart w:id="21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All comparisons used 8 threads per</w:t>
      </w:r>
      <w:r>
        <w:t xml:space="preserve"> </w:t>
      </w:r>
      <w:r>
        <w:t xml:space="preserve">tool on the HKU HPC2021 cluster, with three replicates per condition for</w:t>
      </w:r>
      <w:r>
        <w:t xml:space="preserve"> </w:t>
      </w:r>
      <w:r>
        <w:t xml:space="preserve">RustyClean timing. Wall-clock time and peak resident set size were</w:t>
      </w:r>
      <w:r>
        <w:t xml:space="preserve"> </w:t>
      </w:r>
      <w:r>
        <w:t xml:space="preserve">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21"/>
    <w:bookmarkStart w:id="22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false negatives / true host reads — the</w:t>
      </w:r>
      <w:r>
        <w:t xml:space="preserve"> </w:t>
      </w:r>
      <w:r>
        <w:t xml:space="preserve">fraction of host reads retained in the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2"/>
    <w:bookmarkEnd w:id="23"/>
    <w:bookmarkStart w:id="45" w:name="results"/>
    <w:p>
      <w:pPr>
        <w:pStyle w:val="Heading2"/>
      </w:pPr>
      <w:r>
        <w:t xml:space="preserve">3. Results</w:t>
      </w:r>
    </w:p>
    <w:bookmarkStart w:id="27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the error profiles of the two</w:t>
      </w:r>
      <w:r>
        <w:t xml:space="preserve"> </w:t>
      </w:r>
      <w:r>
        <w:t xml:space="preserve">strategy families 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depletes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17235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_publication_v2/fig1_error_profi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accuracy. The positive class is a retained</w:t>
      </w:r>
      <w:r>
        <w:t xml:space="preserve"> </w:t>
      </w:r>
      <w:r>
        <w:t xml:space="preserve">microbial read: microbial loss is the proportion of true microbial reads</w:t>
      </w:r>
      <w:r>
        <w:t xml:space="preserve"> </w:t>
      </w:r>
      <w:r>
        <w:t xml:space="preserve">discarded, host carry-over the proportion of true host reads retained.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bookmarkEnd w:id="27"/>
    <w:bookmarkStart w:id="28" w:name="X766320909ac121c0b6cf9f18fe65e8251c2c4ef"/>
    <w:p>
      <w:pPr>
        <w:pStyle w:val="Heading3"/>
      </w:pPr>
      <w:r>
        <w:t xml:space="preserve">3.2 Per-sample routing selects the appropriate backend</w:t>
      </w:r>
    </w:p>
    <w:p>
      <w:pPr>
        <w:pStyle w:val="FirstParagraph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8"/>
    <w:bookmarkStart w:id="29" w:name="Xd105d91de94b2eab2f23e668ba816a7adf5294e"/>
    <w:p>
      <w:pPr>
        <w:pStyle w:val="Heading3"/>
      </w:pPr>
      <w:r>
        <w:t xml:space="preserve">3.3 A targeted verification pass resolves the residual-host trade-off</w:t>
      </w:r>
    </w:p>
    <w:p>
      <w:pPr>
        <w:pStyle w:val="FirstParagraph"/>
      </w:pPr>
      <w:r>
        <w:t xml:space="preserve">The verification pass is enabled by default on the classification path,</w:t>
      </w:r>
      <w:r>
        <w:t xml:space="preserve"> </w:t>
      </w:r>
      <w:r>
        <w:t xml:space="preserve">so the comparison below isolates its contribution against a</w:t>
      </w:r>
      <w:r>
        <w:t xml:space="preserve"> </w:t>
      </w:r>
      <w:r>
        <w:t xml:space="preserve">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</w:t>
      </w:r>
    </w:p>
    <w:bookmarkEnd w:id="29"/>
    <w:bookmarkStart w:id="36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its default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 head-to-head on the</w:t>
      </w:r>
      <w:r>
        <w:t xml:space="preserve"> </w:t>
      </w:r>
      <w:r>
        <w:t xml:space="preserve">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18533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_publication_v2/fig2_matched_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auto mode with Kraken2 + Bowtie2 recheck for</w:t>
      </w:r>
      <w:r>
        <w:t xml:space="preserve"> </w:t>
      </w:r>
      <w:r>
        <w:t xml:space="preserve">high-host samples and Bowtie2 for low-host samples (</w:t>
      </w:r>
      <w:r>
        <w:rPr>
          <w:rStyle w:val="VerbatimChar"/>
        </w:rPr>
        <w:t xml:space="preserve">--skip-qc</w:t>
      </w:r>
      <w:r>
        <w:t xml:space="preserve">,</w:t>
      </w:r>
      <w:r>
        <w:t xml:space="preserve"> </w:t>
      </w:r>
      <w:r>
        <w:t xml:space="preserve">depletion only, Kraken2 database on node-local storage); Hostile =</w:t>
      </w:r>
      <w:r>
        <w:t xml:space="preserve"> </w:t>
      </w:r>
      <w:r>
        <w:t xml:space="preserve">default T2T+HLA Bowtie2 index; KD = KneadData with T2T Bowtie2 index.</w:t>
      </w:r>
      <w:r>
        <w:t xml:space="preserve"> </w:t>
      </w:r>
      <w:r>
        <w:t xml:space="preserve">F1 is shown for the 100 M subset where Hostile accuracy was measured;</w:t>
      </w:r>
      <w:r>
        <w:t xml:space="preserve"> </w:t>
      </w:r>
      <w:r>
        <w:t xml:space="preserve">for the 30 M and 60 M datasets only RustyClean F1 is reported. Runtime</w:t>
      </w:r>
      <w:r>
        <w:t xml:space="preserve"> </w:t>
      </w:r>
      <w:r>
        <w:t xml:space="preserve">and memory are means over three replicates for RustyClean and single</w:t>
      </w:r>
      <w:r>
        <w:t xml:space="preserve"> </w:t>
      </w:r>
      <w:r>
        <w:t xml:space="preserve">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Kraken2-based auto configuration places RustyClean</w:t>
      </w:r>
      <w:r>
        <w:t xml:space="preserve"> </w:t>
      </w:r>
      <w:r>
        <w:t xml:space="preserve">between Hostile and KneadData on accuracy, but closer to Hostile than to</w:t>
      </w:r>
      <w:r>
        <w:t xml:space="preserve"> </w:t>
      </w:r>
      <w:r>
        <w:t xml:space="preserve">KneadData. On the depletion step alone RustyClean is faster than Hostile</w:t>
      </w:r>
      <w:r>
        <w:t xml:space="preserve"> </w:t>
      </w:r>
      <w:r>
        <w:t xml:space="preserve">across the panel while remaining an order of magnitude faster than</w:t>
      </w:r>
      <w:r>
        <w:t xml:space="preserve"> </w:t>
      </w:r>
      <w:r>
        <w:t xml:space="preserve">KneadData (Figure 4). The accuracy gap versus Hostile is the cost of</w:t>
      </w:r>
      <w:r>
        <w:t xml:space="preserve"> </w:t>
      </w:r>
      <w:r>
        <w:t xml:space="preserve">using k-mer classification rather than aligning every read; the Bowtie2</w:t>
      </w:r>
      <w:r>
        <w:t xml:space="preserve"> </w:t>
      </w:r>
      <w:r>
        <w:t xml:space="preserve">recheck step recovers the majority of the host reads that Kraken2 misses.</w:t>
      </w:r>
    </w:p>
    <w:p>
      <w:pPr>
        <w:pStyle w:val="BodyText"/>
      </w:pPr>
      <w:r>
        <w:drawing>
          <wp:inline>
            <wp:extent cx="5334000" cy="37633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_publication_v2/fig4_speed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6"/>
    <w:bookmarkStart w:id="37" w:name="X88a43697a6847eb0c5ee1a1fdfb30ccd60da50f"/>
    <w:p>
      <w:pPr>
        <w:pStyle w:val="Heading3"/>
      </w:pPr>
      <w:r>
        <w:t xml:space="preserve">3.4a Full enhanced panel with the default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default auto backend set</w:t>
      </w:r>
      <w:r>
        <w:t xml:space="preserve"> </w:t>
      </w:r>
      <w:r>
        <w:t xml:space="preserve">to Kraken2 classification followed by Bowtie2 recheck of unclassified</w:t>
      </w:r>
      <w:r>
        <w:t xml:space="preserve"> </w:t>
      </w:r>
      <w:r>
        <w:t xml:space="preserve">reads.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</w:t>
      </w:r>
    </w:p>
    <w:bookmarkEnd w:id="37"/>
    <w:bookmarkStart w:id="38" w:name="X404f9b7bbc64a7052a3a12e92b66c143b0109e7"/>
    <w:p>
      <w:pPr>
        <w:pStyle w:val="Heading3"/>
      </w:pPr>
      <w:r>
        <w:t xml:space="preserve">3.5 Memory profile of the default Kraken2 + Bowtie2 recheck path</w:t>
      </w:r>
    </w:p>
    <w:p>
      <w:pPr>
        <w:pStyle w:val="FirstParagraph"/>
      </w:pPr>
      <w:r>
        <w:t xml:space="preserve">The default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human-only Kraken2 index</w:t>
      </w:r>
      <w:r>
        <w:t xml:space="preserve"> </w:t>
      </w:r>
      <w:r>
        <w:t xml:space="preserve">(Kraken16, ~16 GB) plus the working set of the Bowtie2 recheck pass over</w:t>
      </w:r>
      <w:r>
        <w:t xml:space="preserve"> </w:t>
      </w:r>
      <w:r>
        <w:t xml:space="preserve">the 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bookmarkEnd w:id="38"/>
    <w:bookmarkStart w:id="39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routing treats the depletion step as a replaceable component,</w:t>
      </w:r>
      <w:r>
        <w:t xml:space="preserve"> </w:t>
      </w:r>
      <w:r>
        <w:t xml:space="preserve">alternative backends can be substituted without changing the surrounding</w:t>
      </w:r>
      <w:r>
        <w:t xml:space="preserve"> </w:t>
      </w:r>
      <w:r>
        <w:t xml:space="preserve">pipeline. We evaluated Bowtie2, minimap2 and Centrifuge on the full</w:t>
      </w:r>
      <w:r>
        <w:t xml:space="preserve"> </w:t>
      </w:r>
      <w:r>
        <w:t xml:space="preserve">enhanced panel. Bowtie2 and minimap2 were closely matched on accuracy,</w:t>
      </w:r>
      <w:r>
        <w:t xml:space="preserve"> </w:t>
      </w:r>
      <w:r>
        <w:t xml:space="preserve">while Centrifuge showed substantially higher host carry-over at high host</w:t>
      </w:r>
      <w:r>
        <w:t xml:space="preserve"> </w:t>
      </w:r>
      <w:r>
        <w:t xml:space="preserve">fractions (F1 0.745 at 99% host versus 0.980 for RustyClean)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</w:t>
      </w:r>
    </w:p>
    <w:bookmarkEnd w:id="39"/>
    <w:bookmarkStart w:id="43" w:name="cross-species-host-depletion"/>
    <w:p>
      <w:pPr>
        <w:pStyle w:val="Heading3"/>
      </w:pPr>
      <w:r>
        <w:t xml:space="preserve">3.7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We therefore tested RustyClean and KneadData on a panel of</w:t>
      </w:r>
      <w:r>
        <w:t xml:space="preserve"> </w:t>
      </w:r>
      <w:r>
        <w:t xml:space="preserve">10 M-read single-end simulated datasets in which the host genome was</w:t>
      </w:r>
      <w:r>
        <w:t xml:space="preserve"> </w:t>
      </w:r>
      <w:r>
        <w:t xml:space="preserve">human, monkey, mouse, rat, pig or rice (50% host fraction in each case).</w:t>
      </w:r>
      <w:r>
        <w:t xml:space="preserve"> </w:t>
      </w:r>
      <w:r>
        <w:t xml:space="preserve">RustyClean used its default auto backend; for non-human hosts the same</w:t>
      </w:r>
      <w:r>
        <w:t xml:space="preserve"> </w:t>
      </w:r>
      <w:r>
        <w:t xml:space="preserve">Kraken2 database was used because it contains the common mammalian</w:t>
      </w:r>
      <w:r>
        <w:t xml:space="preserve"> </w:t>
      </w:r>
      <w:r>
        <w:t xml:space="preserve">reference genomes.</w:t>
      </w:r>
    </w:p>
    <w:p>
      <w:pPr>
        <w:pStyle w:val="BodyText"/>
      </w:pPr>
      <w:r>
        <w:t xml:space="preserve">RustyClean maintained F1 ≥ 0.9997 across all six hosts, including the</w:t>
      </w:r>
      <w:r>
        <w:t xml:space="preserve"> </w:t>
      </w:r>
      <w:r>
        <w:t xml:space="preserve">phylogenetically distant rice host (Table 5 and Figure 3). KneadData,</w:t>
      </w:r>
      <w:r>
        <w:t xml:space="preserve"> </w:t>
      </w:r>
      <w:r>
        <w:t xml:space="preserve">which requires a species-specific Bowtie2 index, also performed well</w:t>
      </w:r>
      <w:r>
        <w:t xml:space="preserve"> </w:t>
      </w:r>
      <w:r>
        <w:t xml:space="preserve">(F1 ≈ 0.996) but was slightly below RustyClean on every host. The result</w:t>
      </w:r>
      <w:r>
        <w:t xml:space="preserve"> </w:t>
      </w:r>
      <w:r>
        <w:t xml:space="preserve">indicates that the adaptive routing strategy is not restricted to human</w:t>
      </w:r>
      <w:r>
        <w:t xml:space="preserve"> </w:t>
      </w:r>
      <w:r>
        <w:t xml:space="preserve">contamination and can be applied wherever a reference genome for the host</w:t>
      </w:r>
      <w:r>
        <w:t xml:space="preserve"> </w:t>
      </w:r>
      <w:r>
        <w:t xml:space="preserve">is available.</w:t>
      </w:r>
    </w:p>
    <w:p>
      <w:pPr>
        <w:pStyle w:val="BodyText"/>
      </w:pPr>
      <w:r>
        <w:drawing>
          <wp:inline>
            <wp:extent cx="5334000" cy="191024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_publication_v2/fig3_accur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default RustyClean auto backend. (a) F1</w:t>
      </w:r>
      <w:r>
        <w:t xml:space="preserve"> </w:t>
      </w:r>
      <w:r>
        <w:t xml:space="preserve">score across host fractions from 0% to 99% on the full enhanced panel.</w:t>
      </w:r>
      <w:r>
        <w:t xml:space="preserve"> </w:t>
      </w:r>
      <w:r>
        <w:t xml:space="preserve">The dashed grey line marks F1 = 0.99; the value at each anchor point is</w:t>
      </w:r>
      <w:r>
        <w:t xml:space="preserve"> </w:t>
      </w:r>
      <w:r>
        <w:t xml:space="preserve">annotated. The drop at 99% host reflects the increased impact of</w:t>
      </w:r>
      <w:r>
        <w:t xml:space="preserve"> </w:t>
      </w:r>
      <w:r>
        <w:t xml:space="preserve">retained host reads when microbial reads are rare. (b) Cross-species</w:t>
      </w:r>
      <w:r>
        <w:t xml:space="preserve"> </w:t>
      </w:r>
      <w:r>
        <w:t xml:space="preserve">host-depletion accuracy on 10 M-read, 50%-host simulated datasets.</w:t>
      </w:r>
      <w:r>
        <w:t xml:space="preserve"> </w:t>
      </w:r>
      <w:r>
        <w:t xml:space="preserve">Values are shown above each bar.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Cross-species host depletion accuracy on 10 M-read,</w:t>
      </w:r>
      <w:r>
        <w:t xml:space="preserve"> </w:t>
      </w:r>
      <w:r>
        <w:t xml:space="preserve">50%-host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1954"/>
        <w:gridCol w:w="1851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runtime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43"/>
    <w:bookmarkStart w:id="44" w:name="real-data-performance"/>
    <w:p>
      <w:pPr>
        <w:pStyle w:val="Heading3"/>
      </w:pPr>
      <w:r>
        <w:t xml:space="preserve">3.8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All samples</w:t>
      </w:r>
      <w:r>
        <w:t xml:space="preserve"> </w:t>
      </w:r>
      <w:r>
        <w:t xml:space="preserve">completed successfully with the default auto backend.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44"/>
    <w:bookmarkEnd w:id="45"/>
    <w:bookmarkStart w:id="4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both the routing threshold and the verification pass</w:t>
      </w:r>
      <w:r>
        <w:t xml:space="preserve"> </w:t>
      </w:r>
      <w:r>
        <w:t xml:space="preserve">as user-facing settings for this reason.</w:t>
      </w:r>
    </w:p>
    <w:p>
      <w:pPr>
        <w:pStyle w:val="BodyText"/>
      </w:pPr>
      <w:r>
        <w:t xml:space="preserve">The central result is that the choice of depletion backend should be</w:t>
      </w:r>
      <w:r>
        <w:t xml:space="preserve"> </w:t>
      </w:r>
      <w:r>
        <w:t xml:space="preserve">made per-sample rather than per-study. Routing addresses the runtime</w:t>
      </w:r>
      <w:r>
        <w:t xml:space="preserve"> </w:t>
      </w:r>
      <w:r>
        <w:t xml:space="preserve">half of the asymmetry characterised by Gao et al.: k-mer classification</w:t>
      </w:r>
      <w:r>
        <w:t xml:space="preserve"> </w:t>
      </w:r>
      <w:r>
        <w:t xml:space="preserve">is fastest when most reads are host and can be discarded in bulk,</w:t>
      </w:r>
      <w:r>
        <w:t xml:space="preserve"> </w:t>
      </w:r>
      <w:r>
        <w:t xml:space="preserve">whereas direct alignment is competitive when most reads are microbial</w:t>
      </w:r>
      <w:r>
        <w:t xml:space="preserve"> </w:t>
      </w:r>
      <w:r>
        <w:t xml:space="preserve">and can be rejected early. RustyClean captures this with a rapid</w:t>
      </w:r>
      <w:r>
        <w:t xml:space="preserve"> </w:t>
      </w:r>
      <w:r>
        <w:t xml:space="preserve">alignment survey of a 100 k-read subsample, then routes the sample to</w:t>
      </w:r>
      <w:r>
        <w:t xml:space="preserve"> </w:t>
      </w:r>
      <w:r>
        <w:t xml:space="preserve">Bowtie2 removal when the estimated host fraction is low or moderate and</w:t>
      </w:r>
      <w:r>
        <w:t xml:space="preserve"> </w:t>
      </w:r>
      <w:r>
        <w:t xml:space="preserve">to Kraken2 classification with Bowtie2 recheck when the host fraction is</w:t>
      </w:r>
      <w:r>
        <w:t xml:space="preserve"> </w:t>
      </w:r>
      <w:r>
        <w:t xml:space="preserve">high. For host-negative samples the entire alignment step is skipped.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RustyClean’s depletion-only</w:t>
      </w:r>
      <w:r>
        <w:t xml:space="preserve"> </w:t>
      </w:r>
      <w:r>
        <w:t xml:space="preserve">step (</w:t>
      </w:r>
      <w:r>
        <w:rPr>
          <w:rStyle w:val="VerbatimChar"/>
        </w:rPr>
        <w:t xml:space="preserve">--skip-qc</w:t>
      </w:r>
      <w:r>
        <w:t xml:space="preserve">) was 1.30–1.86× faster than Hostile and an order of</w:t>
      </w:r>
      <w:r>
        <w:t xml:space="preserve"> </w:t>
      </w:r>
      <w:r>
        <w:t xml:space="preserve">magnitude faster than KneadData, while the accuracy gap versus Hostile</w:t>
      </w:r>
      <w:r>
        <w:t xml:space="preserve"> </w:t>
      </w:r>
      <w:r>
        <w:t xml:space="preserve">remained small (ΔF1 ≈ 0.0019 at 50% host; ΔF1 ≈ 0.0041 at 90% host).</w:t>
      </w:r>
      <w:r>
        <w:t xml:space="preserve"> </w:t>
      </w:r>
      <w:r>
        <w:t xml:space="preserve">The gap at 90% host reflects the expected false-negative rate of k-mer</w:t>
      </w:r>
      <w:r>
        <w:t xml:space="preserve"> </w:t>
      </w:r>
      <w:r>
        <w:t xml:space="preserve">classification: a small fraction of host reads lack sufficiently</w:t>
      </w:r>
      <w:r>
        <w:t xml:space="preserve"> </w:t>
      </w:r>
      <w:r>
        <w:t xml:space="preserve">discriminative k-mers and are retained despite the Bowtie2 recheck. RustyClean's contribution is therefore not that k-mer</w:t>
      </w:r>
      <w:r>
        <w:t xml:space="preserve"> </w:t>
      </w:r>
      <w:r>
        <w:t xml:space="preserve">classification is more accurate than alignment — it is not — but</w:t>
      </w:r>
      <w:r>
        <w:t xml:space="preserve"> </w:t>
      </w:r>
      <w:r>
        <w:t xml:space="preserve">that per-sample routing lets the pipeline use classification where it</w:t>
      </w:r>
      <w:r>
        <w:t xml:space="preserve"> </w:t>
      </w:r>
      <w:r>
        <w:t xml:space="preserve">has the largest speed advantage while falling back to alignment where</w:t>
      </w:r>
      <w:r>
        <w:t xml:space="preserve"> </w:t>
      </w:r>
      <w:r>
        <w:t xml:space="preserve">alignment is already efficient or where the residual-host penalty is</w:t>
      </w:r>
      <w:r>
        <w:t xml:space="preserve"> </w:t>
      </w:r>
      <w:r>
        <w:t xml:space="preserve">unacceptable.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bookmarkEnd w:id="46"/>
    <w:bookmarkStart w:id="47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7"/>
    <w:bookmarkStart w:id="50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8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8"/>
    <w:bookmarkStart w:id="49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Default path uses a human-only Kraken2 index (~16 GB). Memory is bounded by DB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Set from measured runtime crossover of the two backends; conservative routing sends borderline samples to the safer alignment path (Section 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Routing tolerates estimation error because it only needs the estimate to be on the correct side of a threshold. This is a designed property, not a bug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T2T-CHM13v2.0 human-only Kraken2 index + Bowtie2 index; mixed Kraken2 databases are optional for users who also want taxonomy (Section 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routing, checkpointing, validation, and bounded concurrency in one binary; on the matched panel the depletion step is 1.3–1.9× faster than Hostile while accuracy is comparable (Section 3.4).</w:t>
            </w:r>
          </w:p>
        </w:tc>
      </w:tr>
    </w:tbl>
    <w:bookmarkEnd w:id="49"/>
    <w:bookmarkEnd w:id="50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bookmarkEnd w:id="51"/>
    <w:bookmarkStart w:id="55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34503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_publication_v2/figS1_backend_comparis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52" Target="media/rId52.png" /><Relationship Type="http://schemas.openxmlformats.org/officeDocument/2006/relationships/hyperlink" Id="rId9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2026-08-25T02:21:22Z</dcterms:created>
  <dcterms:modified xsi:type="dcterms:W3CDTF">2026-08-25T02:21:22Z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