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1.3–1.9× faster than Hostile and 6.6–10.7× faster than KneadData on</w:t>
      </w:r>
      <w:r>
        <w:t xml:space="preserve"> </w:t>
      </w:r>
      <w:r>
        <w:t xml:space="preserve">the host-removal step on a matched panel spanning 30–100 M reads and</w:t>
      </w:r>
      <w:r>
        <w:t xml:space="preserve"> </w:t>
      </w:r>
      <w:r>
        <w:t xml:space="preserve">50–90% host content. For the full QC-plus-depletion pipeline on the</w:t>
      </w:r>
      <w:r>
        <w:t xml:space="preserve"> </w:t>
      </w:r>
      <w:r>
        <w:t xml:space="preserve">four-dataset panel it was 2.5–4.6× faster than KneadData, while</w:t>
      </w:r>
      <w:r>
        <w:t xml:space="preserve"> </w:t>
      </w:r>
      <w:r>
        <w:t xml:space="preserve">discarding less microbial signal (mean 0.20% against 2.58%). Against</w:t>
      </w:r>
      <w:r>
        <w:t xml:space="preserve"> </w:t>
      </w:r>
      <w:r>
        <w:t xml:space="preserve">Hostile the accuracy gap remained small (ΔF1 ≈ 0.0019 at 50% host,</w:t>
      </w:r>
      <w:r>
        <w:t xml:space="preserve"> </w:t>
      </w:r>
      <w:r>
        <w:t xml:space="preserve">ΔF1 ≈ 0.0041 at 90% host).</w:t>
      </w:r>
      <w:r>
        <w:t xml:space="preserve"> </w:t>
      </w:r>
      <w:r>
        <w:t xml:space="preserve">The Kraken2-based path trades a larger memory footprint (~15.5 GB for</w:t>
      </w:r>
      <w:r>
        <w:t xml:space="preserve"> </w:t>
      </w:r>
      <w:r>
        <w:t xml:space="preserve">the T2T-only human index versus ~3.6 GB for Hostile) for classification</w:t>
      </w:r>
      <w:r>
        <w:t xml:space="preserve"> </w:t>
      </w:r>
      <w:r>
        <w:t xml:space="preserve">speed, and the optional Bowtie2 recheck recovers most host reads that</w:t>
      </w:r>
      <w:r>
        <w:t xml:space="preserve"> </w:t>
      </w:r>
      <w:r>
        <w:t xml:space="preserve">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 xml:space="preserve">Alignment verification (</w:t>
      </w:r>
      <w:r>
        <w:rPr>
          <w:rStyle w:val="VerbatimChar"/>
        </w:rPr>
        <w:t xml:space="preserve">--bowtie2-recheck</w:t>
      </w:r>
      <w:r>
        <w:t xml:space="preserve">) is enabled by default when</w:t>
      </w:r>
      <w:r>
        <w:t xml:space="preserve"> </w:t>
      </w:r>
      <w:r>
        <w:t xml:space="preserve">auto mode routes a sample to the Kraken2 classification path. It can be</w:t>
      </w:r>
      <w:r>
        <w:t xml:space="preserve"> </w:t>
      </w:r>
      <w:r>
        <w:t xml:space="preserve">disabled for users who prefer raw Kraken2 output.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Kraken2, and Bowtie2 executables. Source is available at</w:t>
      </w:r>
      <w:r>
        <w:t xml:space="preserve"> </w:t>
      </w: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T2T-only human Kraken2 index</w:t>
      </w:r>
      <w:r>
        <w:t xml:space="preserve"> </w:t>
      </w:r>
      <w:r>
        <w:t xml:space="preserve">(~15.5 GB) plus the working set of the Bowtie2 recheck pass over the</w:t>
      </w:r>
      <w:r>
        <w:t xml:space="preserve"> </w:t>
      </w:r>
      <w:r>
        <w:t xml:space="preserve">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T2T-only human Kraken2 index (~15.5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hyperlink" Id="rId9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2026-08-25T02:33:17Z</dcterms:created>
  <dcterms:modified xsi:type="dcterms:W3CDTF">2026-08-25T02:33:17Z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