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5.png" ContentType="image/png"/>
  <Override PartName="/word/media/rId518.png" ContentType="image/png"/>
  <Override PartName="/word/media/rId521.png" ContentType="image/png"/>
  <Override PartName="/word/media/rId524.png" ContentType="image/png"/>
  <Override PartName="/word/media/rId527.png" ContentType="image/png"/>
  <Override PartName="/word/media/rId530.png" ContentType="image/png"/>
  <Override PartName="/word/media/rId533.png" ContentType="image/png"/>
  <Override PartName="/word/media/rId536.png" ContentType="image/png"/>
  <Override PartName="/word/media/rId539.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4" w:name="X35a67ffd771dc0eee37406016d31234a1046d16"/>
    <w:p>
      <w:pPr>
        <w:pStyle w:val="Heading1"/>
      </w:pPr>
      <w:r>
        <w:t xml:space="preserve">Coordinate-aware V-fitting enables shallow-depth PTR estimation from 2bRAD anchor panels</w:t>
      </w:r>
    </w:p>
    <w:bookmarkStart w:id="441"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p>
      <w:pPr>
        <w:pStyle w:val="BodyText"/>
      </w:pPr>
      <w:r>
        <w:rPr>
          <w:b/>
          <w:bCs/>
        </w:rPr>
        <w:t xml:space="preserve">Revision provenance:</w:t>
      </w:r>
      <w:r>
        <w:t xml:space="preserve"> </w:t>
      </w:r>
      <w:r>
        <w:t xml:space="preserve">Review revision 2026-09-18. The primary Zheng grid uses signed fixed-origin fitting and single-pass GC correction; residual two-pass GC correction is diagnostic only.</w:t>
      </w:r>
    </w:p>
    <w:bookmarkEnd w:id="441"/>
    <w:bookmarkStart w:id="442" w:name="abstract"/>
    <w:p>
      <w:pPr>
        <w:pStyle w:val="Heading2"/>
      </w:pPr>
      <w:r>
        <w:t xml:space="preserve">Abstract</w:t>
      </w:r>
    </w:p>
    <w:p>
      <w:pPr>
        <w:pStyle w:val="FirstParagraph"/>
      </w:pPr>
      <w:r>
        <w:t xml:space="preserve">Peak-to-trough ratio (PTR) inference from metagenomes is a culture-independent proxy for bacterial growth rates, but the current sketch-based estimator requires a depth that metagenomic per-strain coverage rarely reaches, and its shipped coverage gates return no estimate at all below ~10×. We present sk2bGrow, which counts Type IIB restriction-enzyme (2bRAD) anchors — motif-defined loci whose genome coordinates are known a priori and identical across samples — and fits the replication gradient with a coordinate-aware windowed V-fit. On the Zheng</w:t>
      </w:r>
      <w:r>
        <w:t xml:space="preserve"> </w:t>
      </w:r>
      <w:r>
        <w:rPr>
          <w:i/>
          <w:iCs/>
        </w:rPr>
        <w:t xml:space="preserve">E. coli</w:t>
      </w:r>
      <w:r>
        <w:t xml:space="preserve"> </w:t>
      </w:r>
      <w:r>
        <w:t xml:space="preserve">growth-rate panel, sk2bGrow returned usable PTR estimates at 1–2× sequencing depth, where Pilea’s shipped defaults return nothing, with r = 0.92 at 1× and 0.96 at 2× against measured growth rates (n = 16). The accuracy comes from the coordinate-aware estimator, not the landmark source — at matched density, the two landmark sources were not significantly different in the paired bootstrap at any depth — while the multi-enzyme panel contributes what a hash sketch cannot: a wet-lab-realizable landmark set and consistency strata whose heterogeneous biases exposed our own counting defect. A post-hoc count-level factorial further separates shallow-depth extraction from multi-reference assignment: coordinate fitting was accurate for private anchors, whereas shared-anchor ambiguity introduced a depth-amplified negative bias. The estimates are not unbiased — the fitted slope compresses the dynamic range at low coverage, and the compression mechanism remains unresolved. On three fecal metagenomes, sk2bGrow and Pilea agreed (bias +0.22–+0.25 log2; n = 58–78 species×sample pairs per sample). As a process-level finding, exact deduplication of 2bRAD libraries before counting destroys the PTR signal — a PCR copy-number artefact we localize per anchor. sk2bGrow is 89.5–240.8× slower than Pilea at MAG-panel scale; mismatch-1 counting narrows the gap to roughly one order of magnitude (measured end-to-end on all nine samples: 20.5–38.8× faster counting than the mismatch-2 baseline, no genome lost), and a containment pre-screen — measured to clear the absent-reference false-positive floor, and required at database scale where an unrestricted index would emit estimates for absent references — completes the fix.</w:t>
      </w:r>
    </w:p>
    <w:bookmarkEnd w:id="442"/>
    <w:bookmarkStart w:id="443" w:name="keywords"/>
    <w:p>
      <w:pPr>
        <w:pStyle w:val="Heading2"/>
      </w:pPr>
      <w:r>
        <w:t xml:space="preserve">Keywords</w:t>
      </w:r>
    </w:p>
    <w:p>
      <w:pPr>
        <w:pStyle w:val="FirstParagraph"/>
      </w:pPr>
      <w:r>
        <w:t xml:space="preserve">peak-to-trough ratio; microbial growth dynamics; 2bRAD; FracMinHash; metagenomics; shallow sequencing</w:t>
      </w:r>
    </w:p>
    <w:bookmarkEnd w:id="443"/>
    <w:bookmarkStart w:id="444"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444"/>
    <w:bookmarkStart w:id="473"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445">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453"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446"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446"/>
    <w:bookmarkStart w:id="447"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447"/>
    <w:bookmarkStart w:id="448"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448"/>
    <w:bookmarkStart w:id="449"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449"/>
    <w:bookmarkStart w:id="450"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450"/>
    <w:bookmarkStart w:id="451"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451"/>
    <w:bookmarkStart w:id="452"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452"/>
    <w:bookmarkEnd w:id="453"/>
    <w:bookmarkStart w:id="454"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454"/>
    <w:bookmarkStart w:id="462" w:name="benchmark-datasets"/>
    <w:p>
      <w:pPr>
        <w:pStyle w:val="Heading3"/>
      </w:pPr>
      <w:r>
        <w:t xml:space="preserve">3. Benchmark datasets</w:t>
      </w:r>
    </w:p>
    <w:bookmarkStart w:id="455"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455"/>
    <w:bookmarkStart w:id="456"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456"/>
    <w:bookmarkStart w:id="457"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457"/>
    <w:bookmarkStart w:id="458"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458"/>
    <w:bookmarkStart w:id="459"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459"/>
    <w:bookmarkStart w:id="460"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460"/>
    <w:bookmarkStart w:id="461"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461"/>
    <w:bookmarkEnd w:id="462"/>
    <w:bookmarkStart w:id="463"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463"/>
    <w:bookmarkStart w:id="464"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464"/>
    <w:bookmarkStart w:id="471" w:name="X85a115a26ce12f930c9dac210e8d891ae5a6b7c"/>
    <w:p>
      <w:pPr>
        <w:pStyle w:val="Heading3"/>
      </w:pPr>
      <w:r>
        <w:t xml:space="preserve">6. Landmark-source and robustness experiments (F1–F6)</w:t>
      </w:r>
    </w:p>
    <w:p>
      <w:pPr>
        <w:pStyle w:val="FirstParagraph"/>
      </w:pPr>
      <w:r>
        <w:t xml:space="preserve">All six experiments isolate or decompose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F6 is a post-hoc count-level factorial that</w:t>
      </w:r>
      <w:r>
        <w:t xml:space="preserve"> </w:t>
      </w:r>
      <w:r>
        <w:t xml:space="preserve">separates estimator, depth, ambiguity and coordinate placement.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465"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465"/>
    <w:bookmarkStart w:id="466"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466"/>
    <w:bookmarkStart w:id="467"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467"/>
    <w:bookmarkStart w:id="468"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468"/>
    <w:bookmarkStart w:id="469"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bookmarkEnd w:id="469"/>
    <w:bookmarkStart w:id="470" w:name="X84bfdf958829166d8b906dacf41027ff82eb47c"/>
    <w:p>
      <w:pPr>
        <w:pStyle w:val="Heading4"/>
      </w:pPr>
      <w:r>
        <w:t xml:space="preserve">6.6 Count-level factorial decomposition of depth and ambiguity (F6, post hoc)</w:t>
      </w:r>
    </w:p>
    <w:p>
      <w:pPr>
        <w:pStyle w:val="FirstParagraph"/>
      </w:pPr>
      <w:r>
        <w:rPr>
          <w:b/>
          <w:bCs/>
        </w:rPr>
        <w:t xml:space="preserve">Purpose.</w:t>
      </w:r>
      <w:r>
        <w:t xml:space="preserve"> </w:t>
      </w:r>
      <w:r>
        <w:t xml:space="preserve">Separate four effects that are confounded in an end-to-end</w:t>
      </w:r>
      <w:r>
        <w:t xml:space="preserve"> </w:t>
      </w:r>
      <w:r>
        <w:t xml:space="preserve">comparison — estimator, sequencing depth, multi-strain anchor ambiguity, and</w:t>
      </w:r>
      <w:r>
        <w:t xml:space="preserve"> </w:t>
      </w:r>
      <w:r>
        <w:t xml:space="preserve">landmark-coordinate placement — without changing the read-level benchmark used</w:t>
      </w:r>
      <w:r>
        <w:t xml:space="preserve"> </w:t>
      </w:r>
      <w:r>
        <w:t xml:space="preserve">for the primary attribution analysis.</w:t>
      </w:r>
    </w:p>
    <w:p>
      <w:pPr>
        <w:pStyle w:val="BodyText"/>
      </w:pPr>
      <w:r>
        <w:rPr>
          <w:b/>
          <w:bCs/>
        </w:rPr>
        <w:t xml:space="preserve">Simulator.</w:t>
      </w:r>
      <w:r>
        <w:t xml:space="preserve"> </w:t>
      </w:r>
      <w:r>
        <w:t xml:space="preserve">Each sample is a count-level community on a 3-Mb circular</w:t>
      </w:r>
      <w:r>
        <w:t xml:space="preserve"> </w:t>
      </w:r>
      <w:r>
        <w:t xml:space="preserve">chromosome with 5-kb windows and 5,000 landmarks per genome. True log₂PTR values</w:t>
      </w:r>
      <w:r>
        <w:t xml:space="preserve"> </w:t>
      </w:r>
      <w:r>
        <w:t xml:space="preserve">are drawn independently from U[0, 2], and counts follow the same V-shaped</w:t>
      </w:r>
      <w:r>
        <w:t xml:space="preserve"> </w:t>
      </w:r>
      <w:r>
        <w:t xml:space="preserve">origin-to-terminus model as Pilea’s simulation (origin at 0, terminus at 1.5 Mb).</w:t>
      </w:r>
      <w:r>
        <w:t xml:space="preserve"> </w:t>
      </w:r>
      <w:r>
        <w:t xml:space="preserve">Abundance conditions are even, 10:1 or 100:1 ratios with unit geometric mean; the</w:t>
      </w:r>
      <w:r>
        <w:t xml:space="preserve"> </w:t>
      </w:r>
      <w:r>
        <w:t xml:space="preserve">ratio rank is permuted in every replicate. The grid crosses 4/8/16/32 strains,</w:t>
      </w:r>
      <w:r>
        <w:t xml:space="preserve"> </w:t>
      </w:r>
      <w:r>
        <w:t xml:space="preserve">0.5/1/2/4/8× per-strain depth, 0/5/15 % shared anchors, three abundance ratios,</w:t>
      </w:r>
      <w:r>
        <w:t xml:space="preserve"> </w:t>
      </w:r>
      <w:r>
        <w:t xml:space="preserve">two landmark-coordinate arms and two estimators, with 10 replicates per cell</w:t>
      </w:r>
      <w:r>
        <w:t xml:space="preserve"> </w:t>
      </w:r>
      <w:r>
        <w:t xml:space="preserve">(54,000 strain-level estimates per estimator). The coordinate arm uses regular</w:t>
      </w:r>
      <w:r>
        <w:t xml:space="preserve"> </w:t>
      </w:r>
      <w:r>
        <w:t xml:space="preserve">landmark positions; the sketch arm uses an equal-density random landmark set.</w:t>
      </w:r>
    </w:p>
    <w:p>
      <w:pPr>
        <w:pStyle w:val="BodyText"/>
      </w:pPr>
      <w:r>
        <w:rPr>
          <w:b/>
          <w:bCs/>
        </w:rPr>
        <w:t xml:space="preserve">Ambiguity model.</w:t>
      </w:r>
      <w:r>
        <w:t xml:space="preserve"> </w:t>
      </w:r>
      <w:r>
        <w:t xml:space="preserve">Private anchors are assigned to the strain that generated</w:t>
      </w:r>
      <w:r>
        <w:t xml:space="preserve"> </w:t>
      </w:r>
      <w:r>
        <w:t xml:space="preserve">them. A shared anchor is observable only as a pooled count, which is assigned to</w:t>
      </w:r>
      <w:r>
        <w:t xml:space="preserve"> </w:t>
      </w:r>
      <w:r>
        <w:t xml:space="preserve">one strain with probability proportional to that strain’s latent expected</w:t>
      </w:r>
      <w:r>
        <w:t xml:space="preserve"> </w:t>
      </w:r>
      <w:r>
        <w:t xml:space="preserve">contribution. This is deliberately conservative: it represents one plausible</w:t>
      </w:r>
      <w:r>
        <w:t xml:space="preserve"> </w:t>
      </w:r>
      <w:r>
        <w:t xml:space="preserve">consequence of shared sequence/hash evidence rather than asserting that any</w:t>
      </w:r>
      <w:r>
        <w:t xml:space="preserve"> </w:t>
      </w:r>
      <w:r>
        <w:t xml:space="preserve">particular mapping pipeline makes this exact error. Window rates are normalized</w:t>
      </w:r>
      <w:r>
        <w:t xml:space="preserve"> </w:t>
      </w:r>
      <w:r>
        <w:t xml:space="preserve">by landmark exposure so that the random arm is not penalized merely for unequal</w:t>
      </w:r>
      <w:r>
        <w:t xml:space="preserve"> </w:t>
      </w:r>
      <w:r>
        <w:t xml:space="preserve">anchors per window. Coordinate fits use delta-method standard errors; the same</w:t>
      </w:r>
      <w:r>
        <w:t xml:space="preserve"> </w:t>
      </w:r>
      <w:r>
        <w:t xml:space="preserve">window rates are passed to the sorted-rank estimator.</w:t>
      </w:r>
    </w:p>
    <w:p>
      <w:pPr>
        <w:pStyle w:val="BodyText"/>
      </w:pPr>
      <w:r>
        <w:rPr>
          <w:b/>
          <w:bCs/>
        </w:rPr>
        <w:t xml:space="preserve">Scope and outputs.</w:t>
      </w:r>
      <w:r>
        <w:t xml:space="preserve"> </w:t>
      </w:r>
      <w:r>
        <w:t xml:space="preserve">The simulator does not model sequencing error, GC bias,</w:t>
      </w:r>
      <w:r>
        <w:t xml:space="preserve"> </w:t>
      </w:r>
      <w:r>
        <w:t xml:space="preserve">fragmentation, database screening or Pilea’s shipped gates, and therefore does</w:t>
      </w:r>
      <w:r>
        <w:t xml:space="preserve"> </w:t>
      </w:r>
      <w:r>
        <w:t xml:space="preserve">not replace the Zheng or multi-strain read benchmarks. No FASTQ or per-anchor</w:t>
      </w:r>
      <w:r>
        <w:t xml:space="preserve"> </w:t>
      </w:r>
      <w:r>
        <w:t xml:space="preserve">intermediates were retained; only aggregate tables were written. The complete</w:t>
      </w:r>
      <w:r>
        <w:t xml:space="preserve"> </w:t>
      </w:r>
      <w:r>
        <w:t xml:space="preserve">grid was run as SLURM job 4088324 (24 one-CPU, 2-GiB array tasks; all completed</w:t>
      </w:r>
      <w:r>
        <w:t xml:space="preserve"> </w:t>
      </w:r>
      <w:r>
        <w:t xml:space="preserve">in ≤2 min) under review-final commit</w:t>
      </w:r>
      <w:r>
        <w:t xml:space="preserve"> </w:t>
      </w:r>
      <w:r>
        <w:rPr>
          <w:rStyle w:val="VerbatimChar"/>
        </w:rPr>
        <w:t xml:space="preserve">d108932</w:t>
      </w:r>
      <w:r>
        <w:t xml:space="preserve">. Per-cell long output, source</w:t>
      </w:r>
      <w:r>
        <w:t xml:space="preserve"> </w:t>
      </w:r>
      <w:r>
        <w:t xml:space="preserve">contrasts, Table 11 and Fig. 5 are in</w:t>
      </w:r>
      <w:r>
        <w:t xml:space="preserve"> </w:t>
      </w:r>
      <w:r>
        <w:rPr>
          <w:rStyle w:val="VerbatimChar"/>
        </w:rPr>
        <w:t xml:space="preserve">factorial_benchmark/</w:t>
      </w:r>
      <w:r>
        <w:t xml:space="preserve">.</w:t>
      </w:r>
    </w:p>
    <w:p>
      <w:r>
        <w:pict>
          <v:rect style="width:0;height:1.5pt" o:hralign="center" o:hrstd="t" o:hr="t"/>
        </w:pict>
      </w:r>
    </w:p>
    <w:bookmarkEnd w:id="470"/>
    <w:bookmarkEnd w:id="471"/>
    <w:bookmarkStart w:id="472"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F1–F6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472"/>
    <w:bookmarkEnd w:id="473"/>
    <w:bookmarkStart w:id="492" w:name="results"/>
    <w:p>
      <w:pPr>
        <w:pStyle w:val="Heading2"/>
      </w:pPr>
      <w:r>
        <w:t xml:space="preserve">Results</w:t>
      </w:r>
    </w:p>
    <w:bookmarkStart w:id="474"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474"/>
    <w:bookmarkStart w:id="478" w:name="accuracy-on-bacterial-isolates"/>
    <w:p>
      <w:pPr>
        <w:pStyle w:val="Heading3"/>
      </w:pPr>
      <w:r>
        <w:t xml:space="preserve">2. Accuracy on bacterial isolates</w:t>
      </w:r>
    </w:p>
    <w:bookmarkStart w:id="475"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475"/>
    <w:bookmarkStart w:id="476"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476"/>
    <w:bookmarkStart w:id="477"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477"/>
    <w:bookmarkEnd w:id="478"/>
    <w:bookmarkStart w:id="479"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479"/>
    <w:bookmarkStart w:id="481"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Start w:id="480" w:name="Xfc754f5fdbc1a952568615503bb8f3afaadf421"/>
    <w:p>
      <w:pPr>
        <w:pStyle w:val="Heading4"/>
      </w:pPr>
      <w:r>
        <w:t xml:space="preserve">4.1 Count-level factorial analysis: depth and ambiguity are separable</w:t>
      </w:r>
    </w:p>
    <w:p>
      <w:pPr>
        <w:pStyle w:val="FirstParagraph"/>
      </w:pPr>
      <w:r>
        <w:t xml:space="preserve">A post-hoc count-level factorial (Methods §6.6) asks whether the shallow-depth</w:t>
      </w:r>
      <w:r>
        <w:t xml:space="preserve"> </w:t>
      </w:r>
      <w:r>
        <w:t xml:space="preserve">mechanism and the multi-strain failure mode can be separated. In the private-</w:t>
      </w:r>
      <w:r>
        <w:t xml:space="preserve"> </w:t>
      </w:r>
      <w:r>
        <w:t xml:space="preserve">anchor control, the coordinate fit was the dominant explanation for accuracy:</w:t>
      </w:r>
      <w:r>
        <w:t xml:space="preserve"> </w:t>
      </w:r>
      <w:r>
        <w:t xml:space="preserve">pooling both landmark arms, its mean RMSE at 0.5× was 0.115 log₂ units, compared</w:t>
      </w:r>
      <w:r>
        <w:t xml:space="preserve"> </w:t>
      </w:r>
      <w:r>
        <w:t xml:space="preserve">with 0.641 for sorted-rank regression, and increasing depth to 8× reduced the</w:t>
      </w:r>
      <w:r>
        <w:t xml:space="preserve"> </w:t>
      </w:r>
      <w:r>
        <w:t xml:space="preserve">coordinate-fit RMSE to 0.018. This is the same direction as the read-level</w:t>
      </w:r>
      <w:r>
        <w:t xml:space="preserve"> </w:t>
      </w:r>
      <w:r>
        <w:t xml:space="preserve">attribution experiment, but under a grid that extends to 32 strains and a</w:t>
      </w:r>
      <w:r>
        <w:t xml:space="preserve"> </w:t>
      </w:r>
      <w:r>
        <w:t xml:space="preserve">100:1 abundance ratio.</w:t>
      </w:r>
    </w:p>
    <w:p>
      <w:pPr>
        <w:pStyle w:val="BodyText"/>
      </w:pPr>
      <w:r>
        <w:t xml:space="preserve">Shared evidence changed the problem. With 15 % of anchors shared across strains,</w:t>
      </w:r>
      <w:r>
        <w:t xml:space="preserve"> </w:t>
      </w:r>
      <w:r>
        <w:t xml:space="preserve">coordinate V-fit was already biased by −0.741 log₂ units at 0.5×, and the bias</w:t>
      </w:r>
      <w:r>
        <w:t xml:space="preserve"> </w:t>
      </w:r>
      <w:r>
        <w:t xml:space="preserve">deepened to −1.315 at 8× (RMSE 0.821 and 1.406). Thus increasing depth reduced</w:t>
      </w:r>
      <w:r>
        <w:t xml:space="preserve"> </w:t>
      </w:r>
      <w:r>
        <w:t xml:space="preserve">counting noise in the private-anchor control but did not remove — and in this</w:t>
      </w:r>
      <w:r>
        <w:t xml:space="preserve"> </w:t>
      </w:r>
      <w:r>
        <w:t xml:space="preserve">ambiguity model amplified — assignment error. Abundance imbalance affected the</w:t>
      </w:r>
      <w:r>
        <w:t xml:space="preserve"> </w:t>
      </w:r>
      <w:r>
        <w:t xml:space="preserve">two estimators differently: coordinate V-fit’s mean RMSE rose from 0.504 to 0.593</w:t>
      </w:r>
      <w:r>
        <w:t xml:space="preserve"> </w:t>
      </w:r>
      <w:r>
        <w:t xml:space="preserve">log₂ units from even to 100:1, while sorted-rank regression rose from 0.304 to</w:t>
      </w:r>
      <w:r>
        <w:t xml:space="preserve"> </w:t>
      </w:r>
      <w:r>
        <w:t xml:space="preserve">0.624. The factorial therefore treats depth and ambiguity as distinct axes</w:t>
      </w:r>
      <w:r>
        <w:t xml:space="preserve"> </w:t>
      </w:r>
      <w:r>
        <w:t xml:space="preserve">rather than collapsing both into a generic</w:t>
      </w:r>
      <w:r>
        <w:t xml:space="preserve"> </w:t>
      </w:r>
      <w:r>
        <w:t xml:space="preserve">“multi-strain is harder”</w:t>
      </w:r>
      <w:r>
        <w:t xml:space="preserve"> </w:t>
      </w:r>
      <w:r>
        <w:t xml:space="preserve">statement.</w:t>
      </w:r>
    </w:p>
    <w:p>
      <w:pPr>
        <w:pStyle w:val="BodyText"/>
      </w:pPr>
      <w:r>
        <w:t xml:space="preserve">The landmark-placement interaction was conditional on ambiguity. With no shared</w:t>
      </w:r>
      <w:r>
        <w:t xml:space="preserve"> </w:t>
      </w:r>
      <w:r>
        <w:t xml:space="preserve">anchors and equal density, the regular-coordinate and random-coordinate arms were</w:t>
      </w:r>
      <w:r>
        <w:t xml:space="preserve"> </w:t>
      </w:r>
      <w:r>
        <w:t xml:space="preserve">equivalent (paired RMSE differences: +0.002 for coordinate V-fit and −0.014 for</w:t>
      </w:r>
      <w:r>
        <w:t xml:space="preserve"> </w:t>
      </w:r>
      <w:r>
        <w:t xml:space="preserve">sorted rank). At 8× and 15 % shared anchors, however, coordinate V-fit had mean</w:t>
      </w:r>
      <w:r>
        <w:t xml:space="preserve"> </w:t>
      </w:r>
      <w:r>
        <w:t xml:space="preserve">RMSE 0.063 on the regular arm but 2.748 on the random arm, whereas sorted rank</w:t>
      </w:r>
      <w:r>
        <w:t xml:space="preserve"> </w:t>
      </w:r>
      <w:r>
        <w:t xml:space="preserve">was comparatively insensitive (0.278 versus 0.228). We interpret this as a</w:t>
      </w:r>
      <w:r>
        <w:t xml:space="preserve"> </w:t>
      </w:r>
      <w:r>
        <w:t xml:space="preserve">simulator-level warning rather than evidence about Pilea’s production code: the</w:t>
      </w:r>
      <w:r>
        <w:t xml:space="preserve"> </w:t>
      </w:r>
      <w:r>
        <w:t xml:space="preserve">random-coordinate arm is idealized, and the ambiguity assignment is not fitted to</w:t>
      </w:r>
      <w:r>
        <w:t xml:space="preserve"> </w:t>
      </w:r>
      <w:r>
        <w:t xml:space="preserve">a particular mapper. Its value is to show that coordinate methods depend not only</w:t>
      </w:r>
      <w:r>
        <w:t xml:space="preserve"> </w:t>
      </w:r>
      <w:r>
        <w:t xml:space="preserve">on having coordinates, but on the assignability of the underlying landmarks. The</w:t>
      </w:r>
      <w:r>
        <w:t xml:space="preserve"> </w:t>
      </w:r>
      <w:r>
        <w:t xml:space="preserve">complete cell-level results are in Table 11 and Fig. 5.</w:t>
      </w:r>
    </w:p>
    <w:p>
      <w:pPr>
        <w:pStyle w:val="BodyText"/>
      </w:pPr>
      <w:r>
        <w:rPr>
          <w:i/>
          <w:iCs/>
        </w:rPr>
        <w:t xml:space="preserve">(Fig. 5; Table 11)</w:t>
      </w:r>
    </w:p>
    <w:bookmarkEnd w:id="480"/>
    <w:bookmarkEnd w:id="481"/>
    <w:bookmarkStart w:id="482"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6)</w:t>
      </w:r>
    </w:p>
    <w:bookmarkEnd w:id="482"/>
    <w:bookmarkStart w:id="486" w:name="fragmented-references-and-mags"/>
    <w:p>
      <w:pPr>
        <w:pStyle w:val="Heading3"/>
      </w:pPr>
      <w:r>
        <w:t xml:space="preserve">6. Fragmented references and MAGs</w:t>
      </w:r>
    </w:p>
    <w:bookmarkStart w:id="483"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7).</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483"/>
    <w:bookmarkStart w:id="484"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7).</w:t>
      </w:r>
    </w:p>
    <w:bookmarkEnd w:id="484"/>
    <w:bookmarkStart w:id="485"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7; Table 8)</w:t>
      </w:r>
    </w:p>
    <w:bookmarkEnd w:id="485"/>
    <w:bookmarkEnd w:id="486"/>
    <w:bookmarkStart w:id="490" w:name="real-metagenomes"/>
    <w:p>
      <w:pPr>
        <w:pStyle w:val="Heading3"/>
      </w:pPr>
      <w:r>
        <w:t xml:space="preserve">7. Real metagenomes</w:t>
      </w:r>
    </w:p>
    <w:bookmarkStart w:id="487"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8; Table 10;</w:t>
      </w:r>
      <w:r>
        <w:t xml:space="preserve"> </w:t>
      </w:r>
      <w:r>
        <w:rPr>
          <w:rStyle w:val="VerbatimChar"/>
        </w:rPr>
        <w:t xml:space="preserve">data/sun_shallow/</w:t>
      </w:r>
      <w:r>
        <w:t xml:space="preserve">).</w:t>
      </w:r>
    </w:p>
    <w:bookmarkEnd w:id="487"/>
    <w:bookmarkStart w:id="488"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8).</w:t>
      </w:r>
    </w:p>
    <w:bookmarkEnd w:id="488"/>
    <w:bookmarkStart w:id="489"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p>
    <w:p>
      <w:pPr>
        <w:pStyle w:val="BodyText"/>
      </w:pPr>
      <w:r>
        <w:rPr>
          <w:i/>
          <w:iCs/>
        </w:rPr>
        <w:t xml:space="preserve">(Fig. 9; Table 10)</w:t>
      </w:r>
    </w:p>
    <w:bookmarkEnd w:id="489"/>
    <w:bookmarkEnd w:id="490"/>
    <w:bookmarkStart w:id="491"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9d)</w:t>
      </w:r>
    </w:p>
    <w:bookmarkEnd w:id="491"/>
    <w:bookmarkEnd w:id="492"/>
    <w:bookmarkStart w:id="493"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Depth is one axis; assignability is another.</w:t>
      </w:r>
      <w:r>
        <w:t xml:space="preserve"> </w:t>
      </w:r>
      <w:r>
        <w:t xml:space="preserve">The count-level factorial</w:t>
      </w:r>
      <w:r>
        <w:t xml:space="preserve"> </w:t>
      </w:r>
      <w:r>
        <w:t xml:space="preserve">(Results §4.1) sharpens this distinction without changing its conservative</w:t>
      </w:r>
      <w:r>
        <w:t xml:space="preserve"> </w:t>
      </w:r>
      <w:r>
        <w:t xml:space="preserve">framing. In the private-anchor control, coordinate fitting improved steadily</w:t>
      </w:r>
      <w:r>
        <w:t xml:space="preserve"> </w:t>
      </w:r>
      <w:r>
        <w:t xml:space="preserve">with depth, whereas sorted-rank regression remained much less accurate over the</w:t>
      </w:r>
      <w:r>
        <w:t xml:space="preserve"> </w:t>
      </w:r>
      <w:r>
        <w:t xml:space="preserve">whole tested range. When anchors were shared among strains, however, depth no</w:t>
      </w:r>
      <w:r>
        <w:t xml:space="preserve"> </w:t>
      </w:r>
      <w:r>
        <w:t xml:space="preserve">longer behaved as a simple cure: the coordinate fit’s negative bias increased</w:t>
      </w:r>
      <w:r>
        <w:t xml:space="preserve"> </w:t>
      </w:r>
      <w:r>
        <w:t xml:space="preserve">with depth under the shared-anchor assignment model. This explains why a claim</w:t>
      </w:r>
      <w:r>
        <w:t xml:space="preserve"> </w:t>
      </w:r>
      <w:r>
        <w:t xml:space="preserve">that sk2bGrow</w:t>
      </w:r>
      <w:r>
        <w:t xml:space="preserve"> </w:t>
      </w:r>
      <w:r>
        <w:t xml:space="preserve">“wins at low depth”</w:t>
      </w:r>
      <w:r>
        <w:t xml:space="preserve"> </w:t>
      </w:r>
      <w:r>
        <w:t xml:space="preserve">and a concern that multi-species PTR is</w:t>
      </w:r>
      <w:r>
        <w:t xml:space="preserve"> </w:t>
      </w:r>
      <w:r>
        <w:t xml:space="preserve">confounded by shared evidence are not competing statements. The first is about</w:t>
      </w:r>
      <w:r>
        <w:t xml:space="preserve"> </w:t>
      </w:r>
      <w:r>
        <w:t xml:space="preserve">extracting a coordinate gradient from few observations; the second is about</w:t>
      </w:r>
      <w:r>
        <w:t xml:space="preserve"> </w:t>
      </w:r>
      <w:r>
        <w:t xml:space="preserve">whether each observation can be attributed to the correct reference. An</w:t>
      </w:r>
      <w:r>
        <w:t xml:space="preserve"> </w:t>
      </w:r>
      <w:r>
        <w:t xml:space="preserve">end-to-end comparison can therefore be shallow-depth-favourable and still fail</w:t>
      </w:r>
      <w:r>
        <w:t xml:space="preserve"> </w:t>
      </w:r>
      <w:r>
        <w:t xml:space="preserve">or degrade in a dense community. The factorial result does not prove that Pilea’s</w:t>
      </w:r>
      <w:r>
        <w:t xml:space="preserve"> </w:t>
      </w:r>
      <w:r>
        <w:t xml:space="preserve">production pipeline suffers from this exact assignment mechanism, but it makes</w:t>
      </w:r>
      <w:r>
        <w:t xml:space="preserve"> </w:t>
      </w:r>
      <w:r>
        <w:t xml:space="preserve">the mechanism testable and argues for reporting the fraction of shared or</w:t>
      </w:r>
      <w:r>
        <w:t xml:space="preserve"> </w:t>
      </w:r>
      <w:r>
        <w:t xml:space="preserve">ambiguous landmarks alongside depth and recall.</w:t>
      </w:r>
    </w:p>
    <w:p>
      <w:pPr>
        <w:pStyle w:val="BodyText"/>
      </w:pPr>
      <w:r>
        <w:rPr>
          <w:b/>
          <w:bCs/>
        </w:rPr>
        <w:t xml:space="preserve">Ambiguity should become an explicit QC axis, not a post-hoc explanation.</w:t>
      </w:r>
      <w:r>
        <w:t xml:space="preserve"> </w:t>
      </w:r>
      <w:r>
        <w:t xml:space="preserve">The</w:t>
      </w:r>
      <w:r>
        <w:t xml:space="preserve"> </w:t>
      </w:r>
      <w:r>
        <w:t xml:space="preserve">practical implication is not that 2bRAD is universally superior. A coordinate</w:t>
      </w:r>
      <w:r>
        <w:t xml:space="preserve"> </w:t>
      </w:r>
      <w:r>
        <w:t xml:space="preserve">fit is powerful only when coordinate-bearing observations are assignable; a</w:t>
      </w:r>
      <w:r>
        <w:t xml:space="preserve"> </w:t>
      </w:r>
      <w:r>
        <w:t xml:space="preserve">sketch may tolerate some forms of divergence better, as F3 suggests, but can lose</w:t>
      </w:r>
      <w:r>
        <w:t xml:space="preserve"> </w:t>
      </w:r>
      <w:r>
        <w:t xml:space="preserve">the coordinate structure needed for V-fitting. Future implementations should</w:t>
      </w:r>
      <w:r>
        <w:t xml:space="preserve"> </w:t>
      </w:r>
      <w:r>
        <w:t xml:space="preserve">report unique/shared anchor fractions and per-reference unique coverage, compare</w:t>
      </w:r>
      <w:r>
        <w:t xml:space="preserve"> </w:t>
      </w:r>
      <w:r>
        <w:t xml:space="preserve">fits before and after downweighting ambiguous loci, and reserve EM-style</w:t>
      </w:r>
      <w:r>
        <w:t xml:space="preserve"> </w:t>
      </w:r>
      <w:r>
        <w:t xml:space="preserve">assignment for references whose shared-anchor structure has been measured. Until</w:t>
      </w:r>
      <w:r>
        <w:t xml:space="preserve"> </w:t>
      </w:r>
      <w:r>
        <w:t xml:space="preserve">such a read-level experiment is available, the factorial analysis supports a</w:t>
      </w:r>
      <w:r>
        <w:t xml:space="preserve"> </w:t>
      </w:r>
      <w:r>
        <w:t xml:space="preserve">diagnostic distinction — shallow-depth extraction versus multi-reference</w:t>
      </w:r>
      <w:r>
        <w:t xml:space="preserve"> </w:t>
      </w:r>
      <w:r>
        <w:t xml:space="preserve">assignment — but not a general claim that one landmark chemistry outperforms the</w:t>
      </w:r>
      <w:r>
        <w:t xml:space="preserve"> </w:t>
      </w:r>
      <w:r>
        <w:t xml:space="preserve">other.</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7).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493"/>
    <w:bookmarkStart w:id="494"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p>
      <w:pPr>
        <w:pStyle w:val="BodyText"/>
      </w:pPr>
      <w:r>
        <w:t xml:space="preserve">The count-level factorial adds one further deployment principle: sequencing depth cannot repair ambiguous landmark assignment. Multi-strain applications should therefore report shared-anchor fractions and per-reference unique coverage alongside depth and recall, and should treat coordinate fitting, assignment of shared evidence, and computational cost as separately auditable steps rather than collapsing them into a single end-to-end accuracy number.</w:t>
      </w:r>
    </w:p>
    <w:bookmarkEnd w:id="494"/>
    <w:bookmarkStart w:id="495"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495"/>
    <w:bookmarkStart w:id="505" w:name="declarations"/>
    <w:p>
      <w:pPr>
        <w:pStyle w:val="Heading2"/>
      </w:pPr>
      <w:r>
        <w:t xml:space="preserve">Declarations</w:t>
      </w:r>
    </w:p>
    <w:bookmarkStart w:id="496"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496"/>
    <w:bookmarkStart w:id="497" w:name="consent-for-publication"/>
    <w:p>
      <w:pPr>
        <w:pStyle w:val="Heading3"/>
      </w:pPr>
      <w:r>
        <w:t xml:space="preserve">Consent for publication</w:t>
      </w:r>
    </w:p>
    <w:p>
      <w:pPr>
        <w:pStyle w:val="FirstParagraph"/>
      </w:pPr>
      <w:r>
        <w:t xml:space="preserve">Not applicable.</w:t>
      </w:r>
    </w:p>
    <w:bookmarkEnd w:id="497"/>
    <w:bookmarkStart w:id="499" w:name="availability-of-data-and-materials"/>
    <w:p>
      <w:pPr>
        <w:pStyle w:val="Heading3"/>
      </w:pPr>
      <w:r>
        <w:t xml:space="preserve">Availability of data and materials</w:t>
      </w:r>
    </w:p>
    <w:p>
      <w:pPr>
        <w:pStyle w:val="FirstParagraph"/>
      </w:pPr>
      <w:r>
        <w:t xml:space="preserve">sk2bGrow:</w:t>
      </w:r>
      <w:r>
        <w:t xml:space="preserve"> </w:t>
      </w:r>
      <w:hyperlink r:id="rId445">
        <w:r>
          <w:rPr>
            <w:rStyle w:val="Hyperlink"/>
          </w:rPr>
          <w:t xml:space="preserve">https://github.com/HuangShiLab/sk2bGrow</w:t>
        </w:r>
      </w:hyperlink>
      <w:r>
        <w:t xml:space="preserve">.</w:t>
      </w:r>
      <w:r>
        <w:t xml:space="preserve"> </w:t>
      </w:r>
      <w:r>
        <w:t xml:space="preserve">Manuscript, figures and figure code:</w:t>
      </w:r>
      <w:r>
        <w:t xml:space="preserve"> </w:t>
      </w:r>
      <w:hyperlink r:id="rId498">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 </w:t>
      </w:r>
      <w:r>
        <w:t xml:space="preserve">and</w:t>
      </w:r>
      <w:r>
        <w:t xml:space="preserve"> </w:t>
      </w:r>
      <w:r>
        <w:rPr>
          <w:rStyle w:val="VerbatimChar"/>
        </w:rPr>
        <w:t xml:space="preserve">factorial_benchmark/factorial_long.tsv</w:t>
      </w:r>
      <w:r>
        <w:t xml:space="preserve">;</w:t>
      </w:r>
      <w:r>
        <w:t xml:space="preserve"> </w:t>
      </w:r>
      <w:r>
        <w:rPr>
          <w:rStyle w:val="VerbatimChar"/>
        </w:rPr>
        <w:t xml:space="preserve">python3 figures/make_figures.py</w:t>
      </w:r>
      <w:r>
        <w:t xml:space="preserve"> </w:t>
      </w:r>
      <w:r>
        <w:t xml:space="preserve">and</w:t>
      </w:r>
      <w:r>
        <w:t xml:space="preserve"> </w:t>
      </w:r>
      <w:r>
        <w:rPr>
          <w:rStyle w:val="VerbatimChar"/>
        </w:rPr>
        <w:t xml:space="preserve">python3 factorial_benchmark/make_factorial_outputs.py</w:t>
      </w:r>
      <w:r>
        <w:t xml:space="preserve"> </w:t>
      </w:r>
      <w:r>
        <w:t xml:space="preserve">regenerate them with no</w:t>
      </w:r>
      <w:r>
        <w:t xml:space="preserve"> </w:t>
      </w:r>
      <w:r>
        <w:t xml:space="preserve">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Count-level factorial inputs, aggregate tables, simulator and Figure 5 code are</w:t>
      </w:r>
      <w:r>
        <w:t xml:space="preserve"> </w:t>
      </w:r>
      <w:r>
        <w:t xml:space="preserve">in</w:t>
      </w:r>
      <w:r>
        <w:t xml:space="preserve"> </w:t>
      </w:r>
      <w:r>
        <w:rPr>
          <w:rStyle w:val="VerbatimChar"/>
        </w:rPr>
        <w:t xml:space="preserve">factorial_benchmark/</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499"/>
    <w:bookmarkStart w:id="500" w:name="competing-interests"/>
    <w:p>
      <w:pPr>
        <w:pStyle w:val="Heading3"/>
      </w:pPr>
      <w:r>
        <w:t xml:space="preserve">Competing interests</w:t>
      </w:r>
    </w:p>
    <w:p>
      <w:pPr>
        <w:pStyle w:val="FirstParagraph"/>
      </w:pPr>
      <w:r>
        <w:t xml:space="preserve">The authors declare that they have no competing interests.</w:t>
      </w:r>
    </w:p>
    <w:bookmarkEnd w:id="500"/>
    <w:bookmarkStart w:id="501" w:name="funding"/>
    <w:p>
      <w:pPr>
        <w:pStyle w:val="Heading3"/>
      </w:pPr>
      <w:r>
        <w:t xml:space="preserve">Funding</w:t>
      </w:r>
    </w:p>
    <w:p>
      <w:pPr>
        <w:pStyle w:val="FirstParagraph"/>
      </w:pPr>
      <w:r>
        <w:t xml:space="preserve">[To be completed before submission.]</w:t>
      </w:r>
    </w:p>
    <w:bookmarkEnd w:id="501"/>
    <w:bookmarkStart w:id="502"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502"/>
    <w:bookmarkStart w:id="503" w:name="acknowledgements"/>
    <w:p>
      <w:pPr>
        <w:pStyle w:val="Heading3"/>
      </w:pPr>
      <w:r>
        <w:t xml:space="preserve">Acknowledgements</w:t>
      </w:r>
    </w:p>
    <w:p>
      <w:pPr>
        <w:pStyle w:val="FirstParagraph"/>
      </w:pPr>
      <w:r>
        <w:t xml:space="preserve">[To be completed before submission or state “Not applicable.”]</w:t>
      </w:r>
    </w:p>
    <w:bookmarkEnd w:id="503"/>
    <w:bookmarkStart w:id="504" w:name="authors-information"/>
    <w:p>
      <w:pPr>
        <w:pStyle w:val="Heading3"/>
      </w:pPr>
      <w:r>
        <w:t xml:space="preserve">Authors’ information</w:t>
      </w:r>
    </w:p>
    <w:p>
      <w:pPr>
        <w:pStyle w:val="FirstParagraph"/>
      </w:pPr>
      <w:r>
        <w:t xml:space="preserve">Not applicable.</w:t>
      </w:r>
    </w:p>
    <w:bookmarkEnd w:id="504"/>
    <w:bookmarkEnd w:id="505"/>
    <w:bookmarkStart w:id="514"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506">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507">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508">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509">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510">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511">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512">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513">
        <w:r>
          <w:rPr>
            <w:rStyle w:val="Hyperlink"/>
          </w:rPr>
          <w:t xml:space="preserve">10.1101/2022.01.11.475838</w:t>
        </w:r>
      </w:hyperlink>
    </w:p>
    <w:bookmarkEnd w:id="514"/>
    <w:bookmarkStart w:id="542" w:name="figures"/>
    <w:p>
      <w:pPr>
        <w:pStyle w:val="Heading2"/>
      </w:pPr>
      <w:r>
        <w:t xml:space="preserve">Figures</w:t>
      </w:r>
    </w:p>
    <w:p>
      <w:pPr>
        <w:pStyle w:val="CaptionedFigure"/>
      </w:pPr>
      <w:r>
        <w:drawing>
          <wp:inline>
            <wp:extent cx="5943600" cy="4067536"/>
            <wp:effectExtent b="0" l="0" r="0" t="0"/>
            <wp:docPr descr="Fig. 1. Overview and worked example" title="" id="516" name="Picture"/>
            <a:graphic>
              <a:graphicData uri="http://schemas.openxmlformats.org/drawingml/2006/picture">
                <pic:pic>
                  <pic:nvPicPr>
                    <pic:cNvPr descr="../figures/out/fig1_overview.png" id="517" name="Picture"/>
                    <pic:cNvPicPr>
                      <a:picLocks noChangeArrowheads="1" noChangeAspect="1"/>
                    </pic:cNvPicPr>
                  </pic:nvPicPr>
                  <pic:blipFill>
                    <a:blip r:embed="rId515"/>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519" name="Picture"/>
            <a:graphic>
              <a:graphicData uri="http://schemas.openxmlformats.org/drawingml/2006/picture">
                <pic:pic>
                  <pic:nvPicPr>
                    <pic:cNvPr descr="../figures/out/fig2_zheng_benchmark.png" id="520" name="Picture"/>
                    <pic:cNvPicPr>
                      <a:picLocks noChangeArrowheads="1" noChangeAspect="1"/>
                    </pic:cNvPicPr>
                  </pic:nvPicPr>
                  <pic:blipFill>
                    <a:blip r:embed="rId518"/>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522" name="Picture"/>
            <a:graphic>
              <a:graphicData uri="http://schemas.openxmlformats.org/drawingml/2006/picture">
                <pic:pic>
                  <pic:nvPicPr>
                    <pic:cNvPr descr="../figures/out/fig3_simulation.png" id="523" name="Picture"/>
                    <pic:cNvPicPr>
                      <a:picLocks noChangeArrowheads="1" noChangeAspect="1"/>
                    </pic:cNvPicPr>
                  </pic:nvPicPr>
                  <pic:blipFill>
                    <a:blip r:embed="rId521"/>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525" name="Picture"/>
            <a:graphic>
              <a:graphicData uri="http://schemas.openxmlformats.org/drawingml/2006/picture">
                <pic:pic>
                  <pic:nvPicPr>
                    <pic:cNvPr descr="../figures/out/fig4_attribution.png" id="526" name="Picture"/>
                    <pic:cNvPicPr>
                      <a:picLocks noChangeArrowheads="1" noChangeAspect="1"/>
                    </pic:cNvPicPr>
                  </pic:nvPicPr>
                  <pic:blipFill>
                    <a:blip r:embed="rId524"/>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1907620"/>
            <wp:effectExtent b="0" l="0" r="0" t="0"/>
            <wp:docPr descr="Fig. 5. Count-level factorial decomposition of estimator, depth and shared-anchor ambiguity" title="" id="528" name="Picture"/>
            <a:graphic>
              <a:graphicData uri="http://schemas.openxmlformats.org/drawingml/2006/picture">
                <pic:pic>
                  <pic:nvPicPr>
                    <pic:cNvPr descr="../figures/out/fig5_factorial_mechanism.png" id="529" name="Picture"/>
                    <pic:cNvPicPr>
                      <a:picLocks noChangeArrowheads="1" noChangeAspect="1"/>
                    </pic:cNvPicPr>
                  </pic:nvPicPr>
                  <pic:blipFill>
                    <a:blip r:embed="rId527"/>
                    <a:stretch>
                      <a:fillRect/>
                    </a:stretch>
                  </pic:blipFill>
                  <pic:spPr bwMode="auto">
                    <a:xfrm>
                      <a:off x="0" y="0"/>
                      <a:ext cx="5943600" cy="1907620"/>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Count-level factorial decomposition of estimator, depth and shared-anchor ambiguity</w:t>
      </w:r>
    </w:p>
    <w:p>
      <w:pPr>
        <w:pStyle w:val="CaptionedFigure"/>
      </w:pPr>
      <w:r>
        <w:drawing>
          <wp:inline>
            <wp:extent cx="5943600" cy="4181188"/>
            <wp:effectExtent b="0" l="0" r="0" t="0"/>
            <wp:docPr descr="Fig. 6. Panel-size sweep and GC range" title="" id="531" name="Picture"/>
            <a:graphic>
              <a:graphicData uri="http://schemas.openxmlformats.org/drawingml/2006/picture">
                <pic:pic>
                  <pic:nvPicPr>
                    <pic:cNvPr descr="../figures/out/fig6_panel_design.png" id="532" name="Picture"/>
                    <pic:cNvPicPr>
                      <a:picLocks noChangeArrowheads="1" noChangeAspect="1"/>
                    </pic:cNvPicPr>
                  </pic:nvPicPr>
                  <pic:blipFill>
                    <a:blip r:embed="rId530"/>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Panel-size sweep and GC range</w:t>
      </w:r>
    </w:p>
    <w:p>
      <w:pPr>
        <w:pStyle w:val="CaptionedFigure"/>
      </w:pPr>
      <w:r>
        <w:drawing>
          <wp:inline>
            <wp:extent cx="5943600" cy="4873369"/>
            <wp:effectExtent b="0" l="0" r="0" t="0"/>
            <wp:docPr descr="Fig. 7. Fragmentation and scaffolding" title="" id="534" name="Picture"/>
            <a:graphic>
              <a:graphicData uri="http://schemas.openxmlformats.org/drawingml/2006/picture">
                <pic:pic>
                  <pic:nvPicPr>
                    <pic:cNvPr descr="../figures/out/fig7_fragmentation.png" id="535" name="Picture"/>
                    <pic:cNvPicPr>
                      <a:picLocks noChangeArrowheads="1" noChangeAspect="1"/>
                    </pic:cNvPicPr>
                  </pic:nvPicPr>
                  <pic:blipFill>
                    <a:blip r:embed="rId533"/>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Fragmentation and scaffolding</w:t>
      </w:r>
    </w:p>
    <w:p>
      <w:pPr>
        <w:pStyle w:val="CaptionedFigure"/>
      </w:pPr>
      <w:r>
        <w:drawing>
          <wp:inline>
            <wp:extent cx="5943600" cy="2396004"/>
            <wp:effectExtent b="0" l="0" r="0" t="0"/>
            <wp:docPr descr="Fig. 8. Fecal-cohort concordance" title="" id="537" name="Picture"/>
            <a:graphic>
              <a:graphicData uri="http://schemas.openxmlformats.org/drawingml/2006/picture">
                <pic:pic>
                  <pic:nvPicPr>
                    <pic:cNvPr descr="../figures/out/fig8_metagenome.png" id="538" name="Picture"/>
                    <pic:cNvPicPr>
                      <a:picLocks noChangeArrowheads="1" noChangeAspect="1"/>
                    </pic:cNvPicPr>
                  </pic:nvPicPr>
                  <pic:blipFill>
                    <a:blip r:embed="rId536"/>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Fecal-cohort concordance</w:t>
      </w:r>
    </w:p>
    <w:p>
      <w:pPr>
        <w:pStyle w:val="CaptionedFigure"/>
      </w:pPr>
      <w:r>
        <w:drawing>
          <wp:inline>
            <wp:extent cx="5943600" cy="2642374"/>
            <wp:effectExtent b="0" l="0" r="0" t="0"/>
            <wp:docPr descr="Fig. 9. MAG-scale QC and cost" title="" id="540" name="Picture"/>
            <a:graphic>
              <a:graphicData uri="http://schemas.openxmlformats.org/drawingml/2006/picture">
                <pic:pic>
                  <pic:nvPicPr>
                    <pic:cNvPr descr="../figures/out/fig9_mag_qc_cost.png" id="541" name="Picture"/>
                    <pic:cNvPicPr>
                      <a:picLocks noChangeArrowheads="1" noChangeAspect="1"/>
                    </pic:cNvPicPr>
                  </pic:nvPicPr>
                  <pic:blipFill>
                    <a:blip r:embed="rId539"/>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MAG-scale QC and cost</w:t>
      </w:r>
    </w:p>
    <w:bookmarkEnd w:id="542"/>
    <w:bookmarkStart w:id="543"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p>
      <w:pPr>
        <w:pStyle w:val="BodyText"/>
      </w:pPr>
      <w:r>
        <w:rPr>
          <w:b/>
          <w:bCs/>
        </w:rPr>
        <w:t xml:space="preserve">Table 11. Count-level factorial decomposition of estimator, depth and shared-anchor ambiguity.</w:t>
      </w:r>
    </w:p>
    <w:p>
      <w:pPr>
        <w:pStyle w:val="BodyText"/>
      </w:pPr>
      <w:r>
        <w:t xml:space="preserve">Values are means over 4/8/16/32-strain communities, even/10:1/100:1 abundance ratios and 10 replicates, shown for the regular coordinate arm. The random FracMinHash-like arm and paired source contrasts are in</w:t>
      </w:r>
      <w:r>
        <w:t xml:space="preserve"> </w:t>
      </w:r>
      <w:r>
        <w:rPr>
          <w:rStyle w:val="VerbatimChar"/>
        </w:rPr>
        <w:t xml:space="preserve">factorial_benchmark/factorial_long.tsv</w:t>
      </w:r>
      <w:r>
        <w:t xml:space="preserve"> </w:t>
      </w:r>
      <w:r>
        <w:t xml:space="preserve">and</w:t>
      </w:r>
      <w:r>
        <w:t xml:space="preserve"> </w:t>
      </w:r>
      <w:r>
        <w:rPr>
          <w:rStyle w:val="VerbatimChar"/>
        </w:rPr>
        <w:t xml:space="preserve">factorial_benchmark/factorial_source_contrasts.tsv</w:t>
      </w:r>
      <w:r>
        <w:t xml:space="preserve">. Bias and RMSE are in log2(PTR) units.</w:t>
      </w:r>
    </w:p>
    <w:tbl>
      <w:tblPr>
        <w:tblStyle w:val="Table"/>
        <w:tblW w:type="pct" w:w="5000"/>
        <w:tblLayout w:type="fixed"/>
        <w:tblLook w:firstRow="1" w:lastRow="0" w:firstColumn="0" w:lastColumn="0" w:noHBand="0" w:noVBand="0" w:val="0020"/>
      </w:tblPr>
      <w:tblGrid>
        <w:gridCol w:w="1743"/>
        <w:gridCol w:w="1307"/>
        <w:gridCol w:w="653"/>
        <w:gridCol w:w="1453"/>
        <w:gridCol w:w="1453"/>
        <w:gridCol w:w="1307"/>
      </w:tblGrid>
      <w:tr>
        <w:trPr>
          <w:tblHeader w:val="on"/>
        </w:trPr>
        <w:tc>
          <w:tcPr/>
          <w:p>
            <w:pPr>
              <w:pStyle w:val="Compact"/>
              <w:jc w:val="left"/>
            </w:pPr>
            <w:r>
              <w:t xml:space="preserve">estimator</w:t>
            </w:r>
          </w:p>
        </w:tc>
        <w:tc>
          <w:tcPr/>
          <w:p>
            <w:pPr>
              <w:pStyle w:val="Compact"/>
              <w:jc w:val="left"/>
            </w:pPr>
            <w:r>
              <w:t xml:space="preserve">shared_anchors</w:t>
            </w:r>
          </w:p>
        </w:tc>
        <w:tc>
          <w:tcPr/>
          <w:p>
            <w:pPr>
              <w:pStyle w:val="Compact"/>
              <w:jc w:val="left"/>
            </w:pPr>
            <w:r>
              <w:t xml:space="preserve">depth</w:t>
            </w:r>
          </w:p>
        </w:tc>
        <w:tc>
          <w:tcPr/>
          <w:p>
            <w:pPr>
              <w:pStyle w:val="Compact"/>
              <w:jc w:val="right"/>
            </w:pPr>
            <w:r>
              <w:t xml:space="preserve">Mean bias (log2)</w:t>
            </w:r>
          </w:p>
        </w:tc>
        <w:tc>
          <w:tcPr/>
          <w:p>
            <w:pPr>
              <w:pStyle w:val="Compact"/>
              <w:jc w:val="right"/>
            </w:pPr>
            <w:r>
              <w:t xml:space="preserve">Mean RMSE (log2)</w:t>
            </w:r>
          </w:p>
        </w:tc>
        <w:tc>
          <w:tcPr/>
          <w:p>
            <w:pPr>
              <w:pStyle w:val="Compact"/>
              <w:jc w:val="right"/>
            </w:pPr>
            <w:r>
              <w:t xml:space="preserve">Mean Pearson r</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0.115</w:t>
            </w:r>
          </w:p>
        </w:tc>
        <w:tc>
          <w:tcPr/>
          <w:p>
            <w:pPr>
              <w:pStyle w:val="Compact"/>
              <w:jc w:val="right"/>
            </w:pPr>
            <w:r>
              <w:t xml:space="preserve">0.973</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1×</w:t>
            </w:r>
          </w:p>
        </w:tc>
        <w:tc>
          <w:tcPr/>
          <w:p>
            <w:pPr>
              <w:pStyle w:val="Compact"/>
              <w:jc w:val="right"/>
            </w:pPr>
            <w:r>
              <w:t xml:space="preserve">-0.014</w:t>
            </w:r>
          </w:p>
        </w:tc>
        <w:tc>
          <w:tcPr/>
          <w:p>
            <w:pPr>
              <w:pStyle w:val="Compact"/>
              <w:jc w:val="right"/>
            </w:pPr>
            <w:r>
              <w:t xml:space="preserve">0.072</w:t>
            </w:r>
          </w:p>
        </w:tc>
        <w:tc>
          <w:tcPr/>
          <w:p>
            <w:pPr>
              <w:pStyle w:val="Compact"/>
              <w:jc w:val="right"/>
            </w:pPr>
            <w:r>
              <w:t xml:space="preserve">0.990</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0.018</w:t>
            </w:r>
          </w:p>
        </w:tc>
        <w:tc>
          <w:tcPr/>
          <w:p>
            <w:pPr>
              <w:pStyle w:val="Compact"/>
              <w:jc w:val="right"/>
            </w:pPr>
            <w:r>
              <w:t xml:space="preserve">0.999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0.110</w:t>
            </w:r>
          </w:p>
        </w:tc>
        <w:tc>
          <w:tcPr/>
          <w:p>
            <w:pPr>
              <w:pStyle w:val="Compact"/>
              <w:jc w:val="right"/>
            </w:pPr>
            <w:r>
              <w:t xml:space="preserve">0.978</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0.080</w:t>
            </w:r>
          </w:p>
        </w:tc>
        <w:tc>
          <w:tcPr/>
          <w:p>
            <w:pPr>
              <w:pStyle w:val="Compact"/>
              <w:jc w:val="right"/>
            </w:pPr>
            <w:r>
              <w:t xml:space="preserve">0.989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8×</w:t>
            </w:r>
          </w:p>
        </w:tc>
        <w:tc>
          <w:tcPr/>
          <w:p>
            <w:pPr>
              <w:pStyle w:val="Compact"/>
              <w:jc w:val="right"/>
            </w:pPr>
            <w:r>
              <w:t xml:space="preserve">0.000</w:t>
            </w:r>
          </w:p>
        </w:tc>
        <w:tc>
          <w:tcPr/>
          <w:p>
            <w:pPr>
              <w:pStyle w:val="Compact"/>
              <w:jc w:val="right"/>
            </w:pPr>
            <w:r>
              <w:t xml:space="preserve">0.039</w:t>
            </w:r>
          </w:p>
        </w:tc>
        <w:tc>
          <w:tcPr/>
          <w:p>
            <w:pPr>
              <w:pStyle w:val="Compact"/>
              <w:jc w:val="right"/>
            </w:pPr>
            <w:r>
              <w:t xml:space="preserve">0.998</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0.133</w:t>
            </w:r>
          </w:p>
        </w:tc>
        <w:tc>
          <w:tcPr/>
          <w:p>
            <w:pPr>
              <w:pStyle w:val="Compact"/>
              <w:jc w:val="right"/>
            </w:pPr>
            <w:r>
              <w:t xml:space="preserve">0.971</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0.983</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0.063</w:t>
            </w:r>
          </w:p>
        </w:tc>
        <w:tc>
          <w:tcPr/>
          <w:p>
            <w:pPr>
              <w:pStyle w:val="Compact"/>
              <w:jc w:val="right"/>
            </w:pPr>
            <w:r>
              <w:t xml:space="preserve">0.994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0.5×</w:t>
            </w:r>
          </w:p>
        </w:tc>
        <w:tc>
          <w:tcPr/>
          <w:p>
            <w:pPr>
              <w:pStyle w:val="Compact"/>
              <w:jc w:val="right"/>
            </w:pPr>
            <w:r>
              <w:t xml:space="preserve">0.464</w:t>
            </w:r>
          </w:p>
        </w:tc>
        <w:tc>
          <w:tcPr/>
          <w:p>
            <w:pPr>
              <w:pStyle w:val="Compact"/>
              <w:jc w:val="right"/>
            </w:pPr>
            <w:r>
              <w:t xml:space="preserve">0.635</w:t>
            </w:r>
          </w:p>
        </w:tc>
        <w:tc>
          <w:tcPr/>
          <w:p>
            <w:pPr>
              <w:pStyle w:val="Compact"/>
              <w:jc w:val="right"/>
            </w:pPr>
            <w:r>
              <w:t xml:space="preserve">0.737</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1×</w:t>
            </w:r>
          </w:p>
        </w:tc>
        <w:tc>
          <w:tcPr/>
          <w:p>
            <w:pPr>
              <w:pStyle w:val="Compact"/>
              <w:jc w:val="right"/>
            </w:pPr>
            <w:r>
              <w:t xml:space="preserve">0.319</w:t>
            </w:r>
          </w:p>
        </w:tc>
        <w:tc>
          <w:tcPr/>
          <w:p>
            <w:pPr>
              <w:pStyle w:val="Compact"/>
              <w:jc w:val="right"/>
            </w:pPr>
            <w:r>
              <w:t xml:space="preserve">0.504</w:t>
            </w:r>
          </w:p>
        </w:tc>
        <w:tc>
          <w:tcPr/>
          <w:p>
            <w:pPr>
              <w:pStyle w:val="Compact"/>
              <w:jc w:val="right"/>
            </w:pPr>
            <w:r>
              <w:t xml:space="preserve">0.824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8×</w:t>
            </w:r>
          </w:p>
        </w:tc>
        <w:tc>
          <w:tcPr/>
          <w:p>
            <w:pPr>
              <w:pStyle w:val="Compact"/>
              <w:jc w:val="right"/>
            </w:pPr>
            <w:r>
              <w:t xml:space="preserve">0.052</w:t>
            </w:r>
          </w:p>
        </w:tc>
        <w:tc>
          <w:tcPr/>
          <w:p>
            <w:pPr>
              <w:pStyle w:val="Compact"/>
              <w:jc w:val="right"/>
            </w:pPr>
            <w:r>
              <w:t xml:space="preserve">0.119</w:t>
            </w:r>
          </w:p>
        </w:tc>
        <w:tc>
          <w:tcPr/>
          <w:p>
            <w:pPr>
              <w:pStyle w:val="Compact"/>
              <w:jc w:val="right"/>
            </w:pPr>
            <w:r>
              <w:t xml:space="preserve">0.978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0.5×</w:t>
            </w:r>
          </w:p>
        </w:tc>
        <w:tc>
          <w:tcPr/>
          <w:p>
            <w:pPr>
              <w:pStyle w:val="Compact"/>
              <w:jc w:val="right"/>
            </w:pPr>
            <w:r>
              <w:t xml:space="preserve">0.571</w:t>
            </w:r>
          </w:p>
        </w:tc>
        <w:tc>
          <w:tcPr/>
          <w:p>
            <w:pPr>
              <w:pStyle w:val="Compact"/>
              <w:jc w:val="right"/>
            </w:pPr>
            <w:r>
              <w:t xml:space="preserve">0.727</w:t>
            </w:r>
          </w:p>
        </w:tc>
        <w:tc>
          <w:tcPr/>
          <w:p>
            <w:pPr>
              <w:pStyle w:val="Compact"/>
              <w:jc w:val="right"/>
            </w:pPr>
            <w:r>
              <w:t xml:space="preserve">0.714</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1×</w:t>
            </w:r>
          </w:p>
        </w:tc>
        <w:tc>
          <w:tcPr/>
          <w:p>
            <w:pPr>
              <w:pStyle w:val="Compact"/>
              <w:jc w:val="right"/>
            </w:pPr>
            <w:r>
              <w:t xml:space="preserve">0.400</w:t>
            </w:r>
          </w:p>
        </w:tc>
        <w:tc>
          <w:tcPr/>
          <w:p>
            <w:pPr>
              <w:pStyle w:val="Compact"/>
              <w:jc w:val="right"/>
            </w:pPr>
            <w:r>
              <w:t xml:space="preserve">0.574</w:t>
            </w:r>
          </w:p>
        </w:tc>
        <w:tc>
          <w:tcPr/>
          <w:p>
            <w:pPr>
              <w:pStyle w:val="Compact"/>
              <w:jc w:val="right"/>
            </w:pPr>
            <w:r>
              <w:t xml:space="preserve">0.778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8×</w:t>
            </w:r>
          </w:p>
        </w:tc>
        <w:tc>
          <w:tcPr/>
          <w:p>
            <w:pPr>
              <w:pStyle w:val="Compact"/>
              <w:jc w:val="right"/>
            </w:pPr>
            <w:r>
              <w:t xml:space="preserve">0.132</w:t>
            </w:r>
          </w:p>
        </w:tc>
        <w:tc>
          <w:tcPr/>
          <w:p>
            <w:pPr>
              <w:pStyle w:val="Compact"/>
              <w:jc w:val="right"/>
            </w:pPr>
            <w:r>
              <w:t xml:space="preserve">0.196</w:t>
            </w:r>
          </w:p>
        </w:tc>
        <w:tc>
          <w:tcPr/>
          <w:p>
            <w:pPr>
              <w:pStyle w:val="Compact"/>
              <w:jc w:val="right"/>
            </w:pPr>
            <w:r>
              <w:t xml:space="preserve">0.962</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0.5×</w:t>
            </w:r>
          </w:p>
        </w:tc>
        <w:tc>
          <w:tcPr/>
          <w:p>
            <w:pPr>
              <w:pStyle w:val="Compact"/>
              <w:jc w:val="right"/>
            </w:pPr>
            <w:r>
              <w:t xml:space="preserve">0.709</w:t>
            </w:r>
          </w:p>
        </w:tc>
        <w:tc>
          <w:tcPr/>
          <w:p>
            <w:pPr>
              <w:pStyle w:val="Compact"/>
              <w:jc w:val="right"/>
            </w:pPr>
            <w:r>
              <w:t xml:space="preserve">0.833</w:t>
            </w:r>
          </w:p>
        </w:tc>
        <w:tc>
          <w:tcPr/>
          <w:p>
            <w:pPr>
              <w:pStyle w:val="Compact"/>
              <w:jc w:val="right"/>
            </w:pPr>
            <w:r>
              <w:t xml:space="preserve">0.729</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1×</w:t>
            </w:r>
          </w:p>
        </w:tc>
        <w:tc>
          <w:tcPr/>
          <w:p>
            <w:pPr>
              <w:pStyle w:val="Compact"/>
              <w:jc w:val="right"/>
            </w:pPr>
            <w:r>
              <w:t xml:space="preserve">0.540</w:t>
            </w:r>
          </w:p>
        </w:tc>
        <w:tc>
          <w:tcPr/>
          <w:p>
            <w:pPr>
              <w:pStyle w:val="Compact"/>
              <w:jc w:val="right"/>
            </w:pPr>
            <w:r>
              <w:t xml:space="preserve">0.671</w:t>
            </w:r>
          </w:p>
        </w:tc>
        <w:tc>
          <w:tcPr/>
          <w:p>
            <w:pPr>
              <w:pStyle w:val="Compact"/>
              <w:jc w:val="right"/>
            </w:pPr>
            <w:r>
              <w:t xml:space="preserve">0.803</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8×</w:t>
            </w:r>
          </w:p>
        </w:tc>
        <w:tc>
          <w:tcPr/>
          <w:p>
            <w:pPr>
              <w:pStyle w:val="Compact"/>
              <w:jc w:val="right"/>
            </w:pPr>
            <w:r>
              <w:t xml:space="preserve">0.234</w:t>
            </w:r>
          </w:p>
        </w:tc>
        <w:tc>
          <w:tcPr/>
          <w:p>
            <w:pPr>
              <w:pStyle w:val="Compact"/>
              <w:jc w:val="right"/>
            </w:pPr>
            <w:r>
              <w:t xml:space="preserve">0.278</w:t>
            </w:r>
          </w:p>
        </w:tc>
        <w:tc>
          <w:tcPr/>
          <w:p>
            <w:pPr>
              <w:pStyle w:val="Compact"/>
              <w:jc w:val="right"/>
            </w:pPr>
            <w:r>
              <w:t xml:space="preserve">0.962</w:t>
            </w:r>
          </w:p>
        </w:tc>
      </w:tr>
    </w:tbl>
    <w:bookmarkEnd w:id="543"/>
    <w:bookmarkEnd w:id="544"/>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40" Target="numbering.xml" /><Relationship Type="http://schemas.openxmlformats.org/officeDocument/2006/relationships/styles" Id="rId439" Target="styles.xml" /><Relationship Type="http://schemas.openxmlformats.org/officeDocument/2006/relationships/settings" Id="rId438" Target="settings.xml" /><Relationship Type="http://schemas.openxmlformats.org/officeDocument/2006/relationships/webSettings" Id="rId437" Target="webSettings.xml" /><Relationship Type="http://schemas.openxmlformats.org/officeDocument/2006/relationships/fontTable" Id="rId436" Target="fontTable.xml" /><Relationship Type="http://schemas.openxmlformats.org/officeDocument/2006/relationships/theme" Id="rId435" Target="theme/theme1.xml" /><Relationship Type="http://schemas.openxmlformats.org/officeDocument/2006/relationships/footnotes" Id="rId434" Target="footnotes.xml" /><Relationship Type="http://schemas.openxmlformats.org/officeDocument/2006/relationships/comments" Id="rId433" Target="comments.xml" /><Relationship Id="rId9" Target="footer1.xml" Type="http://schemas.openxmlformats.org/officeDocument/2006/relationships/footer"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30" Target="media/rId530.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hyperlink" Id="rId507" Target="https://doi.org/10.1038/nbt.3704" TargetMode="External" /><Relationship Type="http://schemas.openxmlformats.org/officeDocument/2006/relationships/hyperlink" Id="rId510" Target="https://doi.org/10.1038/nmeth.2023" TargetMode="External" /><Relationship Type="http://schemas.openxmlformats.org/officeDocument/2006/relationships/hyperlink" Id="rId513" Target="https://doi.org/10.1101/2022.01.11.475838" TargetMode="External" /><Relationship Type="http://schemas.openxmlformats.org/officeDocument/2006/relationships/hyperlink" Id="rId508" Target="https://doi.org/10.1101/gr.275533.121" TargetMode="External" /><Relationship Type="http://schemas.openxmlformats.org/officeDocument/2006/relationships/hyperlink" Id="rId506" Target="https://doi.org/10.1126/science.aac4812" TargetMode="External" /><Relationship Type="http://schemas.openxmlformats.org/officeDocument/2006/relationships/hyperlink" Id="rId512" Target="https://doi.org/10.1186/s13059-021-02576-9" TargetMode="External" /><Relationship Type="http://schemas.openxmlformats.org/officeDocument/2006/relationships/hyperlink" Id="rId509" Target="https://doi.org/10.1186/s40168-026-02374-0" TargetMode="External" /><Relationship Type="http://schemas.openxmlformats.org/officeDocument/2006/relationships/hyperlink" Id="rId511" Target="https://doi.org/10.1371/journal.pone.0219882" TargetMode="External" /><Relationship Type="http://schemas.openxmlformats.org/officeDocument/2006/relationships/hyperlink" Id="rId445" Target="https://github.com/HuangShiLab/sk2bGrow" TargetMode="External" /><Relationship Type="http://schemas.openxmlformats.org/officeDocument/2006/relationships/hyperlink" Id="rId498"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507" Target="https://doi.org/10.1038/nbt.3704" TargetMode="External" /><Relationship Type="http://schemas.openxmlformats.org/officeDocument/2006/relationships/hyperlink" Id="rId510" Target="https://doi.org/10.1038/nmeth.2023" TargetMode="External" /><Relationship Type="http://schemas.openxmlformats.org/officeDocument/2006/relationships/hyperlink" Id="rId513" Target="https://doi.org/10.1101/2022.01.11.475838" TargetMode="External" /><Relationship Type="http://schemas.openxmlformats.org/officeDocument/2006/relationships/hyperlink" Id="rId508" Target="https://doi.org/10.1101/gr.275533.121" TargetMode="External" /><Relationship Type="http://schemas.openxmlformats.org/officeDocument/2006/relationships/hyperlink" Id="rId506" Target="https://doi.org/10.1126/science.aac4812" TargetMode="External" /><Relationship Type="http://schemas.openxmlformats.org/officeDocument/2006/relationships/hyperlink" Id="rId512" Target="https://doi.org/10.1186/s13059-021-02576-9" TargetMode="External" /><Relationship Type="http://schemas.openxmlformats.org/officeDocument/2006/relationships/hyperlink" Id="rId509" Target="https://doi.org/10.1186/s40168-026-02374-0" TargetMode="External" /><Relationship Type="http://schemas.openxmlformats.org/officeDocument/2006/relationships/hyperlink" Id="rId511" Target="https://doi.org/10.1371/journal.pone.0219882" TargetMode="External" /><Relationship Type="http://schemas.openxmlformats.org/officeDocument/2006/relationships/hyperlink" Id="rId445" Target="https://github.com/HuangShiLab/sk2bGrow" TargetMode="External" /><Relationship Type="http://schemas.openxmlformats.org/officeDocument/2006/relationships/hyperlink" Id="rId498"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2026-09-21T08:53:02Z</dcterms:created>
  <dcterms:modified xsi:type="dcterms:W3CDTF">2026-09-21T08:53:02Z</dcterms:modified>
</cp:coreProperties>
</file>

<file path=docProps/custom.xml><?xml version="1.0" encoding="utf-8"?>
<Properties xmlns="http://schemas.openxmlformats.org/officeDocument/2006/custom-properties" xmlns:vt="http://schemas.openxmlformats.org/officeDocument/2006/docPropsVTypes"/>
</file>