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X35a67ffd771dc0eee37406016d31234a1046d16"/>
    <w:p>
      <w:pPr>
        <w:pStyle w:val="Heading1"/>
      </w:pPr>
      <w:r>
        <w:t xml:space="preserve">Coordinate-aware V-fitting enables shallow-depth PTR estimation from 2bRAD anchor panels</w:t>
      </w:r>
    </w:p>
    <w:bookmarkStart w:id="18" w:name="title-page"/>
    <w:p>
      <w:pPr>
        <w:pStyle w:val="Heading2"/>
      </w:pPr>
      <w:r>
        <w:t xml:space="preserve">Title page</w:t>
      </w:r>
    </w:p>
    <w:p>
      <w:pPr>
        <w:pStyle w:val="FirstParagraph"/>
      </w:pPr>
      <w:r>
        <w:rPr>
          <w:b/>
          <w:bCs/>
        </w:rPr>
        <w:t xml:space="preserve">Authors:</w:t>
      </w:r>
      <w:r>
        <w:t xml:space="preserve"> </w:t>
      </w:r>
      <w:r>
        <w:t xml:space="preserve">[Complete author list before submission]</w:t>
      </w:r>
    </w:p>
    <w:p>
      <w:pPr>
        <w:pStyle w:val="BodyText"/>
      </w:pPr>
      <w:r>
        <w:rPr>
          <w:b/>
          <w:bCs/>
        </w:rPr>
        <w:t xml:space="preserve">Affiliations:</w:t>
      </w:r>
      <w:r>
        <w:t xml:space="preserve"> </w:t>
      </w:r>
      <w:r>
        <w:t xml:space="preserve">[Complete institutional affiliations before submission]</w:t>
      </w:r>
    </w:p>
    <w:p>
      <w:pPr>
        <w:pStyle w:val="BodyText"/>
      </w:pPr>
      <w:r>
        <w:rPr>
          <w:b/>
          <w:bCs/>
        </w:rPr>
        <w:t xml:space="preserve">Corresponding author:</w:t>
      </w:r>
      <w:r>
        <w:t xml:space="preserve"> </w:t>
      </w:r>
      <w:r>
        <w:t xml:space="preserve">[Name], [institutional address], [email], [ORCID]</w:t>
      </w:r>
    </w:p>
    <w:p>
      <w:pPr>
        <w:pStyle w:val="BodyText"/>
      </w:pPr>
      <w:r>
        <w:rPr>
          <w:b/>
          <w:bCs/>
        </w:rPr>
        <w:t xml:space="preserve">Article type:</w:t>
      </w:r>
      <w:r>
        <w:t xml:space="preserve"> </w:t>
      </w:r>
      <w:r>
        <w:t xml:space="preserve">Research article</w:t>
      </w:r>
    </w:p>
    <w:p>
      <w:pPr>
        <w:pStyle w:val="BodyText"/>
      </w:pPr>
      <w:r>
        <w:rPr>
          <w:b/>
          <w:bCs/>
        </w:rPr>
        <w:t xml:space="preserve">Target journal:</w:t>
      </w:r>
      <w:r>
        <w:t xml:space="preserve"> </w:t>
      </w:r>
      <w:r>
        <w:rPr>
          <w:i/>
          <w:iCs/>
        </w:rPr>
        <w:t xml:space="preserve">Microbiome</w:t>
      </w:r>
    </w:p>
    <w:p>
      <w:pPr>
        <w:pStyle w:val="BodyText"/>
      </w:pPr>
      <w:r>
        <w:rPr>
          <w:b/>
          <w:bCs/>
        </w:rPr>
        <w:t xml:space="preserve">Revision provenance:</w:t>
      </w:r>
      <w:r>
        <w:t xml:space="preserve"> </w:t>
      </w:r>
      <w:r>
        <w:t xml:space="preserve">Review revision 2026-09-18. The primary Zheng grid uses signed fixed-origin fitting and single-pass GC correction; residual two-pass GC correction is diagnostic only.</w:t>
      </w:r>
    </w:p>
    <w:bookmarkEnd w:id="18"/>
    <w:bookmarkStart w:id="19" w:name="abstract"/>
    <w:p>
      <w:pPr>
        <w:pStyle w:val="Heading2"/>
      </w:pPr>
      <w:r>
        <w:t xml:space="preserve">Abstract</w:t>
      </w:r>
    </w:p>
    <w:p>
      <w:pPr>
        <w:pStyle w:val="FirstParagraph"/>
      </w:pPr>
      <w:r>
        <w:t xml:space="preserve">Peak-to-trough ratio (PTR) inference from metagenomes is a culture-independent proxy for bacterial growth rates, but the current sketch-based estimator requires a depth that metagenomic per-strain coverage rarely reaches, and its shipped coverage gates return no estimate at all below ~10×. We present sk2bGrow, which counts Type IIB restriction-enzyme (2bRAD) anchors — motif-defined loci whose genome coordinates are known a priori and identical across samples — and fits the replication gradient with a coordinate-aware windowed V-fit. On the Zheng</w:t>
      </w:r>
      <w:r>
        <w:t xml:space="preserve"> </w:t>
      </w:r>
      <w:r>
        <w:rPr>
          <w:i/>
          <w:iCs/>
        </w:rPr>
        <w:t xml:space="preserve">E. coli</w:t>
      </w:r>
      <w:r>
        <w:t xml:space="preserve"> </w:t>
      </w:r>
      <w:r>
        <w:t xml:space="preserve">growth-rate panel, sk2bGrow returned usable PTR estimates at 1–2× sequencing depth, where Pilea’s shipped defaults return nothing, with r = 0.92 at 1× and 0.96 at 2× against measured growth rates (n = 16). The accuracy comes from the coordinate-aware estimator, not the landmark source — at matched density, the two landmark sources were not significantly different in the paired bootstrap at any depth — while the multi-enzyme panel contributes what a hash sketch cannot: a wet-lab-realizable landmark set and consistency strata whose heterogeneous biases exposed our own counting defect. The estimates are not unbiased — the fitted slope compresses the dynamic range at low coverage, and the mechanism is unresolved. On three fecal metagenomes, sk2bGrow and Pilea agreed (bias +0.22–+0.25 log2; n = 58–78 species×sample pairs per sample). As a process-level finding, exact deduplication of 2bRAD libraries before counting destroys the PTR signal — a PCR copy-number artefact we localize per anchor. sk2bGrow is 89.5–240.8× slower than Pilea at MAG-panel scale; mismatch-1 counting narrows the gap to roughly one order of magnitude (measured end-to-end on all nine samples: 20.5–38.8× faster counting than the mismatch-2 baseline, no genome lost), and a containment pre-screen — measured to clear the absent-reference false-positive floor, and required at database scale where an unrestricted index would emit estimates for absent references — completes the fix.</w:t>
      </w:r>
    </w:p>
    <w:bookmarkEnd w:id="19"/>
    <w:bookmarkStart w:id="20" w:name="keywords"/>
    <w:p>
      <w:pPr>
        <w:pStyle w:val="Heading2"/>
      </w:pPr>
      <w:r>
        <w:t xml:space="preserve">Keywords</w:t>
      </w:r>
    </w:p>
    <w:p>
      <w:pPr>
        <w:pStyle w:val="FirstParagraph"/>
      </w:pPr>
      <w:r>
        <w:t xml:space="preserve">peak-to-trough ratio; microbial growth dynamics; 2bRAD; FracMinHash; metagenomics; shallow sequencing</w:t>
      </w:r>
    </w:p>
    <w:bookmarkEnd w:id="20"/>
    <w:bookmarkStart w:id="21" w:name="background"/>
    <w:p>
      <w:pPr>
        <w:pStyle w:val="Heading2"/>
      </w:pPr>
      <w:r>
        <w:t xml:space="preserve">Background</w:t>
      </w:r>
    </w:p>
    <w:p>
      <w:pPr>
        <w:pStyle w:val="FirstParagraph"/>
      </w:pPr>
      <w:r>
        <w:t xml:space="preserve">The peak-to-trough ratio (PTR) of a replicating bacterial chromosome — the coverage ratio between the replication origin and the terminus — is a culture-independent proxy for growth rate: in an exponentially growing population, log₂PTR equals the ratio of the replication period to the doubling time, and is therefore proportional to the growth rate at a fixed replication period [1]. Because the signal lives in the shotgun sequencing data itself, PTR inference has been applied to growth estimation directly from metagenomes [1–4], removing the need to culture the organisms of interest.</w:t>
      </w:r>
    </w:p>
    <w:p>
      <w:pPr>
        <w:pStyle w:val="BodyText"/>
      </w:pPr>
      <w:r>
        <w:t xml:space="preserve">A recent alignment-free turn made such profiling tractable at the scale of thousands of reference genomes: instead of aligning reads, methods count k-mers surviving a random subsample of the k-mer universe, such as a FracMinHash sketch [4,8]. That convenience has a cost the PTR problem is unusually sensitive to. A random sketch discards</w:t>
      </w:r>
      <w:r>
        <w:t xml:space="preserve"> </w:t>
      </w:r>
      <w:r>
        <w:rPr>
          <w:b/>
          <w:bCs/>
        </w:rPr>
        <w:t xml:space="preserve">position</w:t>
      </w:r>
      <w:r>
        <w:t xml:space="preserve">: the genome coordinates of the surviving k-mers are arbitrary, and no two references share them in any usable way. A sketch-based PTR estimator must therefore regress coverage on</w:t>
      </w:r>
      <w:r>
        <w:t xml:space="preserve"> </w:t>
      </w:r>
      <w:r>
        <w:rPr>
          <w:i/>
          <w:iCs/>
        </w:rPr>
        <w:t xml:space="preserve">sorted rank</w:t>
      </w:r>
      <w:r>
        <w:t xml:space="preserve"> </w:t>
      </w:r>
      <w:r>
        <w:t xml:space="preserve">rather than on genome position. Sorted-rank regression rides on extreme order statistics — its estimate is set by the largest and smallest surviving windows — and is fragile exactly where metagenomic data live: one dropout window can move the estimate from 1.86 to 2.51 (Fig. 1c). The shipped tools also protect the estimator with coverage gates that return no estimate at all below roughly 10× depth.</w:t>
      </w:r>
    </w:p>
    <w:p>
      <w:pPr>
        <w:pStyle w:val="BodyText"/>
      </w:pPr>
      <w:r>
        <w:t xml:space="preserve">Type IIB restriction-enzyme anchors, the markers of the 2bRAD family of reduced-representation protocols [5–7], are a sketch with a different geometry. Each enzyme recognises a short degenerate motif and excises a fixed-length tag, so the landmark loci are motif-defined, enumerable per reference, and — the property this paper exploits — their coordinates are known before any read is seen and are identical in every sample. That makes coordinates usable: coverage can be regressed directly on position along the chromosome, in fixed-anchor windows, with a windowed V-fit and inverse-variance fusion across enzymes. A panel of enzymes additionally provides internal-consistency strata (here, sixteen) that a single hash-prefix sketch does not. And because the same loci are physically produced by the 2bRAD protocol, the landmark set is wet-lab realizable as well as computational.</w:t>
      </w:r>
    </w:p>
    <w:p>
      <w:pPr>
        <w:pStyle w:val="BodyText"/>
      </w:pPr>
      <w:r>
        <w:t xml:space="preserve">We present sk2bGrow, built on this observation. We state the claim honestly up front, because our own attribution data constrain it: the accuracy at low depth comes from</w:t>
      </w:r>
      <w:r>
        <w:t xml:space="preserve"> </w:t>
      </w:r>
      <w:r>
        <w:rPr>
          <w:b/>
          <w:bCs/>
        </w:rPr>
        <w:t xml:space="preserve">fitting on coordinates</w:t>
      </w:r>
      <w:r>
        <w:t xml:space="preserve">, not from which landmarks are counted — the coordinate-aware estimator beats sorted-rank regression by wide margins at 0.5–1× on</w:t>
      </w:r>
      <w:r>
        <w:t xml:space="preserve"> </w:t>
      </w:r>
      <w:r>
        <w:rPr>
          <w:i/>
          <w:iCs/>
        </w:rPr>
        <w:t xml:space="preserve">both</w:t>
      </w:r>
      <w:r>
        <w:t xml:space="preserve"> </w:t>
      </w:r>
      <w:r>
        <w:t xml:space="preserve">enzyme anchors and a density-matched FracMinHash sketch, and the two landmark sources were not significantly different at any depth once density was matched (paired bootstrap over 48 media × subsampling-instance units; Results §4). What the motif-defined</w:t>
      </w:r>
      <w:r>
        <w:t xml:space="preserve"> </w:t>
      </w:r>
      <w:r>
        <w:rPr>
          <w:b/>
          <w:bCs/>
        </w:rPr>
        <w:t xml:space="preserve">panel</w:t>
      </w:r>
      <w:r>
        <w:t xml:space="preserve"> </w:t>
      </w:r>
      <w:r>
        <w:t xml:space="preserve">contributes is not accuracy but things a hash sketch cannot provide: a landmark set the 2bRAD protocol physically produces; enzyme strata whose heterogeneous biases make cross-stratum consistency a test of systematic error — Cochran’s Q caught this project’s own double-counting defect; and fusion redundancy at very low input (F1 harness). The results below report slope and RMSE beside correlation throughout, include a negative control the incumbent excluded, and carry the bias caveats the data impose.</w:t>
      </w:r>
    </w:p>
    <w:p>
      <w:pPr>
        <w:pStyle w:val="BodyText"/>
      </w:pPr>
      <w:r>
        <w:t xml:space="preserve">In short, this paper contributes (i) usable PTR estimates at 1–2× sequencing depth, with the low-coverage bias stated rather than hidden; (ii) a controlled 2 × 2 attribution localising the gain in the coordinate-aware estimator rather than in which landmarks are counted — the two landmark sources showed no significant paired-bootstrap difference once density was matched; and (iii) real-metagenome concordance with the incumbent and process-level findings — a deduplication recommendation and a per-anchor capture-efficiency measurement — that others can cite.</w:t>
      </w:r>
    </w:p>
    <w:bookmarkEnd w:id="21"/>
    <w:bookmarkStart w:id="49" w:name="methods"/>
    <w:p>
      <w:pPr>
        <w:pStyle w:val="Heading2"/>
      </w:pPr>
      <w:r>
        <w:t xml:space="preserve">Methods</w:t>
      </w:r>
    </w:p>
    <w:p>
      <w:pPr>
        <w:pStyle w:val="FirstParagraph"/>
      </w:pPr>
      <w:r>
        <w:t xml:space="preserve">Section order follows Pilea (Microbiome 2026) so the two papers can be read</w:t>
      </w:r>
      <w:r>
        <w:t xml:space="preserve"> </w:t>
      </w:r>
      <w:r>
        <w:t xml:space="preserve">side by side. Every number quoted here is reproduced by the scripts in</w:t>
      </w:r>
      <w:r>
        <w:t xml:space="preserve"> </w:t>
      </w:r>
      <w:hyperlink r:id="rId22">
        <w:r>
          <w:rPr>
            <w:rStyle w:val="Hyperlink"/>
          </w:rPr>
          <w:t xml:space="preserve">sk2bGrow/benches</w:t>
        </w:r>
      </w:hyperlink>
      <w:r>
        <w:t xml:space="preserve"> </w:t>
      </w:r>
      <w:r>
        <w:t xml:space="preserve">from the tables in</w:t>
      </w:r>
      <w:r>
        <w:t xml:space="preserve"> </w:t>
      </w:r>
      <w:r>
        <w:rPr>
          <w:rStyle w:val="VerbatimChar"/>
        </w:rPr>
        <w:t xml:space="preserve">data/</w:t>
      </w:r>
      <w:r>
        <w:t xml:space="preserve">. Sections 3.5–3.6 and 6 report experiments that have no Pilea</w:t>
      </w:r>
      <w:r>
        <w:t xml:space="preserve"> </w:t>
      </w:r>
      <w:r>
        <w:t xml:space="preserve">counterpart — the landmark-source, robustness and HPC-scale questions are new</w:t>
      </w:r>
      <w:r>
        <w:t xml:space="preserve"> </w:t>
      </w:r>
      <w:r>
        <w:t xml:space="preserve">with this paper.</w:t>
      </w:r>
    </w:p>
    <w:p>
      <w:r>
        <w:pict>
          <v:rect style="width:0;height:1.5pt" o:hralign="center" o:hrstd="t" o:hr="t"/>
        </w:pict>
      </w:r>
    </w:p>
    <w:bookmarkStart w:id="30" w:name="the-sk2bgrow-algorithm"/>
    <w:p>
      <w:pPr>
        <w:pStyle w:val="Heading3"/>
      </w:pPr>
      <w:r>
        <w:t xml:space="preserve">1. The sk2bGrow algorithm</w:t>
      </w:r>
    </w:p>
    <w:p>
      <w:pPr>
        <w:pStyle w:val="FirstParagraph"/>
      </w:pPr>
      <w:r>
        <w:t xml:space="preserve">sk2bGrow estimates the peak-to-trough ratio (PTR) of a genome from the</w:t>
      </w:r>
      <w:r>
        <w:t xml:space="preserve"> </w:t>
      </w:r>
      <w:r>
        <w:t xml:space="preserve">replication gradient in read coverage. For an exponentially growing population</w:t>
      </w:r>
      <w:r>
        <w:t xml:space="preserve"> </w:t>
      </w:r>
      <w:r>
        <w:t xml:space="preserve">with replication period</w:t>
      </w:r>
      <w:r>
        <w:t xml:space="preserve"> </w:t>
      </w:r>
      <w:r>
        <w:rPr>
          <w:i/>
          <w:iCs/>
        </w:rPr>
        <w:t xml:space="preserve">C</w:t>
      </w:r>
      <w:r>
        <w:t xml:space="preserve"> </w:t>
      </w:r>
      <w:r>
        <w:t xml:space="preserve">and doubling time τ,</w:t>
      </w:r>
    </w:p>
    <w:p>
      <w:pPr>
        <w:pStyle w:val="BodyText"/>
      </w:pPr>
      <m:oMathPara>
        <m:oMathParaPr>
          <m:jc m:val="center"/>
        </m:oMathParaPr>
        <m:oMath>
          <m:sSub>
            <m:e>
              <m:r>
                <m:rPr>
                  <m:sty m:val="p"/>
                </m:rPr>
                <m:t>log</m:t>
              </m:r>
            </m:e>
            <m:sub>
              <m:r>
                <m:t>2</m:t>
              </m:r>
            </m:sub>
          </m:sSub>
          <m:r>
            <m:rPr>
              <m:sty m:val="p"/>
            </m:rPr>
            <m:t>P</m:t>
          </m:r>
          <m:r>
            <m:rPr>
              <m:sty m:val="p"/>
            </m:rPr>
            <m:t>T</m:t>
          </m:r>
          <m:r>
            <m:rPr>
              <m:sty m:val="p"/>
            </m:rPr>
            <m:t>R</m:t>
          </m:r>
          <m:r>
            <m:t> </m:t>
          </m:r>
          <m:r>
            <m:rPr>
              <m:sty m:val="p"/>
            </m:rPr>
            <m:t>=</m:t>
          </m:r>
          <m:r>
            <m:t> </m:t>
          </m:r>
          <m:r>
            <m:t>C</m:t>
          </m:r>
          <m:r>
            <m:rPr>
              <m:sty m:val="p"/>
            </m:rPr>
            <m:t>/</m:t>
          </m:r>
          <m:r>
            <m:t>τ</m:t>
          </m:r>
          <m:r>
            <m:t> </m:t>
          </m:r>
          <m:r>
            <m:rPr>
              <m:sty m:val="p"/>
            </m:rPr>
            <m:t>=</m:t>
          </m:r>
          <m:r>
            <m:t> </m:t>
          </m:r>
          <m:r>
            <m:t>λ</m:t>
          </m:r>
          <m:r>
            <m:t>C</m:t>
          </m:r>
          <m:r>
            <m:rPr>
              <m:sty m:val="p"/>
            </m:rPr>
            <m:t>/</m:t>
          </m:r>
          <m:r>
            <m:rPr>
              <m:sty m:val="p"/>
            </m:rPr>
            <m:t>ln</m:t>
          </m:r>
          <m:r>
            <m:t>2</m:t>
          </m:r>
          <m:r>
            <m:rPr>
              <m:sty m:val="p"/>
            </m:rPr>
            <m:t>,</m:t>
          </m:r>
        </m:oMath>
      </m:oMathPara>
    </w:p>
    <w:p>
      <w:pPr>
        <w:pStyle w:val="FirstParagraph"/>
      </w:pPr>
      <w:r>
        <w:t xml:space="preserve">so log₂PTR is proportional to growth rate λ at fixed</w:t>
      </w:r>
      <w:r>
        <w:t xml:space="preserve"> </w:t>
      </w:r>
      <w:r>
        <w:rPr>
          <w:i/>
          <w:iCs/>
        </w:rPr>
        <w:t xml:space="preserve">C</w:t>
      </w:r>
      <w:r>
        <w:t xml:space="preserve">. The pipeline</w:t>
      </w:r>
      <w:r>
        <w:t xml:space="preserve"> </w:t>
      </w:r>
      <w:r>
        <w:t xml:space="preserve">(</w:t>
      </w:r>
      <w:r>
        <w:rPr>
          <w:b/>
          <w:bCs/>
        </w:rPr>
        <w:t xml:space="preserve">Fig. 1a</w:t>
      </w:r>
      <w:r>
        <w:t xml:space="preserve">) has six stages.</w:t>
      </w:r>
    </w:p>
    <w:bookmarkStart w:id="23" w:name="Xd9b3ed4dd252045d3e48557196049c0e39886bf"/>
    <w:p>
      <w:pPr>
        <w:pStyle w:val="Heading4"/>
      </w:pPr>
      <w:r>
        <w:t xml:space="preserve">1.1 Anchor database construction (offline, once)</w:t>
      </w:r>
    </w:p>
    <w:p>
      <w:pPr>
        <w:pStyle w:val="FirstParagraph"/>
      </w:pPr>
      <w:r>
        <w:t xml:space="preserve">Reference genomes are digested</w:t>
      </w:r>
      <w:r>
        <w:t xml:space="preserve"> </w:t>
      </w:r>
      <w:r>
        <w:rPr>
          <w:i/>
          <w:iCs/>
        </w:rPr>
        <w:t xml:space="preserve">in silico</w:t>
      </w:r>
      <w:r>
        <w:t xml:space="preserve"> </w:t>
      </w:r>
      <w:r>
        <w:t xml:space="preserve">with a panel of 16 Type IIB</w:t>
      </w:r>
      <w:r>
        <w:t xml:space="preserve"> </w:t>
      </w:r>
      <w:r>
        <w:t xml:space="preserve">restriction enzymes (§2). Each enzyme recognises a short degenerate motif and</w:t>
      </w:r>
      <w:r>
        <w:t xml:space="preserve"> </w:t>
      </w:r>
      <w:r>
        <w:t xml:space="preserve">cleaves on</w:t>
      </w:r>
      <w:r>
        <w:t xml:space="preserve"> </w:t>
      </w:r>
      <w:r>
        <w:rPr>
          <w:b/>
          <w:bCs/>
        </w:rPr>
        <w:t xml:space="preserve">both</w:t>
      </w:r>
      <w:r>
        <w:t xml:space="preserve"> </w:t>
      </w:r>
      <w:r>
        <w:t xml:space="preserve">sides of it, excising a fixed-length tag of 25–33 bp. A</w:t>
      </w:r>
      <w:r>
        <w:t xml:space="preserve"> </w:t>
      </w:r>
      <w:r>
        <w:rPr>
          <w:b/>
          <w:bCs/>
        </w:rPr>
        <w:t xml:space="preserve">anchor</w:t>
      </w:r>
      <w:r>
        <w:t xml:space="preserve"> </w:t>
      </w:r>
      <w:r>
        <w:t xml:space="preserve">is one such tag together with its genomic coordinate.</w:t>
      </w:r>
    </w:p>
    <w:p>
      <w:pPr>
        <w:pStyle w:val="BodyText"/>
      </w:pPr>
      <w:r>
        <w:t xml:space="preserve">The digest slides a window of the enzyme’s tag length along both strands and</w:t>
      </w:r>
      <w:r>
        <w:t xml:space="preserve"> </w:t>
      </w:r>
      <w:r>
        <w:t xml:space="preserve">tests it against that enzyme’s IUPAC pattern set. Pattern sets are</w:t>
      </w:r>
      <w:r>
        <w:t xml:space="preserve"> </w:t>
      </w:r>
      <w:r>
        <w:t xml:space="preserve">reverse-complement closed by construction (enforced by a unit test), so a locus</w:t>
      </w:r>
      <w:r>
        <w:t xml:space="preserve"> </w:t>
      </w:r>
      <w:r>
        <w:t xml:space="preserve">is found from either strand and is reported once. Windows containing a non-ACGT</w:t>
      </w:r>
      <w:r>
        <w:t xml:space="preserve"> </w:t>
      </w:r>
      <w:r>
        <w:t xml:space="preserve">base are rejected rather than resolved; soft-masked (lowercase) reference</w:t>
      </w:r>
      <w:r>
        <w:t xml:space="preserve"> </w:t>
      </w:r>
      <w:r>
        <w:t xml:space="preserve">regions are</w:t>
      </w:r>
      <w:r>
        <w:t xml:space="preserve"> </w:t>
      </w:r>
      <w:r>
        <w:rPr>
          <w:b/>
          <w:bCs/>
        </w:rPr>
        <w:t xml:space="preserve">kept</w:t>
      </w:r>
      <w:r>
        <w:t xml:space="preserve">, which is a deliberate divergence from Fast2bRAD-M, whose</w:t>
      </w:r>
      <w:r>
        <w:t xml:space="preserve"> </w:t>
      </w:r>
      <w:r>
        <w:t xml:space="preserve">exact-byte matcher silently skips them.</w:t>
      </w:r>
    </w:p>
    <w:p>
      <w:pPr>
        <w:pStyle w:val="BodyText"/>
      </w:pPr>
      <w:r>
        <w:t xml:space="preserve">Each anchor carries:</w:t>
      </w:r>
    </w:p>
    <w:p>
      <w:pPr>
        <w:pStyle w:val="Compact"/>
        <w:numPr>
          <w:ilvl w:val="0"/>
          <w:numId w:val="1001"/>
        </w:numPr>
      </w:pPr>
      <w:r>
        <w:t xml:space="preserve">its genome, contig and coordinate;</w:t>
      </w:r>
    </w:p>
    <w:p>
      <w:pPr>
        <w:pStyle w:val="Compact"/>
        <w:numPr>
          <w:ilvl w:val="0"/>
          <w:numId w:val="1001"/>
        </w:numPr>
      </w:pPr>
      <w:r>
        <w:t xml:space="preserve">the local GC fraction over ±250 bp, quantised to 0.5 % steps;</w:t>
      </w:r>
    </w:p>
    <w:p>
      <w:pPr>
        <w:pStyle w:val="Compact"/>
        <w:numPr>
          <w:ilvl w:val="0"/>
          <w:numId w:val="1001"/>
        </w:numPr>
      </w:pPr>
      <w:r>
        <w:t xml:space="preserve">uniqueness flags — unique within its genome, unique across the database,</w:t>
      </w:r>
      <w:r>
        <w:t xml:space="preserve"> </w:t>
      </w:r>
      <w:r>
        <w:t xml:space="preserve">multi-copy, shared, non-chromosomal.</w:t>
      </w:r>
    </w:p>
    <w:p>
      <w:pPr>
        <w:pStyle w:val="FirstParagraph"/>
      </w:pPr>
      <w:r>
        <w:t xml:space="preserve">Multi-copy and shared anchors are flagged, not deleted; the flags are what the</w:t>
      </w:r>
      <w:r>
        <w:t xml:space="preserve"> </w:t>
      </w:r>
      <w:r>
        <w:t xml:space="preserve">EM step (§1.2) and the QC layer act on. For</w:t>
      </w:r>
      <w:r>
        <w:t xml:space="preserve"> </w:t>
      </w:r>
      <w:r>
        <w:rPr>
          <w:i/>
          <w:iCs/>
        </w:rPr>
        <w:t xml:space="preserve">E. coli</w:t>
      </w:r>
      <w:r>
        <w:t xml:space="preserve"> </w:t>
      </w:r>
      <w:r>
        <w:t xml:space="preserve">K-12 MG1655</w:t>
      </w:r>
      <w:r>
        <w:t xml:space="preserve"> </w:t>
      </w:r>
      <w:r>
        <w:t xml:space="preserve">(GCF_000005845.2) the 16-enzyme panel yields</w:t>
      </w:r>
      <w:r>
        <w:t xml:space="preserve"> </w:t>
      </w:r>
      <w:r>
        <w:rPr>
          <w:b/>
          <w:bCs/>
        </w:rPr>
        <w:t xml:space="preserve">43,735 anchors</w:t>
      </w:r>
      <w:r>
        <w:t xml:space="preserve">, of which</w:t>
      </w:r>
      <w:r>
        <w:t xml:space="preserve"> </w:t>
      </w:r>
      <w:r>
        <w:rPr>
          <w:b/>
          <w:bCs/>
        </w:rPr>
        <w:t xml:space="preserve">42,234 are usable</w:t>
      </w:r>
      <w:r>
        <w:t xml:space="preserve"> </w:t>
      </w:r>
      <w:r>
        <w:t xml:space="preserve">after masking: mean spacing 110 bp, median 59 bp, 99th</w:t>
      </w:r>
      <w:r>
        <w:t xml:space="preserve"> </w:t>
      </w:r>
      <w:r>
        <w:t xml:space="preserve">percentile 647 bp, largest gap 6,007 bp (3 gaps &gt; 5 kb). That is</w:t>
      </w:r>
      <w:r>
        <w:t xml:space="preserve"> </w:t>
      </w:r>
      <w:r>
        <w:rPr>
          <w:b/>
          <w:bCs/>
        </w:rPr>
        <w:t xml:space="preserve">227 usable</w:t>
      </w:r>
      <w:r>
        <w:rPr>
          <w:b/>
          <w:bCs/>
        </w:rPr>
        <w:t xml:space="preserve"> </w:t>
      </w:r>
      <w:r>
        <w:rPr>
          <w:b/>
          <w:bCs/>
        </w:rPr>
        <w:t xml:space="preserve">anchors per 25 kb</w:t>
      </w:r>
      <w:r>
        <w:t xml:space="preserve"> </w:t>
      </w:r>
      <w:r>
        <w:t xml:space="preserve">against</w:t>
      </w:r>
      <w:r>
        <w:t xml:space="preserve"> </w:t>
      </w:r>
      <w:r>
        <w:rPr>
          <w:b/>
          <w:bCs/>
        </w:rPr>
        <w:t xml:space="preserve">98 k-mers per 25 kb</w:t>
      </w:r>
      <w:r>
        <w:t xml:space="preserve"> </w:t>
      </w:r>
      <w:r>
        <w:t xml:space="preserve">in a Pilea FracMinHash</w:t>
      </w:r>
      <w:r>
        <w:t xml:space="preserve"> </w:t>
      </w:r>
      <w:r>
        <w:t xml:space="preserve">sketch of the same genome (18,261 k-mers; k = 31, s = 250) — 2.3× the density,</w:t>
      </w:r>
      <w:r>
        <w:t xml:space="preserve"> </w:t>
      </w:r>
      <w:r>
        <w:t xml:space="preserve">before any difference in estimator.</w:t>
      </w:r>
    </w:p>
    <w:p>
      <w:pPr>
        <w:pStyle w:val="BodyText"/>
      </w:pPr>
      <w:r>
        <w:t xml:space="preserve">The essential property is that anchor coordinates are</w:t>
      </w:r>
      <w:r>
        <w:t xml:space="preserve"> </w:t>
      </w:r>
      <w:r>
        <w:rPr>
          <w:b/>
          <w:bCs/>
        </w:rPr>
        <w:t xml:space="preserve">motif-defined and</w:t>
      </w:r>
      <w:r>
        <w:rPr>
          <w:b/>
          <w:bCs/>
        </w:rPr>
        <w:t xml:space="preserve"> </w:t>
      </w:r>
      <w:r>
        <w:rPr>
          <w:b/>
          <w:bCs/>
        </w:rPr>
        <w:t xml:space="preserve">therefore known before any read is seen</w:t>
      </w:r>
      <w:r>
        <w:t xml:space="preserve">, and are identical in every sample.</w:t>
      </w:r>
      <w:r>
        <w:t xml:space="preserve"> </w:t>
      </w:r>
      <w:r>
        <w:t xml:space="preserve">A FracMinHash sketch is a random subset of k-mers whose positions carry no</w:t>
      </w:r>
      <w:r>
        <w:t xml:space="preserve"> </w:t>
      </w:r>
      <w:r>
        <w:t xml:space="preserve">usable structure, which is why sketch-based PTR estimators regress on window</w:t>
      </w:r>
      <w:r>
        <w:t xml:space="preserve"> </w:t>
      </w:r>
      <w:r>
        <w:rPr>
          <w:i/>
          <w:iCs/>
        </w:rPr>
        <w:t xml:space="preserve">rank</w:t>
      </w:r>
      <w:r>
        <w:t xml:space="preserve"> </w:t>
      </w:r>
      <w:r>
        <w:t xml:space="preserve">rather than window</w:t>
      </w:r>
      <w:r>
        <w:t xml:space="preserve"> </w:t>
      </w:r>
      <w:r>
        <w:rPr>
          <w:i/>
          <w:iCs/>
        </w:rPr>
        <w:t xml:space="preserve">position</w:t>
      </w:r>
      <w:r>
        <w:t xml:space="preserve">.</w:t>
      </w:r>
    </w:p>
    <w:bookmarkEnd w:id="23"/>
    <w:bookmarkStart w:id="24" w:name="read-counting-and-anchor-attribution"/>
    <w:p>
      <w:pPr>
        <w:pStyle w:val="Heading4"/>
      </w:pPr>
      <w:r>
        <w:t xml:space="preserve">1.2 Read counting and anchor attribution</w:t>
      </w:r>
    </w:p>
    <w:p>
      <w:pPr>
        <w:pStyle w:val="FirstParagraph"/>
      </w:pPr>
      <w:r>
        <w:t xml:space="preserve">Reads are scanned exactly as reference genomes are: slide a window of each</w:t>
      </w:r>
      <w:r>
        <w:t xml:space="preserve"> </w:t>
      </w:r>
      <w:r>
        <w:t xml:space="preserve">enzyme’s tag length and test the enzyme’s patterns. A 2bRAD tag is not an</w:t>
      </w:r>
      <w:r>
        <w:t xml:space="preserve"> </w:t>
      </w:r>
      <w:r>
        <w:t xml:space="preserve">arbitrary k-mer but a fixed-length window under a motif constraint, so this is</w:t>
      </w:r>
      <w:r>
        <w:t xml:space="preserve"> </w:t>
      </w:r>
      <w:r>
        <w:t xml:space="preserve">both the correct model and cheaper than hashing every k-mer. It also makes</w:t>
      </w:r>
      <w:r>
        <w:t xml:space="preserve"> </w:t>
      </w:r>
      <w:r>
        <w:t xml:space="preserve">shotgun metagenome reads (route A) and bench-generated 2bRAD reads (route B) one</w:t>
      </w:r>
      <w:r>
        <w:t xml:space="preserve"> </w:t>
      </w:r>
      <w:r>
        <w:t xml:space="preserve">code path — in route B the read</w:t>
      </w:r>
      <w:r>
        <w:t xml:space="preserve"> </w:t>
      </w:r>
      <w:r>
        <w:rPr>
          <w:i/>
          <w:iCs/>
        </w:rPr>
        <w:t xml:space="preserve">is</w:t>
      </w:r>
      <w:r>
        <w:t xml:space="preserve"> </w:t>
      </w:r>
      <w:r>
        <w:t xml:space="preserve">the tag.</w:t>
      </w:r>
    </w:p>
    <w:p>
      <w:pPr>
        <w:pStyle w:val="BodyText"/>
      </w:pPr>
      <w:r>
        <w:t xml:space="preserve">Matching is strand-canonical and tolerates up to</w:t>
      </w:r>
      <w:r>
        <w:t xml:space="preserve"> </w:t>
      </w:r>
      <w:r>
        <w:rPr>
          <w:b/>
          <w:bCs/>
        </w:rPr>
        <w:t xml:space="preserve">2 mismatches</w:t>
      </w:r>
      <w:r>
        <w:t xml:space="preserve">. With a budget</w:t>
      </w:r>
      <w:r>
        <w:t xml:space="preserve"> </w:t>
      </w:r>
      <w:r>
        <w:t xml:space="preserve">of</w:t>
      </w:r>
      <w:r>
        <w:t xml:space="preserve"> </w:t>
      </w:r>
      <w:r>
        <w:rPr>
          <w:i/>
          <w:iCs/>
        </w:rPr>
        <w:t xml:space="preserve">m</w:t>
      </w:r>
      <w:r>
        <w:t xml:space="preserve"> </w:t>
      </w:r>
      <w:r>
        <w:t xml:space="preserve">mismatches a tag is split into</w:t>
      </w:r>
      <w:r>
        <w:t xml:space="preserve"> </w:t>
      </w:r>
      <w:r>
        <w:rPr>
          <w:i/>
          <w:iCs/>
        </w:rPr>
        <w:t xml:space="preserve">m</w:t>
      </w:r>
      <w:r>
        <w:t xml:space="preserve">+1 contiguous seeds; by the pigeonhole</w:t>
      </w:r>
      <w:r>
        <w:t xml:space="preserve"> </w:t>
      </w:r>
      <w:r>
        <w:t xml:space="preserve">principle at least one seed survives intact, so probing all</w:t>
      </w:r>
      <w:r>
        <w:t xml:space="preserve"> </w:t>
      </w:r>
      <w:r>
        <w:rPr>
          <w:i/>
          <w:iCs/>
        </w:rPr>
        <w:t xml:space="preserve">m</w:t>
      </w:r>
      <w:r>
        <w:t xml:space="preserve">+1 seed slots</w:t>
      </w:r>
      <w:r>
        <w:t xml:space="preserve"> </w:t>
      </w:r>
      <w:r>
        <w:t xml:space="preserve">cannot miss a true match. Candidates are verified by full Hamming distance</w:t>
      </w:r>
      <w:r>
        <w:t xml:space="preserve"> </w:t>
      </w:r>
      <w:r>
        <w:t xml:space="preserve">against the stored tag.</w:t>
      </w:r>
    </w:p>
    <w:p>
      <w:pPr>
        <w:pStyle w:val="BodyText"/>
      </w:pPr>
      <w:r>
        <w:t xml:space="preserve">A tag is counted only when it lies</w:t>
      </w:r>
      <w:r>
        <w:t xml:space="preserve"> </w:t>
      </w:r>
      <w:r>
        <w:rPr>
          <w:b/>
          <w:bCs/>
        </w:rPr>
        <w:t xml:space="preserve">wholly inside</w:t>
      </w:r>
      <w:r>
        <w:t xml:space="preserve"> </w:t>
      </w:r>
      <w:r>
        <w:t xml:space="preserve">the read. For 150 bp reads</w:t>
      </w:r>
      <w:r>
        <w:t xml:space="preserve"> </w:t>
      </w:r>
      <w:r>
        <w:t xml:space="preserve">and a 32 bp tag this retains (150 − 32 + 1)/150 ≈ 0.79 of the local depth — the</w:t>
      </w:r>
      <w:r>
        <w:t xml:space="preserve"> </w:t>
      </w:r>
      <w:r>
        <w:t xml:space="preserve">same factor that applies to a k = 31 sketch, so the two methods are compared at</w:t>
      </w:r>
      <w:r>
        <w:t xml:space="preserve"> </w:t>
      </w:r>
      <w:r>
        <w:t xml:space="preserve">matched</w:t>
      </w:r>
      <w:r>
        <w:t xml:space="preserve"> </w:t>
      </w:r>
      <w:r>
        <w:rPr>
          <w:i/>
          <w:iCs/>
        </w:rPr>
        <w:t xml:space="preserve">effective</w:t>
      </w:r>
      <w:r>
        <w:t xml:space="preserve"> </w:t>
      </w:r>
      <w:r>
        <w:t xml:space="preserve">depth rather than matched nominal coverage.</w:t>
      </w:r>
    </w:p>
    <w:p>
      <w:pPr>
        <w:pStyle w:val="BodyText"/>
      </w:pPr>
      <w:r>
        <w:t xml:space="preserve">A single physical read window can satisfy</w:t>
      </w:r>
      <w:r>
        <w:t xml:space="preserve"> </w:t>
      </w:r>
      <w:r>
        <w:rPr>
          <w:b/>
          <w:bCs/>
        </w:rPr>
        <w:t xml:space="preserve">two enzymes’</w:t>
      </w:r>
      <w:r>
        <w:t xml:space="preserve"> </w:t>
      </w:r>
      <w:r>
        <w:t xml:space="preserve">patterns, because the</w:t>
      </w:r>
      <w:r>
        <w:t xml:space="preserve"> </w:t>
      </w:r>
      <w:r>
        <w:t xml:space="preserve">panel is not disjoint: every Bsp24I site is also a CjePI site (§2). Such a window</w:t>
      </w:r>
      <w:r>
        <w:t xml:space="preserve"> </w:t>
      </w:r>
      <w:r>
        <w:t xml:space="preserve">is one observation and is credited</w:t>
      </w:r>
      <w:r>
        <w:t xml:space="preserve"> </w:t>
      </w:r>
      <w:r>
        <w:rPr>
          <w:b/>
          <w:bCs/>
        </w:rPr>
        <w:t xml:space="preserve">once to each stratum it belongs to</w:t>
      </w:r>
      <w:r>
        <w:t xml:space="preserve">. The</w:t>
      </w:r>
      <w:r>
        <w:t xml:space="preserve"> </w:t>
      </w:r>
      <w:r>
        <w:t xml:space="preserve">read is therefore scanned once per distinct tag length, not once per enzyme —</w:t>
      </w:r>
      <w:r>
        <w:t xml:space="preserve"> </w:t>
      </w:r>
      <w:r>
        <w:t xml:space="preserve">scanning per enzyme visits the shared window twice and counts the locus twice for</w:t>
      </w:r>
      <w:r>
        <w:t xml:space="preserve"> </w:t>
      </w:r>
      <w:r>
        <w:t xml:space="preserve">both enzymes. That is not hypothetical: it was a defect in this implementation,</w:t>
      </w:r>
      <w:r>
        <w:t xml:space="preserve"> </w:t>
      </w:r>
      <w:r>
        <w:t xml:space="preserve">and it inflated CjePI’s total count on</w:t>
      </w:r>
      <w:r>
        <w:t xml:space="preserve"> </w:t>
      </w:r>
      <w:r>
        <w:rPr>
          <w:i/>
          <w:iCs/>
        </w:rPr>
        <w:t xml:space="preserve">E. coli</w:t>
      </w:r>
      <w:r>
        <w:t xml:space="preserve"> </w:t>
      </w:r>
      <w:r>
        <w:t xml:space="preserve">K-12 by 21.5 %, concentrated at</w:t>
      </w:r>
      <w:r>
        <w:t xml:space="preserve"> </w:t>
      </w:r>
      <w:r>
        <w:t xml:space="preserve">1,352 loci hit exactly 2.00× of which 94.7 % were Bsp24I sites. Because the</w:t>
      </w:r>
      <w:r>
        <w:t xml:space="preserve"> </w:t>
      </w:r>
      <w:r>
        <w:t xml:space="preserve">inflation is</w:t>
      </w:r>
      <w:r>
        <w:t xml:space="preserve"> </w:t>
      </w:r>
      <w:r>
        <w:rPr>
          <w:i/>
          <w:iCs/>
        </w:rPr>
        <w:t xml:space="preserve">local</w:t>
      </w:r>
      <w:r>
        <w:t xml:space="preserve"> </w:t>
      </w:r>
      <w:r>
        <w:t xml:space="preserve">rather than uniform it distorts the coverage profile instead</w:t>
      </w:r>
      <w:r>
        <w:t xml:space="preserve"> </w:t>
      </w:r>
      <w:r>
        <w:t xml:space="preserve">of cancelling in the fit’s intercept.</w:t>
      </w:r>
    </w:p>
    <w:p>
      <w:pPr>
        <w:pStyle w:val="BodyText"/>
      </w:pPr>
      <w:r>
        <w:t xml:space="preserve">Anchors shared between reference genomes are split by expectation-maximisation,</w:t>
      </w:r>
      <w:r>
        <w:t xml:space="preserve"> </w:t>
      </w:r>
      <w:r>
        <w:t xml:space="preserve">following the shared-k-mer reassignment Pilea borrows from sylph. Each shared</w:t>
      </w:r>
      <w:r>
        <w:t xml:space="preserve"> </w:t>
      </w:r>
      <w:r>
        <w:t xml:space="preserve">count is apportioned in proportion to current genome abundances; abundances are</w:t>
      </w:r>
      <w:r>
        <w:t xml:space="preserve"> </w:t>
      </w:r>
      <w:r>
        <w:t xml:space="preserve">re-estimated from</w:t>
      </w:r>
      <w:r>
        <w:t xml:space="preserve"> </w:t>
      </w:r>
      <w:r>
        <w:rPr>
          <w:b/>
          <w:bCs/>
        </w:rPr>
        <w:t xml:space="preserve">unique anchors only</w:t>
      </w:r>
      <w:r>
        <w:t xml:space="preserve"> </w:t>
      </w:r>
      <w:r>
        <w:t xml:space="preserve">on every iteration, which keeps the</w:t>
      </w:r>
      <w:r>
        <w:t xml:space="preserve"> </w:t>
      </w:r>
      <w:r>
        <w:t xml:space="preserve">fixed point identifiable (a genome with no unique anchors cannot inflate itself</w:t>
      </w:r>
      <w:r>
        <w:t xml:space="preserve"> </w:t>
      </w:r>
      <w:r>
        <w:t xml:space="preserve">without bound). Convergence is a relative abundance change below 10⁻⁶ or 100</w:t>
      </w:r>
      <w:r>
        <w:t xml:space="preserve"> </w:t>
      </w:r>
      <w:r>
        <w:t xml:space="preserve">iterations.</w:t>
      </w:r>
    </w:p>
    <w:bookmarkEnd w:id="24"/>
    <w:bookmarkStart w:id="25" w:name="windows-and-window-rates"/>
    <w:p>
      <w:pPr>
        <w:pStyle w:val="Heading4"/>
      </w:pPr>
      <w:r>
        <w:t xml:space="preserve">1.3 Windows and window rates</w:t>
      </w:r>
    </w:p>
    <w:p>
      <w:pPr>
        <w:pStyle w:val="FirstParagraph"/>
      </w:pPr>
      <w:r>
        <w:t xml:space="preserve">Windows are cut</w:t>
      </w:r>
      <w:r>
        <w:t xml:space="preserve"> </w:t>
      </w:r>
      <w:r>
        <w:rPr>
          <w:b/>
          <w:bCs/>
        </w:rPr>
        <w:t xml:space="preserve">inside each (genome, enzyme) series</w:t>
      </w:r>
      <w:r>
        <w:t xml:space="preserve">, in coordinate order,</w:t>
      </w:r>
      <w:r>
        <w:t xml:space="preserve"> </w:t>
      </w:r>
      <w:r>
        <w:t xml:space="preserve">holding a fixed</w:t>
      </w:r>
      <w:r>
        <w:t xml:space="preserve"> </w:t>
      </w:r>
      <w:r>
        <w:rPr>
          <w:i/>
          <w:iCs/>
        </w:rPr>
        <w:t xml:space="preserve">number of anchors</w:t>
      </w:r>
      <w:r>
        <w:t xml:space="preserve"> </w:t>
      </w:r>
      <w:r>
        <w:t xml:space="preserve">rather than a fixed number of base pairs.</w:t>
      </w:r>
      <w:r>
        <w:t xml:space="preserve"> </w:t>
      </w:r>
      <w:r>
        <w:t xml:space="preserve">Equal-anchor windows equalise statistical power along the genome; equal-bp</w:t>
      </w:r>
      <w:r>
        <w:t xml:space="preserve"> </w:t>
      </w:r>
      <w:r>
        <w:t xml:space="preserve">windows do not, because anchor density varies. Windows never straddle a contig</w:t>
      </w:r>
      <w:r>
        <w:t xml:space="preserve"> </w:t>
      </w:r>
      <w:r>
        <w:t xml:space="preserve">boundary — two anchors on different contigs have no defined genomic distance.</w:t>
      </w:r>
    </w:p>
    <w:p>
      <w:pPr>
        <w:pStyle w:val="BodyText"/>
      </w:pPr>
      <w:r>
        <w:t xml:space="preserve">Anchor density varies ~20-fold across the panel (CjeI 1,962/Mb, PpiI 74/Mb on</w:t>
      </w:r>
      <w:r>
        <w:t xml:space="preserve"> </w:t>
      </w:r>
      <w:r>
        <w:rPr>
          <w:i/>
          <w:iCs/>
        </w:rPr>
        <w:t xml:space="preserve">E. coli</w:t>
      </w:r>
      <w:r>
        <w:t xml:space="preserve">), so a single window size cannot serve all sixteen enzymes: at a flat</w:t>
      </w:r>
      <w:r>
        <w:t xml:space="preserve"> </w:t>
      </w:r>
      <w:r>
        <w:t xml:space="preserve">100 anchors/window the three sparsest enzymes would get 3–4 windows each and</w:t>
      </w:r>
      <w:r>
        <w:t xml:space="preserve"> </w:t>
      </w:r>
      <w:r>
        <w:t xml:space="preserve">drop out. The size is therefore chosen per enzyme as</w:t>
      </w:r>
    </w:p>
    <w:p>
      <w:pPr>
        <w:pStyle w:val="SourceCode"/>
      </w:pPr>
      <w:r>
        <w:rPr>
          <w:rStyle w:val="VerbatimChar"/>
        </w:rPr>
        <w:t xml:space="preserve">anchors_per_window = clamp(n_anchors / 25, 25, 100)</w:t>
      </w:r>
    </w:p>
    <w:p>
      <w:pPr>
        <w:pStyle w:val="FirstParagraph"/>
      </w:pPr>
      <w:r>
        <w:t xml:space="preserve">targeting ≈25 windows per enzyme. Sparse enzymes get smaller, noisier windows</w:t>
      </w:r>
      <w:r>
        <w:t xml:space="preserve"> </w:t>
      </w:r>
      <w:r>
        <w:t xml:space="preserve">and consequently</w:t>
      </w:r>
      <w:r>
        <w:t xml:space="preserve"> </w:t>
      </w:r>
      <w:r>
        <w:rPr>
          <w:i/>
          <w:iCs/>
        </w:rPr>
        <w:t xml:space="preserve">earn less weight</w:t>
      </w:r>
      <w:r>
        <w:t xml:space="preserve"> </w:t>
      </w:r>
      <w:r>
        <w:t xml:space="preserve">in the fusion (§1.6), which is the correct</w:t>
      </w:r>
      <w:r>
        <w:t xml:space="preserve"> </w:t>
      </w:r>
      <w:r>
        <w:t xml:space="preserve">way for them to count less.</w:t>
      </w:r>
    </w:p>
    <w:p>
      <w:pPr>
        <w:pStyle w:val="BodyText"/>
      </w:pPr>
      <w:r>
        <w:t xml:space="preserve">Within a window, counts are modelled as a</w:t>
      </w:r>
      <w:r>
        <w:t xml:space="preserve"> </w:t>
      </w:r>
      <w:r>
        <w:rPr>
          <w:b/>
          <w:bCs/>
        </w:rPr>
        <w:t xml:space="preserve">zero-truncated Poisson (ZTP)</w:t>
      </w:r>
      <w:r>
        <w:rPr>
          <w:b/>
          <w:bCs/>
        </w:rPr>
        <w:t xml:space="preserve"> </w:t>
      </w:r>
      <w:r>
        <w:rPr>
          <w:b/>
          <w:bCs/>
        </w:rPr>
        <w:t xml:space="preserve">mixture</w:t>
      </w:r>
      <w:r>
        <w:t xml:space="preserve"> </w:t>
      </w:r>
      <w:r>
        <w:t xml:space="preserve">— parameters by EM, component count by BIC — and the highest-weight</w:t>
      </w:r>
      <w:r>
        <w:t xml:space="preserve"> </w:t>
      </w:r>
      <w:r>
        <w:t xml:space="preserve">component’s rate is the window’s expected coverage. Truncation matters because</w:t>
      </w:r>
      <w:r>
        <w:t xml:space="preserve"> </w:t>
      </w:r>
      <w:r>
        <w:t xml:space="preserve">systematic sequence divergence makes some reference anchors genuinely absent</w:t>
      </w:r>
      <w:r>
        <w:t xml:space="preserve"> </w:t>
      </w:r>
      <w:r>
        <w:t xml:space="preserve">from a sample; counting those as true zeros drags an untruncated fit downward.</w:t>
      </w:r>
      <w:r>
        <w:t xml:space="preserve"> </w:t>
      </w:r>
      <w:r>
        <w:t xml:space="preserve">A</w:t>
      </w:r>
      <w:r>
        <w:t xml:space="preserve"> </w:t>
      </w:r>
      <w:r>
        <w:rPr>
          <w:b/>
          <w:bCs/>
        </w:rPr>
        <w:t xml:space="preserve">zero-truncated negative binomial (ZTNB)</w:t>
      </w:r>
      <w:r>
        <w:t xml:space="preserve"> </w:t>
      </w:r>
      <w:r>
        <w:t xml:space="preserve">branch is available for residual</w:t>
      </w:r>
      <w:r>
        <w:t xml:space="preserve"> </w:t>
      </w:r>
      <w:r>
        <w:t xml:space="preserve">overdispersion and is selected by BIC rather than by a coverage threshold; at</w:t>
      </w:r>
      <w:r>
        <w:t xml:space="preserve"> </w:t>
      </w:r>
      <w:r>
        <w:t xml:space="preserve">low coverage NB is unidentifiable and BIC falls back to ZTP automatically.</w:t>
      </w:r>
    </w:p>
    <w:p>
      <w:pPr>
        <w:pStyle w:val="BodyText"/>
      </w:pPr>
      <w:r>
        <w:t xml:space="preserve">Every window rate is returned with a standard error. That is what makes the</w:t>
      </w:r>
      <w:r>
        <w:t xml:space="preserve"> </w:t>
      </w:r>
      <w:r>
        <w:t xml:space="preserve">inverse-variance fusion of §1.6 possible and is the piece a bootstrap has to</w:t>
      </w:r>
      <w:r>
        <w:t xml:space="preserve"> </w:t>
      </w:r>
      <w:r>
        <w:t xml:space="preserve">approximate.</w:t>
      </w:r>
    </w:p>
    <w:p>
      <w:pPr>
        <w:pStyle w:val="BodyText"/>
      </w:pPr>
      <w:r>
        <w:rPr>
          <w:i/>
          <w:iCs/>
        </w:rPr>
        <w:t xml:space="preserve">Numerical note.</w:t>
      </w:r>
      <w:r>
        <w:t xml:space="preserve"> </w:t>
      </w:r>
      <w:r>
        <w:t xml:space="preserve">The NB log-likelihood needs the rising factorial</w:t>
      </w:r>
      <w:r>
        <w:t xml:space="preserve"> </w:t>
      </w:r>
      <w:r>
        <w:t xml:space="preserve">lgamma(k+r) − lgamma(r) with r = 1/α. As α → 0 both terms diverge and their</w:t>
      </w:r>
      <w:r>
        <w:t xml:space="preserve"> </w:t>
      </w:r>
      <w:r>
        <w:t xml:space="preserve">difference loses all precision in double arithmetic; the implementation instead</w:t>
      </w:r>
      <w:r>
        <w:t xml:space="preserve"> </w:t>
      </w:r>
      <w:r>
        <w:t xml:space="preserve">accumulates Σᵢ log(r+i) directly. Without this, a degenerate α ≈ 0 fit gains</w:t>
      </w:r>
      <w:r>
        <w:t xml:space="preserve"> </w:t>
      </w:r>
      <w:r>
        <w:t xml:space="preserve">~12 spurious log-likelihood units and BIC selects NB everywhere.</w:t>
      </w:r>
    </w:p>
    <w:bookmarkEnd w:id="25"/>
    <w:bookmarkStart w:id="26" w:name="gc-bias-correction"/>
    <w:p>
      <w:pPr>
        <w:pStyle w:val="Heading4"/>
      </w:pPr>
      <w:r>
        <w:t xml:space="preserve">1.4 GC bias correction</w:t>
      </w:r>
    </w:p>
    <w:p>
      <w:pPr>
        <w:pStyle w:val="FirstParagraph"/>
      </w:pPr>
      <w:r>
        <w:t xml:space="preserve">Every Type IIB recognition site has its own base composition, so the 16 enzymes</w:t>
      </w:r>
      <w:r>
        <w:t xml:space="preserve"> </w:t>
      </w:r>
      <w:r>
        <w:t xml:space="preserve">sample sixteen different, individually narrow GC neighbourhoods. A single global</w:t>
      </w:r>
      <w:r>
        <w:t xml:space="preserve"> </w:t>
      </w:r>
      <w:r>
        <w:t xml:space="preserve">correction curve averages them into a shape that fits none of them. sk2bGrow</w:t>
      </w:r>
      <w:r>
        <w:t xml:space="preserve"> </w:t>
      </w:r>
      <w:r>
        <w:t xml:space="preserve">therefore fits a loess curve of log₂ efficiency against GC</w:t>
      </w:r>
      <w:r>
        <w:t xml:space="preserve"> </w:t>
      </w:r>
      <w:r>
        <w:rPr>
          <w:b/>
          <w:bCs/>
        </w:rPr>
        <w:t xml:space="preserve">within each</w:t>
      </w:r>
      <w:r>
        <w:rPr>
          <w:b/>
          <w:bCs/>
        </w:rPr>
        <w:t xml:space="preserve"> </w:t>
      </w:r>
      <w:r>
        <w:rPr>
          <w:b/>
          <w:bCs/>
        </w:rPr>
        <w:t xml:space="preserve">enzyme</w:t>
      </w:r>
      <w:r>
        <w:t xml:space="preserve">, and applies it</w:t>
      </w:r>
      <w:r>
        <w:t xml:space="preserve"> </w:t>
      </w:r>
      <w:r>
        <w:rPr>
          <w:b/>
          <w:bCs/>
        </w:rPr>
        <w:t xml:space="preserve">at anchor resolution</w:t>
      </w:r>
      <w:r>
        <w:t xml:space="preserve"> </w:t>
      </w:r>
      <w:r>
        <w:t xml:space="preserve">(each anchor’s own ±250 bp GC),</w:t>
      </w:r>
      <w:r>
        <w:t xml:space="preserve"> </w:t>
      </w:r>
      <w:r>
        <w:t xml:space="preserve">averaging into the window only afterwards — correcting on a window’s mean GC</w:t>
      </w:r>
      <w:r>
        <w:t xml:space="preserve"> </w:t>
      </w:r>
      <w:r>
        <w:t xml:space="preserve">would discard exactly the within-window variation the correction exists to</w:t>
      </w:r>
      <w:r>
        <w:t xml:space="preserve"> </w:t>
      </w:r>
      <w:r>
        <w:t xml:space="preserve">remove.</w:t>
      </w:r>
    </w:p>
    <w:p>
      <w:pPr>
        <w:pStyle w:val="BodyText"/>
      </w:pPr>
      <w:r>
        <w:t xml:space="preserve">The correction is an</w:t>
      </w:r>
      <w:r>
        <w:t xml:space="preserve"> </w:t>
      </w:r>
      <w:r>
        <w:rPr>
          <w:b/>
          <w:bCs/>
        </w:rPr>
        <w:t xml:space="preserve">offset in log₂ space</w:t>
      </w:r>
      <w:r>
        <w:t xml:space="preserve">, never a rescaling of counts: the</w:t>
      </w:r>
      <w:r>
        <w:t xml:space="preserve"> </w:t>
      </w:r>
      <w:r>
        <w:t xml:space="preserve">window models need integer counts, and a multiplicative fudge would silently</w:t>
      </w:r>
      <w:r>
        <w:t xml:space="preserve"> </w:t>
      </w:r>
      <w:r>
        <w:t xml:space="preserve">break the zero-truncation.</w:t>
      </w:r>
    </w:p>
    <w:p>
      <w:pPr>
        <w:pStyle w:val="BodyText"/>
      </w:pPr>
      <w:r>
        <w:t xml:space="preserve">A constant per-enzyme efficiency factor cannot bias PTR, because each enzyme is</w:t>
      </w:r>
      <w:r>
        <w:t xml:space="preserve"> </w:t>
      </w:r>
      <w:r>
        <w:t xml:space="preserve">fitted separately and a constant offset is absorbed by that fit’s intercept.</w:t>
      </w:r>
      <w:r>
        <w:t xml:space="preserve"> </w:t>
      </w:r>
      <w:r>
        <w:t xml:space="preserve">Only GC</w:t>
      </w:r>
      <w:r>
        <w:t xml:space="preserve"> </w:t>
      </w:r>
      <w:r>
        <w:rPr>
          <w:i/>
          <w:iCs/>
        </w:rPr>
        <w:t xml:space="preserve">slope within an enzyme</w:t>
      </w:r>
      <w:r>
        <w:t xml:space="preserve"> </w:t>
      </w:r>
      <w:r>
        <w:t xml:space="preserve">matters. Per-enzyme efficiency factors are</w:t>
      </w:r>
      <w:r>
        <w:t xml:space="preserve"> </w:t>
      </w:r>
      <w:r>
        <w:t xml:space="preserve">still reported, for QC.</w:t>
      </w:r>
    </w:p>
    <w:p>
      <w:pPr>
        <w:pStyle w:val="BodyText"/>
      </w:pPr>
      <w:r>
        <w:t xml:space="preserve">We use this historical single-pass correction as the primary default. A residual</w:t>
      </w:r>
      <w:r>
        <w:t xml:space="preserve"> </w:t>
      </w:r>
      <w:r>
        <w:t xml:space="preserve">second pass was tested as a diagnostic but not adopted. Holding reads and</w:t>
      </w:r>
      <w:r>
        <w:t xml:space="preserve"> </w:t>
      </w:r>
      <w:r>
        <w:t xml:space="preserve">estimator fixed, it changed 0.5×/1× anchor-panel accuracy from r = 0.923/0.912</w:t>
      </w:r>
      <w:r>
        <w:t xml:space="preserve"> </w:t>
      </w:r>
      <w:r>
        <w:t xml:space="preserve">to 0.848/0.879 while leaving the density-matched sketch arm essentially</w:t>
      </w:r>
      <w:r>
        <w:t xml:space="preserve"> </w:t>
      </w:r>
      <w:r>
        <w:t xml:space="preserve">unchanged (0.883/0.912), the pattern expected when position-linked GC structure</w:t>
      </w:r>
      <w:r>
        <w:t xml:space="preserve"> </w:t>
      </w:r>
      <w:r>
        <w:t xml:space="preserve">absorbs part of the ori-ter gradient. The residual mode remains opt-in</w:t>
      </w:r>
      <w:r>
        <w:t xml:space="preserve"> </w:t>
      </w:r>
      <w:r>
        <w:t xml:space="preserve">(</w:t>
      </w:r>
      <w:r>
        <w:rPr>
          <w:rStyle w:val="VerbatimChar"/>
        </w:rPr>
        <w:t xml:space="preserve">--gc-residual-pass</w:t>
      </w:r>
      <w:r>
        <w:t xml:space="preserve">) and is not used in primary benchmarks</w:t>
      </w:r>
      <w:r>
        <w:t xml:space="preserve"> </w:t>
      </w:r>
      <w:r>
        <w:t xml:space="preserve">(</w:t>
      </w:r>
      <w:r>
        <w:rPr>
          <w:rStyle w:val="VerbatimChar"/>
        </w:rPr>
        <w:t xml:space="preserve">data/m1_signed/gc_correction_diagnostic.tsv</w:t>
      </w:r>
      <w:r>
        <w:t xml:space="preserve">).</w:t>
      </w:r>
    </w:p>
    <w:bookmarkEnd w:id="26"/>
    <w:bookmarkStart w:id="27" w:name="origin-placement-and-v-shape-fitting"/>
    <w:p>
      <w:pPr>
        <w:pStyle w:val="Heading4"/>
      </w:pPr>
      <w:r>
        <w:t xml:space="preserve">1.5 Origin placement and V-shape fitting</w:t>
      </w:r>
    </w:p>
    <w:p>
      <w:pPr>
        <w:pStyle w:val="FirstParagraph"/>
      </w:pPr>
      <w:r>
        <w:t xml:space="preserve">The origin is a property of the chromosome, not of an enzyme. It is estimated</w:t>
      </w:r>
      <w:r>
        <w:t xml:space="preserve"> </w:t>
      </w:r>
      <w:r>
        <w:rPr>
          <w:b/>
          <w:bCs/>
        </w:rPr>
        <w:t xml:space="preserve">once per genome</w:t>
      </w:r>
      <w:r>
        <w:t xml:space="preserve"> </w:t>
      </w:r>
      <w:r>
        <w:t xml:space="preserve">from all enzymes pooled, after median-centring each enzyme’s</w:t>
      </w:r>
      <w:r>
        <w:t xml:space="preserve"> </w:t>
      </w:r>
      <w:r>
        <w:t xml:space="preserve">rates (which removes its efficiency offset while leaving the shared gradient</w:t>
      </w:r>
      <w:r>
        <w:t xml:space="preserve"> </w:t>
      </w:r>
      <w:r>
        <w:t xml:space="preserve">intact). Fitting an origin separately per enzyme both wastes power and injects</w:t>
      </w:r>
      <w:r>
        <w:t xml:space="preserve"> </w:t>
      </w:r>
      <w:r>
        <w:t xml:space="preserve">between-enzyme variance that has nothing to do with biology — two enzymes</w:t>
      </w:r>
      <w:r>
        <w:t xml:space="preserve"> </w:t>
      </w:r>
      <w:r>
        <w:t xml:space="preserve">landing on origins 200 kb apart would make the consistency test of §1.6 report</w:t>
      </w:r>
      <w:r>
        <w:t xml:space="preserve"> </w:t>
      </w:r>
      <w:r>
        <w:t xml:space="preserve">disagreement where the enzymes in fact agree. An externally supplied origin</w:t>
      </w:r>
      <w:r>
        <w:t xml:space="preserve"> </w:t>
      </w:r>
      <w:r>
        <w:t xml:space="preserve">(DoriC, Ori-Finder,</w:t>
      </w:r>
      <w:r>
        <w:t xml:space="preserve"> </w:t>
      </w:r>
      <w:r>
        <w:rPr>
          <w:i/>
          <w:iCs/>
        </w:rPr>
        <w:t xml:space="preserve">dnaA</w:t>
      </w:r>
      <w:r>
        <w:t xml:space="preserve">) is used when given.</w:t>
      </w:r>
    </w:p>
    <w:p>
      <w:pPr>
        <w:pStyle w:val="BodyText"/>
      </w:pPr>
      <w:r>
        <w:t xml:space="preserve">With coordinates in hand, log₂ coverage is regressed directly on circular</w:t>
      </w:r>
      <w:r>
        <w:t xml:space="preserve"> </w:t>
      </w:r>
      <w:r>
        <w:t xml:space="preserve">distance</w:t>
      </w:r>
      <w:r>
        <w:t xml:space="preserve"> </w:t>
      </w:r>
      <w:r>
        <w:rPr>
          <w:i/>
          <w:iCs/>
        </w:rPr>
        <w:t xml:space="preserve">d</w:t>
      </w:r>
      <w:r>
        <w:t xml:space="preserve"> </w:t>
      </w:r>
      <w:r>
        <w:t xml:space="preserve">from the origin:</w:t>
      </w:r>
    </w:p>
    <w:p>
      <w:pPr>
        <w:pStyle w:val="BodyText"/>
      </w:pPr>
      <m:oMathPara>
        <m:oMathParaPr>
          <m:jc m:val="center"/>
        </m:oMathParaPr>
        <m:oMath>
          <m:sSub>
            <m:e>
              <m:r>
                <m:rPr>
                  <m:sty m:val="p"/>
                </m:rPr>
                <m:t>log</m:t>
              </m:r>
            </m:e>
            <m:sub>
              <m:r>
                <m:t>2</m:t>
              </m:r>
            </m:sub>
          </m:sSub>
          <m:r>
            <m:t>μ</m:t>
          </m:r>
          <m:r>
            <m:rPr>
              <m:sty m:val="p"/>
            </m:rPr>
            <m:t>(</m:t>
          </m:r>
          <m:r>
            <m:t>x</m:t>
          </m:r>
          <m:r>
            <m:rPr>
              <m:sty m:val="p"/>
            </m:rPr>
            <m:t>)</m:t>
          </m:r>
          <m:r>
            <m:t> </m:t>
          </m:r>
          <m:r>
            <m:rPr>
              <m:sty m:val="p"/>
            </m:rPr>
            <m:t>=</m:t>
          </m:r>
          <m:r>
            <m:t> </m:t>
          </m:r>
          <m:r>
            <m:t>a</m:t>
          </m:r>
          <m:r>
            <m:rPr>
              <m:sty m:val="p"/>
            </m:rPr>
            <m:t>−</m:t>
          </m:r>
          <m:sSub>
            <m:e>
              <m:r>
                <m:t>b</m:t>
              </m:r>
            </m:e>
            <m:sub>
              <m:r>
                <m:t>1</m:t>
              </m:r>
            </m:sub>
          </m:sSub>
          <m:r>
            <m:rPr>
              <m:sty m:val="p"/>
            </m:rPr>
            <m:t>min</m:t>
          </m:r>
          <m:r>
            <m:rPr>
              <m:sty m:val="p"/>
            </m:rPr>
            <m:t>(</m:t>
          </m:r>
          <m:r>
            <m:t>d</m:t>
          </m:r>
          <m:r>
            <m:rPr>
              <m:sty m:val="p"/>
            </m:rPr>
            <m:t>,</m:t>
          </m:r>
          <m:r>
            <m:t>k</m:t>
          </m:r>
          <m:r>
            <m:rPr>
              <m:sty m:val="p"/>
            </m:rPr>
            <m:t>)</m:t>
          </m:r>
          <m:r>
            <m:rPr>
              <m:sty m:val="p"/>
            </m:rPr>
            <m:t>−</m:t>
          </m:r>
          <m:sSub>
            <m:e>
              <m:r>
                <m:t>b</m:t>
              </m:r>
            </m:e>
            <m:sub>
              <m:r>
                <m:t>2</m:t>
              </m:r>
            </m:sub>
          </m:sSub>
          <m:r>
            <m:rPr>
              <m:sty m:val="p"/>
            </m:rPr>
            <m:t>max</m:t>
          </m:r>
          <m:r>
            <m:rPr>
              <m:sty m:val="p"/>
            </m:rPr>
            <m:t>(</m:t>
          </m:r>
          <m:r>
            <m:t>0</m:t>
          </m:r>
          <m:r>
            <m:rPr>
              <m:sty m:val="p"/>
            </m:rPr>
            <m:t>,</m:t>
          </m:r>
          <m:r>
            <m:t> </m:t>
          </m:r>
          <m:r>
            <m:t>d</m:t>
          </m:r>
          <m:r>
            <m:rPr>
              <m:sty m:val="p"/>
            </m:rPr>
            <m:t>−</m:t>
          </m:r>
          <m:r>
            <m:t>k</m:t>
          </m:r>
          <m:r>
            <m:rPr>
              <m:sty m:val="p"/>
            </m:rPr>
            <m:t>)</m:t>
          </m:r>
          <m:r>
            <m:rPr>
              <m:sty m:val="p"/>
            </m:rPr>
            <m:t>,</m:t>
          </m:r>
          <m:r>
            <m:t>  </m:t>
          </m:r>
          <m:r>
            <m:t>d</m:t>
          </m:r>
          <m:r>
            <m:rPr>
              <m:sty m:val="p"/>
            </m:rPr>
            <m:t>=</m:t>
          </m:r>
          <m:r>
            <m:rPr>
              <m:sty m:val="p"/>
            </m:rPr>
            <m:t>d</m:t>
          </m:r>
          <m:r>
            <m:rPr>
              <m:sty m:val="p"/>
            </m:rPr>
            <m:t>i</m:t>
          </m:r>
          <m:r>
            <m:rPr>
              <m:sty m:val="p"/>
            </m:rPr>
            <m:t>s</m:t>
          </m:r>
          <m:r>
            <m:rPr>
              <m:sty m:val="p"/>
            </m:rPr>
            <m:t>t</m:t>
          </m:r>
          <m:r>
            <m:rPr>
              <m:sty m:val="p"/>
            </m:rPr>
            <m:t>(</m:t>
          </m:r>
          <m:r>
            <m:t>x</m:t>
          </m:r>
          <m:r>
            <m:rPr>
              <m:sty m:val="p"/>
            </m:rPr>
            <m:t>,</m:t>
          </m:r>
          <m:r>
            <m:t> </m:t>
          </m:r>
          <m:r>
            <m:rPr>
              <m:sty m:val="p"/>
            </m:rPr>
            <m:t>o</m:t>
          </m:r>
          <m:r>
            <m:rPr>
              <m:sty m:val="p"/>
            </m:rPr>
            <m:t>r</m:t>
          </m:r>
          <m:r>
            <m:rPr>
              <m:sty m:val="p"/>
            </m:rPr>
            <m:t>i</m:t>
          </m:r>
          <m:r>
            <m:rPr>
              <m:sty m:val="p"/>
            </m:rPr>
            <m:t>)</m:t>
          </m:r>
        </m:oMath>
      </m:oMathPara>
    </w:p>
    <w:p>
      <w:pPr>
        <w:pStyle w:val="FirstParagraph"/>
      </w:pPr>
      <w:r>
        <w:t xml:space="preserve">With</w:t>
      </w:r>
      <w:r>
        <w:t xml:space="preserve"> </w:t>
      </w:r>
      <w:r>
        <w:rPr>
          <w:i/>
          <w:iCs/>
        </w:rPr>
        <w:t xml:space="preserve">b</w:t>
      </w:r>
      <w:r>
        <w:t xml:space="preserve">₁ =</w:t>
      </w:r>
      <w:r>
        <w:t xml:space="preserve"> </w:t>
      </w:r>
      <w:r>
        <w:rPr>
          <w:i/>
          <w:iCs/>
        </w:rPr>
        <w:t xml:space="preserve">b</w:t>
      </w:r>
      <w:r>
        <w:t xml:space="preserve">₂ this is the plain V that CoPTR-Ref shows to be the maximum</w:t>
      </w:r>
      <w:r>
        <w:t xml:space="preserve"> </w:t>
      </w:r>
      <w:r>
        <w:t xml:space="preserve">likelihood model, and log₂PTR is the fitted drop from origin to terminus. The</w:t>
      </w:r>
      <w:r>
        <w:t xml:space="preserve"> </w:t>
      </w:r>
      <w:r>
        <w:t xml:space="preserve">two-slope form exists for multi-fork replication, where overlapping rounds put a</w:t>
      </w:r>
      <w:r>
        <w:t xml:space="preserve"> </w:t>
      </w:r>
      <w:r>
        <w:t xml:space="preserve">genuine kink in the profile at PTR &gt; 2. Which of the two is used is decided by</w:t>
      </w:r>
      <w:r>
        <w:t xml:space="preserve"> </w:t>
      </w:r>
      <w:r>
        <w:rPr>
          <w:b/>
          <w:bCs/>
        </w:rPr>
        <w:t xml:space="preserve">BIC</w:t>
      </w:r>
      <w:r>
        <w:t xml:space="preserve"> </w:t>
      </w:r>
      <w:r>
        <w:t xml:space="preserve">on the weighted residual χ² (matching the weighted fit objective); the</w:t>
      </w:r>
      <w:r>
        <w:t xml:space="preserve"> </w:t>
      </w:r>
      <w:r>
        <w:t xml:space="preserve">segmented form is only offered when ≥30 windows are available and the preliminary</w:t>
      </w:r>
      <w:r>
        <w:t xml:space="preserve"> </w:t>
      </w:r>
      <w:r>
        <w:t xml:space="preserve">log₂PTR exceeds 2. Sign selection occurs only while searching for the origin,</w:t>
      </w:r>
      <w:r>
        <w:t xml:space="preserve"> </w:t>
      </w:r>
      <w:r>
        <w:t xml:space="preserve">where rejecting an uphill solution distinguishes origin from terminus. Once that</w:t>
      </w:r>
      <w:r>
        <w:t xml:space="preserve"> </w:t>
      </w:r>
      <w:r>
        <w:t xml:space="preserve">shared origin is fixed, each enzyme’s slopes are allowed to be negative: a</w:t>
      </w:r>
      <w:r>
        <w:t xml:space="preserve"> </w:t>
      </w:r>
      <w:r>
        <w:t xml:space="preserve">stationary control can yield a small negative gradient, and truncating those</w:t>
      </w:r>
      <w:r>
        <w:t xml:space="preserve"> </w:t>
      </w:r>
      <w:r>
        <w:t xml:space="preserve">slopes at zero manufactures a positive control bias. The window standard errors</w:t>
      </w:r>
      <w:r>
        <w:t xml:space="preserve"> </w:t>
      </w:r>
      <w:r>
        <w:t xml:space="preserve">are re-expressed as a smooth function of the first-pass fitted profile in a</w:t>
      </w:r>
      <w:r>
        <w:t xml:space="preserve"> </w:t>
      </w:r>
      <w:r>
        <w:t xml:space="preserve">second weighted pass, so a window’s weight is not correlated with its own</w:t>
      </w:r>
      <w:r>
        <w:t xml:space="preserve"> </w:t>
      </w:r>
      <w:r>
        <w:t xml:space="preserve">upward count fluctuation.</w:t>
      </w:r>
    </w:p>
    <w:p>
      <w:pPr>
        <w:pStyle w:val="BodyText"/>
      </w:pPr>
      <w:r>
        <w:t xml:space="preserve">Standard errors are scaled by the reduced χ² of the fit. The window standard</w:t>
      </w:r>
      <w:r>
        <w:t xml:space="preserve"> </w:t>
      </w:r>
      <w:r>
        <w:t xml:space="preserve">errors of §1.3 describe counting noise only; anchor efficiency noise, residual</w:t>
      </w:r>
      <w:r>
        <w:t xml:space="preserve"> </w:t>
      </w:r>
      <w:r>
        <w:t xml:space="preserve">GC structure and profile misspecification all add scatter on top, and taking the</w:t>
      </w:r>
      <w:r>
        <w:t xml:space="preserve"> </w:t>
      </w:r>
      <w:r>
        <w:t xml:space="preserve">residuals at face value is what keeps the error bars honest.</w:t>
      </w:r>
    </w:p>
    <w:p>
      <w:pPr>
        <w:pStyle w:val="BodyText"/>
      </w:pPr>
      <w:r>
        <w:t xml:space="preserve">For comparison and for the attribution analysis, the</w:t>
      </w:r>
      <w:r>
        <w:t xml:space="preserve"> </w:t>
      </w:r>
      <w:r>
        <w:rPr>
          <w:b/>
          <w:bCs/>
        </w:rPr>
        <w:t xml:space="preserve">sorted-rank regression</w:t>
      </w:r>
      <w:r>
        <w:t xml:space="preserve"> </w:t>
      </w:r>
      <w:r>
        <w:t xml:space="preserve">of iRep/Pilea is implemented on the same windows: sort window log₂ rates, regress</w:t>
      </w:r>
      <w:r>
        <w:t xml:space="preserve"> </w:t>
      </w:r>
      <w:r>
        <w:t xml:space="preserve">value on rank, multiply the slope by the window count. It needs no coordinates,</w:t>
      </w:r>
      <w:r>
        <w:t xml:space="preserve"> </w:t>
      </w:r>
      <w:r>
        <w:t xml:space="preserve">which is why it works on fragmented references — and its estimate is set by the</w:t>
      </w:r>
      <w:r>
        <w:t xml:space="preserve"> </w:t>
      </w:r>
      <w:r>
        <w:t xml:space="preserve">largest and smallest window, so it rides on two extreme order statistics</w:t>
      </w:r>
      <w:r>
        <w:t xml:space="preserve"> </w:t>
      </w:r>
      <w:r>
        <w:t xml:space="preserve">(</w:t>
      </w:r>
      <w:r>
        <w:rPr>
          <w:b/>
          <w:bCs/>
        </w:rPr>
        <w:t xml:space="preserve">Fig. 1c</w:t>
      </w:r>
      <w:r>
        <w:t xml:space="preserve">).</w:t>
      </w:r>
    </w:p>
    <w:bookmarkEnd w:id="27"/>
    <w:bookmarkStart w:id="28" w:name="cross-enzyme-fusion-and-quality-control"/>
    <w:p>
      <w:pPr>
        <w:pStyle w:val="Heading4"/>
      </w:pPr>
      <w:r>
        <w:t xml:space="preserve">1.6 Cross-enzyme fusion and quality control</w:t>
      </w:r>
    </w:p>
    <w:p>
      <w:pPr>
        <w:pStyle w:val="FirstParagraph"/>
      </w:pPr>
      <w:r>
        <w:t xml:space="preserve">Each of the 16 enzymes measures the same biological quantity through a different</w:t>
      </w:r>
      <w:r>
        <w:t xml:space="preserve"> </w:t>
      </w:r>
      <w:r>
        <w:t xml:space="preserve">set of loci, with its own digestion efficiency and GC neighbourhood. That is a</w:t>
      </w:r>
      <w:r>
        <w:t xml:space="preserve"> </w:t>
      </w:r>
      <w:r>
        <w:t xml:space="preserve">stratified design with real replication built in.</w:t>
      </w:r>
    </w:p>
    <w:p>
      <w:pPr>
        <w:pStyle w:val="BodyText"/>
      </w:pPr>
      <w:r>
        <w:rPr>
          <w:b/>
          <w:bCs/>
        </w:rPr>
        <w:t xml:space="preserve">Fused estimate.</w:t>
      </w:r>
      <w:r>
        <w:t xml:space="preserve"> </w:t>
      </w:r>
      <w:r>
        <w:t xml:space="preserve">Inverse-variance weighting is the minimum-variance linear</w:t>
      </w:r>
      <w:r>
        <w:t xml:space="preserve"> </w:t>
      </w:r>
      <w:r>
        <w:t xml:space="preserve">combination of unbiased estimates, so enzymes with more anchors and cleaner fits</w:t>
      </w:r>
      <w:r>
        <w:t xml:space="preserve"> </w:t>
      </w:r>
      <w:r>
        <w:t xml:space="preserve">count for more automatically. Enzymes with fewer than 30 usable anchors, no</w:t>
      </w:r>
      <w:r>
        <w:t xml:space="preserve"> </w:t>
      </w:r>
      <w:r>
        <w:t xml:space="preserve">finite estimate, or no usable standard error are excluded and named in the</w:t>
      </w:r>
      <w:r>
        <w:t xml:space="preserve"> </w:t>
      </w:r>
      <w:r>
        <w:t xml:space="preserve">output.</w:t>
      </w:r>
    </w:p>
    <w:p>
      <w:pPr>
        <w:pStyle w:val="BodyText"/>
      </w:pPr>
      <w:r>
        <w:rPr>
          <w:b/>
          <w:bCs/>
        </w:rPr>
        <w:t xml:space="preserve">Consistency test.</w:t>
      </w:r>
      <w:r>
        <w:t xml:space="preserve"> </w:t>
      </w:r>
      <w:r>
        <w:t xml:space="preserve">Under the null that every enzyme measures one common</w:t>
      </w:r>
      <w:r>
        <w:t xml:space="preserve"> </w:t>
      </w:r>
      <w:r>
        <w:t xml:space="preserve">value, Cochran’s</w:t>
      </w:r>
      <w:r>
        <w:t xml:space="preserve"> </w:t>
      </w:r>
      <w:r>
        <w:rPr>
          <w:i/>
          <w:iCs/>
        </w:rPr>
        <w:t xml:space="preserve">Q</w:t>
      </w:r>
      <w:r>
        <w:t xml:space="preserve"> </w:t>
      </w:r>
      <w:r>
        <w:t xml:space="preserve">is χ² on</w:t>
      </w:r>
      <w:r>
        <w:t xml:space="preserve"> </w:t>
      </w:r>
      <w:r>
        <w:rPr>
          <w:i/>
          <w:iCs/>
        </w:rPr>
        <w:t xml:space="preserve">k</w:t>
      </w:r>
      <w:r>
        <w:t xml:space="preserve"> </w:t>
      </w:r>
      <w:r>
        <w:t xml:space="preserve">− 1 degrees of freedom. A significant</w:t>
      </w:r>
      <w:r>
        <w:t xml:space="preserve"> </w:t>
      </w:r>
      <w:r>
        <w:rPr>
          <w:i/>
          <w:iCs/>
        </w:rPr>
        <w:t xml:space="preserve">Q</w:t>
      </w:r>
      <w:r>
        <w:t xml:space="preserve"> </w:t>
      </w:r>
      <w:r>
        <w:t xml:space="preserve">(α = 0.05) means the enzymes disagree — too few anchors, a methylation-blocked</w:t>
      </w:r>
      <w:r>
        <w:t xml:space="preserve"> </w:t>
      </w:r>
      <w:r>
        <w:t xml:space="preserve">site class, a mis-assembled region — and is a QC signal available at zero extra</w:t>
      </w:r>
      <w:r>
        <w:t xml:space="preserve"> </w:t>
      </w:r>
      <w:r>
        <w:t xml:space="preserve">sequencing cost.</w:t>
      </w:r>
      <w:r>
        <w:t xml:space="preserve"> </w:t>
      </w:r>
      <w:r>
        <w:rPr>
          <w:i/>
          <w:iCs/>
        </w:rPr>
        <w:t xml:space="preserve">I</w:t>
      </w:r>
      <w:r>
        <w:t xml:space="preserve">² is reported alongside.</w:t>
      </w:r>
    </w:p>
    <w:p>
      <w:pPr>
        <w:pStyle w:val="BodyText"/>
      </w:pPr>
      <w:r>
        <w:rPr>
          <w:b/>
          <w:bCs/>
        </w:rPr>
        <w:t xml:space="preserve">Escalation.</w:t>
      </w:r>
      <w:r>
        <w:t xml:space="preserve"> </w:t>
      </w:r>
      <w:r>
        <w:t xml:space="preserve">When</w:t>
      </w:r>
      <w:r>
        <w:t xml:space="preserve"> </w:t>
      </w:r>
      <w:r>
        <w:rPr>
          <w:i/>
          <w:iCs/>
        </w:rPr>
        <w:t xml:space="preserve">Q</w:t>
      </w:r>
      <w:r>
        <w:t xml:space="preserve"> </w:t>
      </w:r>
      <w:r>
        <w:t xml:space="preserve">rejects, the fixed-effect standard error is known to be</w:t>
      </w:r>
      <w:r>
        <w:t xml:space="preserve"> </w:t>
      </w:r>
      <w:r>
        <w:t xml:space="preserve">too small, because it assumes the only scatter is sampling noise. The estimator</w:t>
      </w:r>
      <w:r>
        <w:t xml:space="preserve"> </w:t>
      </w:r>
      <w:r>
        <w:t xml:space="preserve">then switches to DerSimonian–Laird random-effects weights 1/(sᵢ² + τ̂²), with τ̂²</w:t>
      </w:r>
      <w:r>
        <w:t xml:space="preserve"> </w:t>
      </w:r>
      <w:r>
        <w:t xml:space="preserve">the moment estimator of the between-enzyme variance.</w:t>
      </w:r>
      <w:r>
        <w:t xml:space="preserve"> </w:t>
      </w:r>
      <w:r>
        <w:rPr>
          <w:b/>
          <w:bCs/>
        </w:rPr>
        <w:t xml:space="preserve">Fig. 1d</w:t>
      </w:r>
      <w:r>
        <w:t xml:space="preserve"> </w:t>
      </w:r>
      <w:r>
        <w:t xml:space="preserve">shows the</w:t>
      </w:r>
      <w:r>
        <w:t xml:space="preserve"> </w:t>
      </w:r>
      <w:r>
        <w:t xml:space="preserve">sixteen per-enzyme estimates for one real 2× sample, with the fused value and</w:t>
      </w:r>
      <w:r>
        <w:t xml:space="preserve"> </w:t>
      </w:r>
      <w:r>
        <w:rPr>
          <w:i/>
          <w:iCs/>
        </w:rPr>
        <w:t xml:space="preserve">I</w:t>
      </w:r>
      <w:r>
        <w:t xml:space="preserve">²; on that sample the enzymes agree (</w:t>
      </w:r>
      <w:r>
        <w:rPr>
          <w:i/>
          <w:iCs/>
        </w:rPr>
        <w:t xml:space="preserve">I</w:t>
      </w:r>
      <w:r>
        <w:t xml:space="preserve">² = 0.00, fixed effects, no</w:t>
      </w:r>
      <w:r>
        <w:t xml:space="preserve"> </w:t>
      </w:r>
      <w:r>
        <w:t xml:space="preserve">escalation), which is the common case at this depth.</w:t>
      </w:r>
    </w:p>
    <w:p>
      <w:pPr>
        <w:pStyle w:val="BodyText"/>
      </w:pPr>
      <w:r>
        <w:t xml:space="preserve">A sample passes QC on estimated coverage, dispersion, the fraction of reference</w:t>
      </w:r>
      <w:r>
        <w:t xml:space="preserve"> </w:t>
      </w:r>
      <w:r>
        <w:t xml:space="preserve">windows covered, and EM containment; failures are reported with a reason rather</w:t>
      </w:r>
      <w:r>
        <w:t xml:space="preserve"> </w:t>
      </w:r>
      <w:r>
        <w:t xml:space="preserve">than dropped silently.</w:t>
      </w:r>
    </w:p>
    <w:p>
      <w:pPr>
        <w:pStyle w:val="BodyText"/>
      </w:pPr>
      <w:r>
        <w:rPr>
          <w:b/>
          <w:bCs/>
        </w:rPr>
        <w:t xml:space="preserve">What the consistency test caught.</w:t>
      </w:r>
      <w:r>
        <w:t xml:space="preserve"> </w:t>
      </w:r>
      <w:r>
        <w:t xml:space="preserve">Cross-enzyme heterogeneity was the signal</w:t>
      </w:r>
      <w:r>
        <w:t xml:space="preserve"> </w:t>
      </w:r>
      <w:r>
        <w:t xml:space="preserve">that exposed the double-counting defect described in §1.2: before the fix,</w:t>
      </w:r>
      <w:r>
        <w:t xml:space="preserve"> </w:t>
      </w:r>
      <w:r>
        <w:t xml:space="preserve">Cochran’s</w:t>
      </w:r>
      <w:r>
        <w:t xml:space="preserve"> </w:t>
      </w:r>
      <w:r>
        <w:rPr>
          <w:i/>
          <w:iCs/>
        </w:rPr>
        <w:t xml:space="preserve">Q</w:t>
      </w:r>
      <w:r>
        <w:t xml:space="preserve"> </w:t>
      </w:r>
      <w:r>
        <w:t xml:space="preserve">rejected in 56–69 % of samples with mean</w:t>
      </w:r>
      <w:r>
        <w:t xml:space="preserve"> </w:t>
      </w:r>
      <w:r>
        <w:rPr>
          <w:i/>
          <w:iCs/>
        </w:rPr>
        <w:t xml:space="preserve">I</w:t>
      </w:r>
      <w:r>
        <w:t xml:space="preserve">² = 0.34–0.42, and the</w:t>
      </w:r>
      <w:r>
        <w:t xml:space="preserve"> </w:t>
      </w:r>
      <w:r>
        <w:t xml:space="preserve">random-effects escalation was firing routinely. After the fix the same samples</w:t>
      </w:r>
      <w:r>
        <w:t xml:space="preserve"> </w:t>
      </w:r>
      <w:r>
        <w:t xml:space="preserve">give mean</w:t>
      </w:r>
      <w:r>
        <w:t xml:space="preserve"> </w:t>
      </w:r>
      <w:r>
        <w:rPr>
          <w:i/>
          <w:iCs/>
        </w:rPr>
        <w:t xml:space="preserve">I</w:t>
      </w:r>
      <w:r>
        <w:t xml:space="preserve">² = 0.07–0.28 and</w:t>
      </w:r>
      <w:r>
        <w:t xml:space="preserve"> </w:t>
      </w:r>
      <w:r>
        <w:rPr>
          <w:i/>
          <w:iCs/>
        </w:rPr>
        <w:t xml:space="preserve">Q</w:t>
      </w:r>
      <w:r>
        <w:t xml:space="preserve"> </w:t>
      </w:r>
      <w:r>
        <w:t xml:space="preserve">rejects in 6–24 %. The enzymes were correctly</w:t>
      </w:r>
      <w:r>
        <w:t xml:space="preserve"> </w:t>
      </w:r>
      <w:r>
        <w:t xml:space="preserve">reporting that something was wrong with one of them.</w:t>
      </w:r>
    </w:p>
    <w:p>
      <w:pPr>
        <w:pStyle w:val="BodyText"/>
      </w:pPr>
      <w:r>
        <w:rPr>
          <w:b/>
          <w:bCs/>
        </w:rPr>
        <w:t xml:space="preserve">Known gap.</w:t>
      </w:r>
      <w:r>
        <w:t xml:space="preserve"> </w:t>
      </w:r>
      <w:r>
        <w:t xml:space="preserve">The fusion currently treats all 16 enzymes as independent strata.</w:t>
      </w:r>
      <w:r>
        <w:t xml:space="preserve"> </w:t>
      </w:r>
      <w:r>
        <w:t xml:space="preserve">They are not: Bsp24I’s site set is</w:t>
      </w:r>
      <w:r>
        <w:t xml:space="preserve"> </w:t>
      </w:r>
      <w:r>
        <w:rPr>
          <w:i/>
          <w:iCs/>
        </w:rPr>
        <w:t xml:space="preserve">totally contained</w:t>
      </w:r>
      <w:r>
        <w:t xml:space="preserve"> </w:t>
      </w:r>
      <w:r>
        <w:t xml:space="preserve">in CjePI’s (1,636/1,636,</w:t>
      </w:r>
      <w:r>
        <w:t xml:space="preserve"> </w:t>
      </w:r>
      <w:r>
        <w:t xml:space="preserve">891/891 and 2,910/2,910 tags on three genomes — the two patterns, written in</w:t>
      </w:r>
      <w:r>
        <w:t xml:space="preserve"> </w:t>
      </w:r>
      <w:r>
        <w:t xml:space="preserve">opposite strand orientations, differ at exactly one position), and about half of</w:t>
      </w:r>
      <w:r>
        <w:t xml:space="preserve"> </w:t>
      </w:r>
      <w:r>
        <w:t xml:space="preserve">Bsp24I’s tags are also CjeI sites. The panel therefore offers at most ~15</w:t>
      </w:r>
      <w:r>
        <w:t xml:space="preserve"> </w:t>
      </w:r>
      <w:r>
        <w:t xml:space="preserve">independent strata, and</w:t>
      </w:r>
      <w:r>
        <w:t xml:space="preserve"> </w:t>
      </w:r>
      <w:r>
        <w:rPr>
          <w:i/>
          <w:iCs/>
        </w:rPr>
        <w:t xml:space="preserve">Q</w:t>
      </w:r>
      <w:r>
        <w:t xml:space="preserve"> </w:t>
      </w:r>
      <w:r>
        <w:t xml:space="preserve">is mildly conservative (positive dependence deflates</w:t>
      </w:r>
      <w:r>
        <w:t xml:space="preserve"> </w:t>
      </w:r>
      <w:r>
        <w:rPr>
          <w:i/>
          <w:iCs/>
        </w:rPr>
        <w:t xml:space="preserve">Q</w:t>
      </w:r>
      <w:r>
        <w:t xml:space="preserve">, so cross-strata heterogeneity is under-detected rather than over-called). The containment</w:t>
      </w:r>
      <w:r>
        <w:t xml:space="preserve"> </w:t>
      </w:r>
      <w:r>
        <w:t xml:space="preserve">relations are recorded in the code (</w:t>
      </w:r>
      <w:r>
        <w:rPr>
          <w:rStyle w:val="VerbatimChar"/>
        </w:rPr>
        <w:t xml:space="preserve">enzyme::CONTAINMENTS</w:t>
      </w:r>
      <w:r>
        <w:t xml:space="preserve">) and were evaluated</w:t>
      </w:r>
      <w:r>
        <w:t xml:space="preserve"> </w:t>
      </w:r>
      <w:r>
        <w:t xml:space="preserve">by re-fusing every sample with the dependency handled: the estimate moved by</w:t>
      </w:r>
      <w:r>
        <w:t xml:space="preserve"> </w:t>
      </w:r>
      <w:r>
        <w:t xml:space="preserve">0.007–0.011 on average and 0.050 at worst, with no improvement in the</w:t>
      </w:r>
      <w:r>
        <w:t xml:space="preserve"> </w:t>
      </w:r>
      <w:r>
        <w:rPr>
          <w:i/>
          <w:iCs/>
        </w:rPr>
        <w:t xml:space="preserve">Q</w:t>
      </w:r>
      <w:r>
        <w:t xml:space="preserve"> </w:t>
      </w:r>
      <w:r>
        <w:t xml:space="preserve">rejection rate — the dependency is reported, not corrected (Discussion).</w:t>
      </w:r>
    </w:p>
    <w:bookmarkEnd w:id="28"/>
    <w:bookmarkStart w:id="29" w:name="implementation"/>
    <w:p>
      <w:pPr>
        <w:pStyle w:val="Heading4"/>
      </w:pPr>
      <w:r>
        <w:t xml:space="preserve">1.7 Implementation</w:t>
      </w:r>
    </w:p>
    <w:p>
      <w:pPr>
        <w:pStyle w:val="FirstParagraph"/>
      </w:pPr>
      <w:r>
        <w:t xml:space="preserve">Digestion, counting, EM and windowing are Rust (rayon-parallel); the statistics</w:t>
      </w:r>
      <w:r>
        <w:t xml:space="preserve"> </w:t>
      </w:r>
      <w:r>
        <w:t xml:space="preserve">layer is Python (numpy/scipy/statsmodels). The two communicate through TSV count</w:t>
      </w:r>
      <w:r>
        <w:t xml:space="preserve"> </w:t>
      </w:r>
      <w:r>
        <w:t xml:space="preserve">tables, so either can be run alone — the A/B benchmarks in §4 exploit this to</w:t>
      </w:r>
      <w:r>
        <w:t xml:space="preserve"> </w:t>
      </w:r>
      <w:r>
        <w:t xml:space="preserve">hold one layer fixed and vary the other.</w:t>
      </w:r>
    </w:p>
    <w:p>
      <w:r>
        <w:pict>
          <v:rect style="width:0;height:1.5pt" o:hralign="center" o:hrstd="t" o:hr="t"/>
        </w:pict>
      </w:r>
    </w:p>
    <w:bookmarkEnd w:id="29"/>
    <w:bookmarkEnd w:id="30"/>
    <w:bookmarkStart w:id="31" w:name="enzyme-panel"/>
    <w:p>
      <w:pPr>
        <w:pStyle w:val="Heading3"/>
      </w:pPr>
      <w:r>
        <w:t xml:space="preserve">2. Enzyme panel</w:t>
      </w:r>
    </w:p>
    <w:p>
      <w:pPr>
        <w:pStyle w:val="FirstParagraph"/>
      </w:pPr>
      <w:r>
        <w:t xml:space="preserve">The panel is the 16 Type IIB enzymes of the 2bRAD-M lineage: AlfI, AloI, BaeI,</w:t>
      </w:r>
      <w:r>
        <w:t xml:space="preserve"> </w:t>
      </w:r>
      <w:r>
        <w:t xml:space="preserve">BcgI, BplI, BsaXI, BslFI, Bsp24I, CjeI, CjePI, CspCI, FalI, HaeIV, Hin4I, PpiI,</w:t>
      </w:r>
      <w:r>
        <w:t xml:space="preserve"> </w:t>
      </w:r>
      <w:r>
        <w:t xml:space="preserve">PsrI.</w:t>
      </w:r>
    </w:p>
    <w:p>
      <w:pPr>
        <w:pStyle w:val="BodyText"/>
      </w:pPr>
      <w:r>
        <w:t xml:space="preserve">Recognition patterns and flank offsets follow the reference</w:t>
      </w:r>
      <w:r>
        <w:t xml:space="preserve"> </w:t>
      </w:r>
      <w:r>
        <w:rPr>
          <w:rStyle w:val="VerbatimChar"/>
        </w:rPr>
        <w:t xml:space="preserve">2bRADExtraction.pl</w:t>
      </w:r>
      <w:r>
        <w:t xml:space="preserve"> </w:t>
      </w:r>
      <w:r>
        <w:t xml:space="preserve">regular expressions as transcribed through the audited</w:t>
      </w:r>
      <w:r>
        <w:t xml:space="preserve"> </w:t>
      </w:r>
      <w:r>
        <w:t xml:space="preserve">Fast2bRAD-M</w:t>
      </w:r>
      <w:r>
        <w:t xml:space="preserve"> </w:t>
      </w:r>
      <w:r>
        <w:rPr>
          <w:rStyle w:val="VerbatimChar"/>
        </w:rPr>
        <w:t xml:space="preserve">enzymes.rs</w:t>
      </w:r>
      <w:r>
        <w:t xml:space="preserve"> </w:t>
      </w:r>
      <w:r>
        <w:t xml:space="preserve">table; we no longer take definitions from secondary</w:t>
      </w:r>
      <w:r>
        <w:t xml:space="preserve"> </w:t>
      </w:r>
      <w:r>
        <w:t xml:space="preserve">summary tables. Correctness was checked by comparing measured anchor density</w:t>
      </w:r>
      <w:r>
        <w:t xml:space="preserve"> </w:t>
      </w:r>
      <w:r>
        <w:t xml:space="preserve">against the published per-genome densities on three genomes</w:t>
      </w:r>
      <w:r>
        <w:t xml:space="preserve"> </w:t>
      </w:r>
      <w:r>
        <w:t xml:space="preserve">(</w:t>
      </w:r>
      <w:r>
        <w:rPr>
          <w:i/>
          <w:iCs/>
        </w:rPr>
        <w:t xml:space="preserve">E. coli</w:t>
      </w:r>
      <w:r>
        <w:t xml:space="preserve"> </w:t>
      </w:r>
      <w:r>
        <w:t xml:space="preserve">K-12,</w:t>
      </w:r>
      <w:r>
        <w:t xml:space="preserve"> </w:t>
      </w:r>
      <w:r>
        <w:rPr>
          <w:i/>
          <w:iCs/>
        </w:rPr>
        <w:t xml:space="preserve">B. subtilis</w:t>
      </w:r>
      <w:r>
        <w:t xml:space="preserve"> </w:t>
      </w:r>
      <w:r>
        <w:t xml:space="preserve">168,</w:t>
      </w:r>
      <w:r>
        <w:t xml:space="preserve"> </w:t>
      </w:r>
      <w:r>
        <w:rPr>
          <w:i/>
          <w:iCs/>
        </w:rPr>
        <w:t xml:space="preserve">P. putida</w:t>
      </w:r>
      <w:r>
        <w:t xml:space="preserve">):</w:t>
      </w:r>
      <w:r>
        <w:t xml:space="preserve"> </w:t>
      </w:r>
      <w:r>
        <w:rPr>
          <w:b/>
          <w:bCs/>
        </w:rPr>
        <w:t xml:space="preserve">46 of 48 cells agree within</w:t>
      </w:r>
      <w:r>
        <w:rPr>
          <w:b/>
          <w:bCs/>
        </w:rPr>
        <w:t xml:space="preserve"> </w:t>
      </w:r>
      <w:r>
        <w:rPr>
          <w:b/>
          <w:bCs/>
        </w:rPr>
        <w:t xml:space="preserve">3 %</w:t>
      </w:r>
      <w:r>
        <w:t xml:space="preserve"> </w:t>
      </w:r>
      <w:r>
        <w:t xml:space="preserve">(Table 1). HaeIV differs by exactly 2.00×, a locus-versus-window counting</w:t>
      </w:r>
      <w:r>
        <w:t xml:space="preserve"> </w:t>
      </w:r>
      <w:r>
        <w:t xml:space="preserve">convention. Hin4I uses the Perl/Fast2bRAD-M dual-pattern union because that is</w:t>
      </w:r>
      <w:r>
        <w:t xml:space="preserve"> </w:t>
      </w:r>
      <w:r>
        <w:t xml:space="preserve">the lineage of the production implementations; no IUPAC variant, spacer length</w:t>
      </w:r>
      <w:r>
        <w:t xml:space="preserve"> </w:t>
      </w:r>
      <w:r>
        <w:t xml:space="preserve">or deduplication convention reproduces the design report’s 1,650/2,010/1,057.</w:t>
      </w:r>
      <w:r>
        <w:t xml:space="preserve"> </w:t>
      </w:r>
      <w:r>
        <w:t xml:space="preserve">Those three published densities are internally inconsistent (their ratios are</w:t>
      </w:r>
      <w:r>
        <w:t xml:space="preserve"> </w:t>
      </w:r>
      <w:r>
        <w:t xml:space="preserve">not constant under any convention tested) and are recorded as unresolved</w:t>
      </w:r>
      <w:r>
        <w:t xml:space="preserve"> </w:t>
      </w:r>
      <w:r>
        <w:t xml:space="preserve">literature values, not as evidence against the implementation.</w:t>
      </w:r>
    </w:p>
    <w:p>
      <w:pPr>
        <w:pStyle w:val="BodyText"/>
      </w:pPr>
      <w:r>
        <w:t xml:space="preserve">BslFI is a Type IIS enzyme (GGGAC, 10-11/14-15) that cuts on one side only;</w:t>
      </w:r>
      <w:r>
        <w:t xml:space="preserve"> </w:t>
      </w:r>
      <w:r>
        <w:t xml:space="preserve">it is retained because a fixed-length tag is still excised, but it is not a</w:t>
      </w:r>
      <w:r>
        <w:t xml:space="preserve"> </w:t>
      </w:r>
      <w:r>
        <w:t xml:space="preserve">Type IIB enzyme and is labelled as such.</w:t>
      </w:r>
    </w:p>
    <w:p>
      <w:r>
        <w:pict>
          <v:rect style="width:0;height:1.5pt" o:hralign="center" o:hrstd="t" o:hr="t"/>
        </w:pict>
      </w:r>
    </w:p>
    <w:bookmarkEnd w:id="31"/>
    <w:bookmarkStart w:id="39" w:name="benchmark-datasets"/>
    <w:p>
      <w:pPr>
        <w:pStyle w:val="Heading3"/>
      </w:pPr>
      <w:r>
        <w:t xml:space="preserve">3. Benchmark datasets</w:t>
      </w:r>
    </w:p>
    <w:bookmarkStart w:id="32" w:name="X8558b042e1c4d57d5e6d341f0cb3e7790b4deb2"/>
    <w:p>
      <w:pPr>
        <w:pStyle w:val="Heading4"/>
      </w:pPr>
      <w:r>
        <w:t xml:space="preserve">3.1</w:t>
      </w:r>
      <w:r>
        <w:t xml:space="preserve"> </w:t>
      </w:r>
      <w:r>
        <w:rPr>
          <w:i/>
          <w:iCs/>
        </w:rPr>
        <w:t xml:space="preserve">E. coli</w:t>
      </w:r>
      <w:r>
        <w:t xml:space="preserve"> </w:t>
      </w:r>
      <w:r>
        <w:t xml:space="preserve">growth-rate panel (Zheng et al. 2020)</w:t>
      </w:r>
    </w:p>
    <w:p>
      <w:pPr>
        <w:pStyle w:val="FirstParagraph"/>
      </w:pPr>
      <w:r>
        <w:rPr>
          <w:b/>
          <w:bCs/>
        </w:rPr>
        <w:t xml:space="preserve">Source.</w:t>
      </w:r>
      <w:r>
        <w:t xml:space="preserve"> </w:t>
      </w:r>
      <w:r>
        <w:t xml:space="preserve">BioProject PRJNA615952 —</w:t>
      </w:r>
      <w:r>
        <w:t xml:space="preserve"> </w:t>
      </w:r>
      <w:r>
        <w:rPr>
          <w:i/>
          <w:iCs/>
        </w:rPr>
        <w:t xml:space="preserve">Escherichia coli</w:t>
      </w:r>
      <w:r>
        <w:t xml:space="preserve"> </w:t>
      </w:r>
      <w:r>
        <w:t xml:space="preserve">K-12 MG1655 grown to</w:t>
      </w:r>
      <w:r>
        <w:t xml:space="preserve"> </w:t>
      </w:r>
      <w:r>
        <w:t xml:space="preserve">steady state in a panel of defined media spanning a ~4.3-fold range of growth</w:t>
      </w:r>
      <w:r>
        <w:t xml:space="preserve"> </w:t>
      </w:r>
      <w:r>
        <w:t xml:space="preserve">rate, each with an independently measured λ and an independently measured</w:t>
      </w:r>
      <w:r>
        <w:t xml:space="preserve"> </w:t>
      </w:r>
      <w:r>
        <w:t xml:space="preserve">C + D period. This is the same dataset Pilea uses for isolate accuracy.</w:t>
      </w:r>
    </w:p>
    <w:p>
      <w:pPr>
        <w:pStyle w:val="BodyText"/>
      </w:pPr>
      <w:r>
        <w:rPr>
          <w:b/>
          <w:bCs/>
        </w:rPr>
        <w:t xml:space="preserve">Samples used.</w:t>
      </w:r>
      <w:r>
        <w:t xml:space="preserve"> </w:t>
      </w:r>
      <w:r>
        <w:t xml:space="preserve">One run per medium, first replicate: 16 growth media</w:t>
      </w:r>
      <w:r>
        <w:t xml:space="preserve"> </w:t>
      </w:r>
      <w:r>
        <w:t xml:space="preserve">(λ = 0.399–1.721 h⁻¹, doubling time 0.40–1.74 h) plus one</w:t>
      </w:r>
      <w:r>
        <w:t xml:space="preserve"> </w:t>
      </w:r>
      <w:r>
        <w:rPr>
          <w:b/>
          <w:bCs/>
        </w:rPr>
        <w:t xml:space="preserve">run-out</w:t>
      </w:r>
      <w:r>
        <w:t xml:space="preserve"> </w:t>
      </w:r>
      <w:r>
        <w:t xml:space="preserve">sample.</w:t>
      </w:r>
      <w:r>
        <w:t xml:space="preserve"> </w:t>
      </w:r>
      <w:r>
        <w:t xml:space="preserve">Accessions are in</w:t>
      </w:r>
      <w:r>
        <w:t xml:space="preserve"> </w:t>
      </w:r>
      <w:r>
        <w:rPr>
          <w:rStyle w:val="VerbatimChar"/>
        </w:rPr>
        <w:t xml:space="preserve">benches/zheng2020/picks.tsv</w:t>
      </w:r>
      <w:r>
        <w:t xml:space="preserve">.</w:t>
      </w:r>
    </w:p>
    <w:p>
      <w:pPr>
        <w:pStyle w:val="BodyText"/>
      </w:pPr>
      <w:r>
        <w:rPr>
          <w:b/>
          <w:bCs/>
        </w:rPr>
        <w:t xml:space="preserve">Ground truth.</w:t>
      </w:r>
      <w:r>
        <w:t xml:space="preserve"> </w:t>
      </w:r>
      <w:r>
        <w:t xml:space="preserve">Two references are used and kept distinct:</w:t>
      </w:r>
    </w:p>
    <w:p>
      <w:pPr>
        <w:numPr>
          <w:ilvl w:val="0"/>
          <w:numId w:val="1002"/>
        </w:numPr>
      </w:pPr>
      <w:r>
        <w:t xml:space="preserve">λ, the directly measured growth rate — used for correlation, because it is</w:t>
      </w:r>
      <w:r>
        <w:t xml:space="preserve"> </w:t>
      </w:r>
      <w:r>
        <w:t xml:space="preserve">measured, not modelled;</w:t>
      </w:r>
    </w:p>
    <w:p>
      <w:pPr>
        <w:numPr>
          <w:ilvl w:val="0"/>
          <w:numId w:val="1002"/>
        </w:numPr>
      </w:pPr>
      <w:r>
        <w:t xml:space="preserve">the</w:t>
      </w:r>
      <w:r>
        <w:t xml:space="preserve"> </w:t>
      </w:r>
      <w:r>
        <w:rPr>
          <w:i/>
          <w:iCs/>
        </w:rPr>
        <w:t xml:space="preserve">predicted</w:t>
      </w:r>
      <w:r>
        <w:t xml:space="preserve"> </w:t>
      </w:r>
      <w:r>
        <w:t xml:space="preserve">log₂PTR = λ·C/ln 2, using the C period reported by the same</w:t>
      </w:r>
      <w:r>
        <w:t xml:space="preserve"> </w:t>
      </w:r>
      <w:r>
        <w:t xml:space="preserve">study — used for RMSE and slope, because a correlation cannot detect a</w:t>
      </w:r>
      <w:r>
        <w:t xml:space="preserve"> </w:t>
      </w:r>
      <w:r>
        <w:t xml:space="preserve">compressed dynamic range.</w:t>
      </w:r>
    </w:p>
    <w:p>
      <w:pPr>
        <w:numPr>
          <w:ilvl w:val="0"/>
          <w:numId w:val="1000"/>
        </w:numPr>
      </w:pPr>
      <w:r>
        <w:t xml:space="preserve">This second reference is</w:t>
      </w:r>
      <w:r>
        <w:t xml:space="preserve"> </w:t>
      </w:r>
      <w:r>
        <w:rPr>
          <w:b/>
          <w:bCs/>
        </w:rPr>
        <w:t xml:space="preserve">not fully independent of sequencing</w:t>
      </w:r>
      <w:r>
        <w:t xml:space="preserve">: C was</w:t>
      </w:r>
      <w:r>
        <w:t xml:space="preserve"> </w:t>
      </w:r>
      <w:r>
        <w:t xml:space="preserve">determined in part by marker-frequency analysis, which is itself an ori:ter</w:t>
      </w:r>
      <w:r>
        <w:t xml:space="preserve"> </w:t>
      </w:r>
      <w:r>
        <w:t xml:space="preserve">ratio. RMSE and slope against it are therefore a</w:t>
      </w:r>
      <w:r>
        <w:t xml:space="preserve"> </w:t>
      </w:r>
      <w:r>
        <w:rPr>
          <w:i/>
          <w:iCs/>
        </w:rPr>
        <w:t xml:space="preserve">consistency check on</w:t>
      </w:r>
      <w:r>
        <w:rPr>
          <w:i/>
          <w:iCs/>
        </w:rPr>
        <w:t xml:space="preserve"> </w:t>
      </w:r>
      <w:r>
        <w:rPr>
          <w:i/>
          <w:iCs/>
        </w:rPr>
        <w:t xml:space="preserve">magnitude</w:t>
      </w:r>
      <w:r>
        <w:t xml:space="preserve">, not an independent validation. The correlation against λ, an</w:t>
      </w:r>
      <w:r>
        <w:t xml:space="preserve"> </w:t>
      </w:r>
      <w:r>
        <w:t xml:space="preserve">optical growth measurement, is independent, and is the number to read as</w:t>
      </w:r>
      <w:r>
        <w:t xml:space="preserve"> </w:t>
      </w:r>
      <w:r>
        <w:t xml:space="preserve">validation.</w:t>
      </w:r>
    </w:p>
    <w:p>
      <w:pPr>
        <w:pStyle w:val="FirstParagraph"/>
      </w:pPr>
      <w:r>
        <w:rPr>
          <w:b/>
          <w:bCs/>
        </w:rPr>
        <w:t xml:space="preserve">Run-out sample.</w:t>
      </w:r>
      <w:r>
        <w:t xml:space="preserve"> </w:t>
      </w:r>
      <w:r>
        <w:t xml:space="preserve">Pilea excluded the run-out samples. We keep one</w:t>
      </w:r>
      <w:r>
        <w:t xml:space="preserve"> </w:t>
      </w:r>
      <w:r>
        <w:t xml:space="preserve">(</w:t>
      </w:r>
      <w:r>
        <w:rPr>
          <w:rStyle w:val="VerbatimChar"/>
        </w:rPr>
        <w:t xml:space="preserve">E.coli_gDNA_RUN_OUT</w:t>
      </w:r>
      <w:r>
        <w:t xml:space="preserve">, sample alias CON-C) as a</w:t>
      </w:r>
      <w:r>
        <w:t xml:space="preserve"> </w:t>
      </w:r>
      <w:r>
        <w:rPr>
          <w:b/>
          <w:bCs/>
        </w:rPr>
        <w:t xml:space="preserve">negative control</w:t>
      </w:r>
      <w:r>
        <w:t xml:space="preserve">. In a</w:t>
      </w:r>
      <w:r>
        <w:t xml:space="preserve"> </w:t>
      </w:r>
      <w:r>
        <w:t xml:space="preserve">replication run-out, ongoing rounds are allowed to finish while new initiation</w:t>
      </w:r>
      <w:r>
        <w:t xml:space="preserve"> </w:t>
      </w:r>
      <w:r>
        <w:t xml:space="preserve">is blocked, so every chromosome in the population ends fully replicated and</w:t>
      </w:r>
      <w:r>
        <w:t xml:space="preserve"> </w:t>
      </w:r>
      <w:r>
        <w:t xml:space="preserve">log₂PTR must be ≈ 0. This tests a failure mode that correlation against a growth</w:t>
      </w:r>
      <w:r>
        <w:t xml:space="preserve"> </w:t>
      </w:r>
      <w:r>
        <w:t xml:space="preserve">panel cannot see, and it costs nothing: a method that reports a large PTR here is</w:t>
      </w:r>
      <w:r>
        <w:t xml:space="preserve"> </w:t>
      </w:r>
      <w:r>
        <w:t xml:space="preserve">reading noise as a gradient.</w:t>
      </w:r>
    </w:p>
    <w:p>
      <w:pPr>
        <w:pStyle w:val="BodyText"/>
      </w:pPr>
      <w:r>
        <w:rPr>
          <w:b/>
          <w:bCs/>
        </w:rPr>
        <w:t xml:space="preserve">Coverage titration.</w:t>
      </w:r>
      <w:r>
        <w:t xml:space="preserve"> </w:t>
      </w:r>
      <w:r>
        <w:t xml:space="preserve">Both mates are 150 bp and the committed Zheng grid is</w:t>
      </w:r>
      <w:r>
        <w:t xml:space="preserve"> </w:t>
      </w:r>
      <w:r>
        <w:t xml:space="preserve">paired-end for every arm: sk2bGrow, both Pilea arms, and the FracMinHash</w:t>
      </w:r>
      <w:r>
        <w:t xml:space="preserve"> </w:t>
      </w:r>
      <w:r>
        <w:t xml:space="preserve">attribution arm read</w:t>
      </w:r>
      <w:r>
        <w:t xml:space="preserve"> </w:t>
      </w:r>
      <w:r>
        <w:rPr>
          <w:rStyle w:val="VerbatimChar"/>
        </w:rPr>
        <w:t xml:space="preserve">_1</w:t>
      </w:r>
      <w:r>
        <w:t xml:space="preserve"> </w:t>
      </w:r>
      <w:r>
        <w:t xml:space="preserve">and</w:t>
      </w:r>
      <w:r>
        <w:t xml:space="preserve"> </w:t>
      </w:r>
      <w:r>
        <w:rPr>
          <w:rStyle w:val="VerbatimChar"/>
        </w:rPr>
        <w:t xml:space="preserve">_2</w:t>
      </w:r>
      <w:r>
        <w:t xml:space="preserve"> </w:t>
      </w:r>
      <w:r>
        <w:t xml:space="preserve">consistently. For each run the first</w:t>
      </w:r>
      <w:r>
        <w:t xml:space="preserve"> </w:t>
      </w:r>
      <w:r>
        <w:t xml:space="preserve">600,000 read pairs were retained (≈19× of the 4.64 Mb genome per end), then</w:t>
      </w:r>
      <w:r>
        <w:t xml:space="preserve"> </w:t>
      </w:r>
      <w:r>
        <w:t xml:space="preserve">truncated to nominal</w:t>
      </w:r>
      <w:r>
        <w:t xml:space="preserve"> </w:t>
      </w:r>
      <w:r>
        <w:rPr>
          <w:b/>
          <w:bCs/>
        </w:rPr>
        <w:t xml:space="preserve">0.5×, 1×, 2×, 5× and 10×</w:t>
      </w:r>
      <w:r>
        <w:t xml:space="preserve"> </w:t>
      </w:r>
      <w:r>
        <w:t xml:space="preserve">at the pair level</w:t>
      </w:r>
      <w:r>
        <w:t xml:space="preserve"> </w:t>
      </w:r>
      <w:r>
        <w:t xml:space="preserve">(n = ⌈cov·L/150⌉ pairs). SRA order is not random with respect to run quality, so</w:t>
      </w:r>
      <w:r>
        <w:t xml:space="preserve"> </w:t>
      </w:r>
      <w:r>
        <w:t xml:space="preserve">we checked the protocol at 2× against fixed-seed random subsampling: file-order</w:t>
      </w:r>
      <w:r>
        <w:t xml:space="preserve"> </w:t>
      </w:r>
      <w:r>
        <w:t xml:space="preserve">r = 0.974 versus random-subsample r = 0.957, with the same code and inputs</w:t>
      </w:r>
      <w:r>
        <w:t xml:space="preserve"> </w:t>
      </w:r>
      <w:r>
        <w:t xml:space="preserve">(</w:t>
      </w:r>
      <w:r>
        <w:rPr>
          <w:rStyle w:val="VerbatimChar"/>
        </w:rPr>
        <w:t xml:space="preserve">data/m1_rerun/fact_checks.txt</w:t>
      </w:r>
      <w:r>
        <w:t xml:space="preserve">). All 16 media, plus the control, are present</w:t>
      </w:r>
      <w:r>
        <w:t xml:space="preserve"> </w:t>
      </w:r>
      <w:r>
        <w:t xml:space="preserve">at every depth. The committed A/B/E estimates are the 2026-09-18 paired-end</w:t>
      </w:r>
      <w:r>
        <w:t xml:space="preserve"> </w:t>
      </w:r>
      <w:r>
        <w:t xml:space="preserve">statistics rerun with signed fixed-origin fitting and single-pass GC correction;</w:t>
      </w:r>
      <w:r>
        <w:t xml:space="preserve"> </w:t>
      </w:r>
      <w:r>
        <w:t xml:space="preserve">the regenerated summary is</w:t>
      </w:r>
      <w:r>
        <w:t xml:space="preserve"> </w:t>
      </w:r>
      <w:r>
        <w:rPr>
          <w:rStyle w:val="VerbatimChar"/>
        </w:rPr>
        <w:t xml:space="preserve">data/m1_signed/hpc_singlepass_grid_summary.tsv</w:t>
      </w:r>
      <w:r>
        <w:t xml:space="preserve">.</w:t>
      </w:r>
    </w:p>
    <w:p>
      <w:pPr>
        <w:pStyle w:val="BodyText"/>
      </w:pPr>
      <w:r>
        <w:t xml:space="preserve">This titration is a</w:t>
      </w:r>
      <w:r>
        <w:t xml:space="preserve"> </w:t>
      </w:r>
      <w:r>
        <w:rPr>
          <w:b/>
          <w:bCs/>
        </w:rPr>
        <w:t xml:space="preserve">deviation from Pilea, which ran full depth only</w:t>
      </w:r>
      <w:r>
        <w:t xml:space="preserve">. It is</w:t>
      </w:r>
      <w:r>
        <w:t xml:space="preserve"> </w:t>
      </w:r>
      <w:r>
        <w:t xml:space="preserve">the axis the paper is about: PTR at metagenomic per-strain depth, not at isolate</w:t>
      </w:r>
      <w:r>
        <w:t xml:space="preserve"> </w:t>
      </w:r>
      <w:r>
        <w:t xml:space="preserve">depth.</w:t>
      </w:r>
    </w:p>
    <w:p>
      <w:pPr>
        <w:pStyle w:val="BodyText"/>
      </w:pPr>
      <w:r>
        <w:rPr>
          <w:b/>
          <w:bCs/>
        </w:rPr>
        <w:t xml:space="preserve">Reference.</w:t>
      </w:r>
      <w:r>
        <w:t xml:space="preserve"> </w:t>
      </w:r>
      <w:r>
        <w:t xml:space="preserve">A single complete genome, GCF_000005845.2. Every real-data result</w:t>
      </w:r>
      <w:r>
        <w:t xml:space="preserve"> </w:t>
      </w:r>
      <w:r>
        <w:t xml:space="preserve">in this paper is therefore one strain against a complete reference; nothing here</w:t>
      </w:r>
      <w:r>
        <w:t xml:space="preserve"> </w:t>
      </w:r>
      <w:r>
        <w:t xml:space="preserve">establishes behaviour on a metagenome or a fragmented MAG.</w:t>
      </w:r>
    </w:p>
    <w:bookmarkEnd w:id="32"/>
    <w:bookmarkStart w:id="33" w:name="multi-strain-simulation"/>
    <w:p>
      <w:pPr>
        <w:pStyle w:val="Heading4"/>
      </w:pPr>
      <w:r>
        <w:t xml:space="preserve">3.2 Multi-strain simulation</w:t>
      </w:r>
    </w:p>
    <w:p>
      <w:pPr>
        <w:pStyle w:val="FirstParagraph"/>
      </w:pPr>
      <w:r>
        <w:t xml:space="preserve">Follows Pilea’s Fig. 3 design, at a scale a laptop can run.</w:t>
      </w:r>
    </w:p>
    <w:p>
      <w:pPr>
        <w:pStyle w:val="BodyText"/>
      </w:pPr>
      <w:r>
        <w:rPr>
          <w:b/>
          <w:bCs/>
        </w:rPr>
        <w:t xml:space="preserve">Genomes.</w:t>
      </w:r>
      <w:r>
        <w:t xml:space="preserve"> </w:t>
      </w:r>
      <w:r>
        <w:t xml:space="preserve">16 complete RefSeq bacterial chromosomes</w:t>
      </w:r>
      <w:r>
        <w:t xml:space="preserve"> </w:t>
      </w:r>
      <w:r>
        <w:t xml:space="preserve">(</w:t>
      </w:r>
      <w:r>
        <w:rPr>
          <w:rStyle w:val="VerbatimChar"/>
        </w:rPr>
        <w:t xml:space="preserve">benches/accs.txt</w:t>
      </w:r>
      <w:r>
        <w:t xml:space="preserve">), deliberately including</w:t>
      </w:r>
      <w:r>
        <w:t xml:space="preserve"> </w:t>
      </w:r>
      <w:r>
        <w:rPr>
          <w:i/>
          <w:iCs/>
        </w:rPr>
        <w:t xml:space="preserve">E. coli</w:t>
      </w:r>
      <w:r>
        <w:t xml:space="preserve"> </w:t>
      </w:r>
      <w:r>
        <w:t xml:space="preserve">K-12,</w:t>
      </w:r>
      <w:r>
        <w:t xml:space="preserve"> </w:t>
      </w:r>
      <w:r>
        <w:rPr>
          <w:i/>
          <w:iCs/>
        </w:rPr>
        <w:t xml:space="preserve">E. coli</w:t>
      </w:r>
      <w:r>
        <w:t xml:space="preserve"> </w:t>
      </w:r>
      <w:r>
        <w:t xml:space="preserve">O157:H7</w:t>
      </w:r>
      <w:r>
        <w:t xml:space="preserve"> </w:t>
      </w:r>
      <w:r>
        <w:t xml:space="preserve">and</w:t>
      </w:r>
      <w:r>
        <w:t xml:space="preserve"> </w:t>
      </w:r>
      <w:r>
        <w:rPr>
          <w:i/>
          <w:iCs/>
        </w:rPr>
        <w:t xml:space="preserve">Shigella dysenteriae</w:t>
      </w:r>
      <w:r>
        <w:t xml:space="preserve"> </w:t>
      </w:r>
      <w:r>
        <w:t xml:space="preserve">as a shared-anchor stress test — those three share a</w:t>
      </w:r>
      <w:r>
        <w:t xml:space="preserve"> </w:t>
      </w:r>
      <w:r>
        <w:t xml:space="preserve">large fraction of their tag sets, so the EM attribution of §1.2 is exercised</w:t>
      </w:r>
      <w:r>
        <w:t xml:space="preserve"> </w:t>
      </w:r>
      <w:r>
        <w:t xml:space="preserve">rather than bypassed.</w:t>
      </w:r>
    </w:p>
    <w:p>
      <w:pPr>
        <w:pStyle w:val="BodyText"/>
      </w:pPr>
      <w:r>
        <w:rPr>
          <w:b/>
          <w:bCs/>
        </w:rPr>
        <w:t xml:space="preserve">Generative model</w:t>
      </w:r>
      <w:r>
        <w:t xml:space="preserve"> </w:t>
      </w:r>
      <w:r>
        <w:t xml:space="preserve">(Pilea’s, verbatim): replication initiates at position zero</w:t>
      </w:r>
      <w:r>
        <w:t xml:space="preserve"> </w:t>
      </w:r>
      <w:r>
        <w:t xml:space="preserve">and terminates at the assembly midpoint; coverage decreases log₂-linearly from</w:t>
      </w:r>
      <w:r>
        <w:t xml:space="preserve"> </w:t>
      </w:r>
      <w:r>
        <w:t xml:space="preserve">origin to terminus; log₂PTR ~ Uniform[0, 2] independently per strain. Reads are</w:t>
      </w:r>
      <w:r>
        <w:t xml:space="preserve"> </w:t>
      </w:r>
      <w:r>
        <w:t xml:space="preserve">150 bp single-end, drawn multinomially over 1 kb position bins with weights</w:t>
      </w:r>
      <w:r>
        <w:t xml:space="preserve"> </w:t>
      </w:r>
      <w:r>
        <w:t xml:space="preserve">w(x) ∝ 2^(−log₂PTR · d(x)), d ∈ [0,1] the normalised distance from the origin,</w:t>
      </w:r>
      <w:r>
        <w:t xml:space="preserve"> </w:t>
      </w:r>
      <w:r>
        <w:t xml:space="preserve">and reverse-complemented with probability 0.5. No sequencing error is added —</w:t>
      </w:r>
      <w:r>
        <w:t xml:space="preserve"> </w:t>
      </w:r>
      <w:r>
        <w:t xml:space="preserve">which favours the exact-match k-mer method, not ours.</w:t>
      </w:r>
    </w:p>
    <w:p>
      <w:pPr>
        <w:pStyle w:val="BodyText"/>
      </w:pPr>
      <w:r>
        <w:rPr>
          <w:b/>
          <w:bCs/>
        </w:rPr>
        <w:t xml:space="preserve">Grid.</w:t>
      </w:r>
      <w:r>
        <w:t xml:space="preserve"> </w:t>
      </w:r>
      <w:r>
        <w:t xml:space="preserve">{4, 8, 16} strains × {1, 2, 4, 8}× per-strain coverage × 2</w:t>
      </w:r>
      <w:r>
        <w:t xml:space="preserve"> </w:t>
      </w:r>
      <w:r>
        <w:t xml:space="preserve">replicates = 24 cells and 224 genome-level truth values (Pilea’s gates-off arm</w:t>
      </w:r>
      <w:r>
        <w:t xml:space="preserve"> </w:t>
      </w:r>
      <w:r>
        <w:t xml:space="preserve">returned 223 of them). Strains are sampled without replacement per cell.</w:t>
      </w:r>
    </w:p>
    <w:p>
      <w:pPr>
        <w:pStyle w:val="BodyText"/>
      </w:pPr>
      <w:r>
        <w:rPr>
          <w:b/>
          <w:bCs/>
        </w:rPr>
        <w:t xml:space="preserve">Deviations from Pilea’s grid</w:t>
      </w:r>
      <w:r>
        <w:t xml:space="preserve">, all in the direction of a smaller experiment:</w:t>
      </w:r>
      <w:r>
        <w:t xml:space="preserve"> </w:t>
      </w:r>
      <w:r>
        <w:t xml:space="preserve">Pilea used 120 genomes, up to 32 strains, up to 32× and 400 samples. The</w:t>
      </w:r>
      <w:r>
        <w:t xml:space="preserve"> </w:t>
      </w:r>
      <w:r>
        <w:t xml:space="preserve">laptop-scale grid does not establish behaviour at 32 strains or 32×. We also</w:t>
      </w:r>
      <w:r>
        <w:t xml:space="preserve"> </w:t>
      </w:r>
      <w:r>
        <w:t xml:space="preserve">ran three deliberately unfavourable variants on one 16-genome community: 1 %</w:t>
      </w:r>
      <w:r>
        <w:t xml:space="preserve"> </w:t>
      </w:r>
      <w:r>
        <w:t xml:space="preserve">substitution errors (bias +0.001 versus control +0.001), a real GC-efficiency</w:t>
      </w:r>
      <w:r>
        <w:t xml:space="preserve"> </w:t>
      </w:r>
      <w:r>
        <w:t xml:space="preserve">gradient (bias −0.195), and a near-neighbour</w:t>
      </w:r>
      <w:r>
        <w:t xml:space="preserve"> </w:t>
      </w:r>
      <w:r>
        <w:rPr>
          <w:i/>
          <w:iCs/>
        </w:rPr>
        <w:t xml:space="preserve">E. coli</w:t>
      </w:r>
      <w:r>
        <w:t xml:space="preserve"> </w:t>
      </w:r>
      <w:r>
        <w:t xml:space="preserve">O157:H7 reference counted</w:t>
      </w:r>
      <w:r>
        <w:t xml:space="preserve"> </w:t>
      </w:r>
      <w:r>
        <w:t xml:space="preserve">at mismatch 0/1/2 (mean bias −0.068/−0.089/−0.080;</w:t>
      </w:r>
      <w:r>
        <w:t xml:space="preserve"> </w:t>
      </w:r>
      <w:r>
        <w:rPr>
          <w:rStyle w:val="VerbatimChar"/>
        </w:rPr>
        <w:t xml:space="preserve">data/m1_rerun/sim_unfriendly.tsv</w:t>
      </w:r>
      <w:r>
        <w:t xml:space="preserve">).</w:t>
      </w:r>
    </w:p>
    <w:bookmarkEnd w:id="33"/>
    <w:bookmarkStart w:id="34" w:name="reference-fragmentation"/>
    <w:p>
      <w:pPr>
        <w:pStyle w:val="Heading4"/>
      </w:pPr>
      <w:r>
        <w:t xml:space="preserve">3.3 Reference fragmentation</w:t>
      </w:r>
    </w:p>
    <w:p>
      <w:pPr>
        <w:pStyle w:val="FirstParagraph"/>
      </w:pPr>
      <w:r>
        <w:t xml:space="preserve">The coordinate fit of §1.4 needs a genomic coordinate, which a draft assembly</w:t>
      </w:r>
      <w:r>
        <w:t xml:space="preserve"> </w:t>
      </w:r>
      <w:r>
        <w:t xml:space="preserve">does not have. Following Pilea’s Fig 3, the</w:t>
      </w:r>
      <w:r>
        <w:t xml:space="preserve"> </w:t>
      </w:r>
      <w:r>
        <w:rPr>
          <w:i/>
          <w:iCs/>
        </w:rPr>
        <w:t xml:space="preserve">E. coli</w:t>
      </w:r>
      <w:r>
        <w:t xml:space="preserve"> </w:t>
      </w:r>
      <w:r>
        <w:t xml:space="preserve">reference is cut into 100</w:t>
      </w:r>
      <w:r>
        <w:t xml:space="preserve"> </w:t>
      </w:r>
      <w:r>
        <w:t xml:space="preserve">contigs with lognormal lengths (μ = 0, σ = 1, floor 500 bp — the indexer’s own</w:t>
      </w:r>
      <w:r>
        <w:t xml:space="preserve"> </w:t>
      </w:r>
      <w:r>
        <w:t xml:space="preserve">minimum, so no contig is discarded), the order is shuffled and each contig is</w:t>
      </w:r>
      <w:r>
        <w:t xml:space="preserve"> </w:t>
      </w:r>
      <w:r>
        <w:t xml:space="preserve">independently reverse-complemented with probability 0.5.</w:t>
      </w:r>
    </w:p>
    <w:p>
      <w:pPr>
        <w:pStyle w:val="BodyText"/>
      </w:pPr>
      <w:r>
        <w:t xml:space="preserve">Sequence content is untouched: the fragmented database holds 43,707 anchors</w:t>
      </w:r>
      <w:r>
        <w:t xml:space="preserve"> </w:t>
      </w:r>
      <w:r>
        <w:t xml:space="preserve">against the complete genome’s 43,735, the 28 lost being tags that straddled a</w:t>
      </w:r>
      <w:r>
        <w:t xml:space="preserve"> </w:t>
      </w:r>
      <w:r>
        <w:t xml:space="preserve">cut. Reads are identical.</w:t>
      </w:r>
      <w:r>
        <w:t xml:space="preserve"> </w:t>
      </w:r>
      <w:r>
        <w:rPr>
          <w:b/>
          <w:bCs/>
        </w:rPr>
        <w:t xml:space="preserve">The coordinate is the only variable.</w:t>
      </w:r>
    </w:p>
    <w:p>
      <w:pPr>
        <w:pStyle w:val="BodyText"/>
      </w:pPr>
      <w:r>
        <w:t xml:space="preserve">Four reference conditions: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reference</w:t>
            </w:r>
          </w:p>
        </w:tc>
      </w:tr>
      <w:tr>
        <w:tc>
          <w:tcPr/>
          <w:p>
            <w:pPr>
              <w:pStyle w:val="Compact"/>
            </w:pPr>
            <w:r>
              <w:t xml:space="preserve">complete</w:t>
            </w:r>
          </w:p>
        </w:tc>
        <w:tc>
          <w:tcPr/>
          <w:p>
            <w:pPr>
              <w:pStyle w:val="Compact"/>
            </w:pPr>
            <w:r>
              <w:t xml:space="preserve">the finished chromosome</w:t>
            </w:r>
          </w:p>
        </w:tc>
      </w:tr>
      <w:tr>
        <w:tc>
          <w:tcPr/>
          <w:p>
            <w:pPr>
              <w:pStyle w:val="Compact"/>
            </w:pPr>
            <w:r>
              <w:t xml:space="preserve">frag</w:t>
            </w:r>
          </w:p>
        </w:tc>
        <w:tc>
          <w:tcPr/>
          <w:p>
            <w:pPr>
              <w:pStyle w:val="Compact"/>
            </w:pPr>
            <w:r>
              <w:t xml:space="preserve">100 contigs</w:t>
            </w:r>
          </w:p>
        </w:tc>
      </w:tr>
      <w:tr>
        <w:tc>
          <w:tcPr/>
          <w:p>
            <w:pPr>
              <w:pStyle w:val="Compact"/>
            </w:pPr>
            <w:r>
              <w:t xml:space="preserve">scafSelf</w:t>
            </w:r>
          </w:p>
        </w:tc>
        <w:tc>
          <w:tcPr/>
          <w:p>
            <w:pPr>
              <w:pStyle w:val="Compact"/>
            </w:pPr>
            <w:r>
              <w:rPr>
                <w:rStyle w:val="VerbatimChar"/>
              </w:rPr>
              <w:t xml:space="preserve">frag</w:t>
            </w:r>
            <w:r>
              <w:t xml:space="preserve"> </w:t>
            </w:r>
            <w:r>
              <w:t xml:space="preserve">re-ordered by</w:t>
            </w:r>
            <w:r>
              <w:t xml:space="preserve"> </w:t>
            </w:r>
            <w:r>
              <w:rPr>
                <w:rStyle w:val="VerbatimChar"/>
              </w:rPr>
              <w:t xml:space="preserve">sk2bgrow scaffold</w:t>
            </w:r>
            <w:r>
              <w:t xml:space="preserve"> </w:t>
            </w:r>
            <w:r>
              <w:t xml:space="preserve">against the same genome</w:t>
            </w:r>
          </w:p>
        </w:tc>
      </w:tr>
      <w:tr>
        <w:tc>
          <w:tcPr/>
          <w:p>
            <w:pPr>
              <w:pStyle w:val="Compact"/>
            </w:pPr>
            <w:r>
              <w:t xml:space="preserve">scafRel</w:t>
            </w:r>
          </w:p>
        </w:tc>
        <w:tc>
          <w:tcPr/>
          <w:p>
            <w:pPr>
              <w:pStyle w:val="Compact"/>
            </w:pPr>
            <w:r>
              <w:rPr>
                <w:rStyle w:val="VerbatimChar"/>
              </w:rPr>
              <w:t xml:space="preserve">frag</w:t>
            </w:r>
            <w:r>
              <w:t xml:space="preserve"> </w:t>
            </w:r>
            <w:r>
              <w:t xml:space="preserve">re-ordered against</w:t>
            </w:r>
            <w:r>
              <w:t xml:space="preserve"> </w:t>
            </w:r>
            <w:r>
              <w:rPr>
                <w:i/>
                <w:iCs/>
              </w:rPr>
              <w:t xml:space="preserve">E. coli</w:t>
            </w:r>
            <w:r>
              <w:t xml:space="preserve"> </w:t>
            </w:r>
            <w:r>
              <w:t xml:space="preserve">O157:H7</w:t>
            </w:r>
          </w:p>
        </w:tc>
      </w:tr>
    </w:tbl>
    <w:p>
      <w:pPr>
        <w:pStyle w:val="BodyText"/>
      </w:pPr>
      <w:r>
        <w:rPr>
          <w:rStyle w:val="VerbatimChar"/>
        </w:rPr>
        <w:t xml:space="preserve">scafSelf</w:t>
      </w:r>
      <w:r>
        <w:t xml:space="preserve"> </w:t>
      </w:r>
      <w:r>
        <w:t xml:space="preserve">is circular by construction and is reported only to separate</w:t>
      </w:r>
      <w:r>
        <w:t xml:space="preserve"> </w:t>
      </w:r>
      <w:r>
        <w:t xml:space="preserve">“scaffolding does not work”</w:t>
      </w:r>
      <w:r>
        <w:t xml:space="preserve"> </w:t>
      </w:r>
      <w:r>
        <w:t xml:space="preserve">from</w:t>
      </w:r>
      <w:r>
        <w:t xml:space="preserve"> </w:t>
      </w:r>
      <w:r>
        <w:t xml:space="preserve">“scaffolding does not work across strains”</w:t>
      </w:r>
      <w:r>
        <w:t xml:space="preserve">.</w:t>
      </w:r>
      <w:r>
        <w:t xml:space="preserve"> </w:t>
      </w:r>
      <w:r>
        <w:rPr>
          <w:rStyle w:val="VerbatimChar"/>
        </w:rPr>
        <w:t xml:space="preserve">scafRel</w:t>
      </w:r>
      <w:r>
        <w:t xml:space="preserve"> </w:t>
      </w:r>
      <w:r>
        <w:t xml:space="preserve">is the case a MAG user faces.</w:t>
      </w:r>
    </w:p>
    <w:p>
      <w:pPr>
        <w:pStyle w:val="BodyText"/>
      </w:pPr>
      <w:r>
        <w:t xml:space="preserve">Scaffolding places contigs by shared tags and is scored against the known</w:t>
      </w:r>
      <w:r>
        <w:t xml:space="preserve"> </w:t>
      </w:r>
      <w:r>
        <w:t xml:space="preserve">layout. Against O157:H7 it places 99 of 100 contigs, orients 99 of 99 correctly,</w:t>
      </w:r>
      <w:r>
        <w:t xml:space="preserve"> </w:t>
      </w:r>
      <w:r>
        <w:t xml:space="preserve">and recovers the contig</w:t>
      </w:r>
      <w:r>
        <w:t xml:space="preserve"> </w:t>
      </w:r>
      <w:r>
        <w:rPr>
          <w:b/>
          <w:bCs/>
        </w:rPr>
        <w:t xml:space="preserve">order</w:t>
      </w:r>
      <w:r>
        <w:t xml:space="preserve"> </w:t>
      </w:r>
      <w:r>
        <w:t xml:space="preserve">exactly (Spearman 1.0000 against the truth).</w:t>
      </w:r>
      <w:r>
        <w:t xml:space="preserve"> </w:t>
      </w:r>
      <w:r>
        <w:t xml:space="preserve">Its median start error of 712 kb is almost entirely a rigid rotation — O157:H7’s</w:t>
      </w:r>
      <w:r>
        <w:t xml:space="preserve"> </w:t>
      </w:r>
      <w:r>
        <w:t xml:space="preserve">origin sits elsewhere — and §1.5 searches for the origin rather than assuming</w:t>
      </w:r>
      <w:r>
        <w:t xml:space="preserve"> </w:t>
      </w:r>
      <w:r>
        <w:t xml:space="preserve">it, so a rotation does not reach the estimate; after removing it the median</w:t>
      </w:r>
      <w:r>
        <w:t xml:space="preserve"> </w:t>
      </w:r>
      <w:r>
        <w:t xml:space="preserve">residual is 73 kb, 1.6% of the chromosome, from O157:H7’s strain-specific</w:t>
      </w:r>
      <w:r>
        <w:t xml:space="preserve"> </w:t>
      </w:r>
      <w:r>
        <w:t xml:space="preserve">insertions.</w:t>
      </w:r>
    </w:p>
    <w:p>
      <w:pPr>
        <w:pStyle w:val="BodyText"/>
      </w:pPr>
      <w:r>
        <w:t xml:space="preserve">The scaffolded contigs are re-emitted as a single pseudo-contig with each contig</w:t>
      </w:r>
      <w:r>
        <w:t xml:space="preserve"> </w:t>
      </w:r>
      <w:r>
        <w:t xml:space="preserve">written at its inferred start and the gaps filled with N, which the digester</w:t>
      </w:r>
      <w:r>
        <w:t xml:space="preserve"> </w:t>
      </w:r>
      <w:r>
        <w:t xml:space="preserve">rejects as ambiguous and so contributes no anchors. Where two contigs are placed</w:t>
      </w:r>
      <w:r>
        <w:t xml:space="preserve"> </w:t>
      </w:r>
      <w:r>
        <w:t xml:space="preserve">overlapping — possible when the coordinates come from another strain — the later</w:t>
      </w:r>
      <w:r>
        <w:t xml:space="preserve"> </w:t>
      </w:r>
      <w:r>
        <w:t xml:space="preserve">write wins; against O157:H7 this loses 89,597 bp, 1.93% of the draft. The</w:t>
      </w:r>
      <w:r>
        <w:t xml:space="preserve"> </w:t>
      </w:r>
      <w:r>
        <w:t xml:space="preserve">fragmentation results are therefore a slight</w:t>
      </w:r>
      <w:r>
        <w:t xml:space="preserve"> </w:t>
      </w:r>
      <w:r>
        <w:rPr>
          <w:i/>
          <w:iCs/>
        </w:rPr>
        <w:t xml:space="preserve">under</w:t>
      </w:r>
      <w:r>
        <w:t xml:space="preserve">-estimate of what</w:t>
      </w:r>
      <w:r>
        <w:t xml:space="preserve"> </w:t>
      </w:r>
      <w:r>
        <w:t xml:space="preserve">scaffolding delivers.</w:t>
      </w:r>
    </w:p>
    <w:bookmarkEnd w:id="34"/>
    <w:bookmarkStart w:id="35" w:name="Xb780f84997d33bf0f401691b1288ff1538bcd72"/>
    <w:p>
      <w:pPr>
        <w:pStyle w:val="Heading4"/>
      </w:pPr>
      <w:r>
        <w:t xml:space="preserve">3.4 An order-free estimator, as a control on §3.3</w:t>
      </w:r>
    </w:p>
    <w:p>
      <w:pPr>
        <w:pStyle w:val="FirstParagraph"/>
      </w:pPr>
      <w:r>
        <w:t xml:space="preserve">Fragmentation is only fatal if the coordinate is necessary. It is not, in</w:t>
      </w:r>
      <w:r>
        <w:t xml:space="preserve"> </w:t>
      </w:r>
      <w:r>
        <w:t xml:space="preserve">principle: since log₂(coverage) is a tent function of position with equal |slope|</w:t>
      </w:r>
      <w:r>
        <w:t xml:space="preserve"> </w:t>
      </w:r>
      <w:r>
        <w:t xml:space="preserve">on both replichores, over a uniformly tiled genome the coverage</w:t>
      </w:r>
      <w:r>
        <w:t xml:space="preserve"> </w:t>
      </w:r>
      <w:r>
        <w:rPr>
          <w:i/>
          <w:iCs/>
        </w:rPr>
        <w:t xml:space="preserve">values</w:t>
      </w:r>
      <w:r>
        <w:t xml:space="preserve"> </w:t>
      </w:r>
      <w:r>
        <w:t xml:space="preserve">are</w:t>
      </w:r>
      <w:r>
        <w:t xml:space="preserve"> </w:t>
      </w:r>
      <w:r>
        <w:t xml:space="preserve">uniform on [log₂ c_ter, log₂ c_ori] and the width of that uniform</w:t>
      </w:r>
      <w:r>
        <w:t xml:space="preserve"> </w:t>
      </w:r>
      <w:r>
        <w:rPr>
          <w:b/>
          <w:bCs/>
        </w:rPr>
        <w:t xml:space="preserve">is</w:t>
      </w:r>
      <w:r>
        <w:t xml:space="preserve"> </w:t>
      </w:r>
      <w:r>
        <w:t xml:space="preserve">log₂(PTR). Position never enters, which is exactly why the sorted-rank estimator</w:t>
      </w:r>
      <w:r>
        <w:t xml:space="preserve"> </w:t>
      </w:r>
      <w:r>
        <w:t xml:space="preserve">of §4 is indifferent to fragmentation.</w:t>
      </w:r>
    </w:p>
    <w:p>
      <w:pPr>
        <w:pStyle w:val="BodyText"/>
      </w:pPr>
      <w:r>
        <w:t xml:space="preserve">The reason not to adopt that estimator wholesale is that it reads the</w:t>
      </w:r>
      <w:r>
        <w:t xml:space="preserve"> </w:t>
      </w:r>
      <w:r>
        <w:rPr>
          <w:i/>
          <w:iCs/>
        </w:rPr>
        <w:t xml:space="preserve">observed</w:t>
      </w:r>
      <w:r>
        <w:t xml:space="preserve"> </w:t>
      </w:r>
      <w:r>
        <w:t xml:space="preserve">spread directly. Sorted values of any sample rise, so sampling noise is credited</w:t>
      </w:r>
      <w:r>
        <w:t xml:space="preserve"> </w:t>
      </w:r>
      <w:r>
        <w:t xml:space="preserve">as growth; on the stationary control it returns log₂PTR = 1.15 at 1×.</w:t>
      </w:r>
    </w:p>
    <w:p>
      <w:pPr>
        <w:pStyle w:val="BodyText"/>
      </w:pPr>
      <w:r>
        <w:t xml:space="preserve">As a control we therefore fit the same distributional model with the noise</w:t>
      </w:r>
      <w:r>
        <w:t xml:space="preserve"> </w:t>
      </w:r>
      <w:r>
        <w:t xml:space="preserve">included. Window</w:t>
      </w:r>
      <w:r>
        <w:t xml:space="preserve"> </w:t>
      </w:r>
      <w:r>
        <w:rPr>
          <w:i/>
          <w:iCs/>
        </w:rPr>
        <w:t xml:space="preserve">w</w:t>
      </w:r>
      <w:r>
        <w:t xml:space="preserve"> </w:t>
      </w:r>
      <w:r>
        <w:t xml:space="preserve">contributes</w:t>
      </w:r>
      <w:r>
        <w:t xml:space="preserve"> </w:t>
      </w:r>
      <w:r>
        <w:rPr>
          <w:i/>
          <w:iCs/>
        </w:rPr>
        <w:t xml:space="preserve">y_w</w:t>
      </w:r>
      <w:r>
        <w:t xml:space="preserve"> </w:t>
      </w:r>
      <w:r>
        <w:t xml:space="preserve">=</w:t>
      </w:r>
      <w:r>
        <w:t xml:space="preserve"> </w:t>
      </w:r>
      <w:r>
        <w:rPr>
          <w:i/>
          <w:iCs/>
        </w:rPr>
        <w:t xml:space="preserve">μ_w</w:t>
      </w:r>
      <w:r>
        <w:t xml:space="preserve"> </w:t>
      </w:r>
      <w:r>
        <w:t xml:space="preserve">+</w:t>
      </w:r>
      <w:r>
        <w:t xml:space="preserve"> </w:t>
      </w:r>
      <w:r>
        <w:rPr>
          <w:i/>
          <w:iCs/>
        </w:rPr>
        <w:t xml:space="preserve">e_w</w:t>
      </w:r>
      <w:r>
        <w:t xml:space="preserve"> </w:t>
      </w:r>
      <w:r>
        <w:t xml:space="preserve">with</w:t>
      </w:r>
      <w:r>
        <w:t xml:space="preserve"> </w:t>
      </w:r>
      <w:r>
        <w:rPr>
          <w:i/>
          <w:iCs/>
        </w:rPr>
        <w:t xml:space="preserve">μ_w</w:t>
      </w:r>
      <w:r>
        <w:t xml:space="preserve"> </w:t>
      </w:r>
      <w:r>
        <w:t xml:space="preserve">~ U(</w:t>
      </w:r>
      <w:r>
        <w:rPr>
          <w:i/>
          <w:iCs/>
        </w:rPr>
        <w:t xml:space="preserve">a</w:t>
      </w:r>
      <w:r>
        <w:t xml:space="preserve">,</w:t>
      </w:r>
      <w:r>
        <w:t xml:space="preserve"> </w:t>
      </w:r>
      <w:r>
        <w:rPr>
          <w:i/>
          <w:iCs/>
        </w:rPr>
        <w:t xml:space="preserve">a</w:t>
      </w:r>
      <w:r>
        <w:t xml:space="preserve">+</w:t>
      </w:r>
      <w:r>
        <w:rPr>
          <w:i/>
          <w:iCs/>
        </w:rPr>
        <w:t xml:space="preserve">W</w:t>
      </w:r>
      <w:r>
        <w:t xml:space="preserve">)</w:t>
      </w:r>
      <w:r>
        <w:t xml:space="preserve"> </w:t>
      </w:r>
      <w:r>
        <w:t xml:space="preserve">and</w:t>
      </w:r>
      <w:r>
        <w:t xml:space="preserve"> </w:t>
      </w:r>
      <w:r>
        <w:rPr>
          <w:i/>
          <w:iCs/>
        </w:rPr>
        <w:t xml:space="preserve">e_w</w:t>
      </w:r>
      <w:r>
        <w:t xml:space="preserve"> </w:t>
      </w:r>
      <w:r>
        <w:t xml:space="preserve">~ N(0,</w:t>
      </w:r>
      <w:r>
        <w:t xml:space="preserve"> </w:t>
      </w:r>
      <w:r>
        <w:rPr>
          <w:i/>
          <w:iCs/>
        </w:rPr>
        <w:t xml:space="preserve">s_w</w:t>
      </w:r>
      <w:r>
        <w:t xml:space="preserve">²), where</w:t>
      </w:r>
      <w:r>
        <w:t xml:space="preserve"> </w:t>
      </w:r>
      <w:r>
        <w:rPr>
          <w:i/>
          <w:iCs/>
        </w:rPr>
        <w:t xml:space="preserve">s_w</w:t>
      </w:r>
      <w:r>
        <w:t xml:space="preserve"> </w:t>
      </w:r>
      <w:r>
        <w:t xml:space="preserve">is the standard error §1.3 already reports.</w:t>
      </w:r>
      <w:r>
        <w:t xml:space="preserve"> </w:t>
      </w:r>
      <w:r>
        <w:t xml:space="preserve">Marginalising</w:t>
      </w:r>
      <w:r>
        <w:t xml:space="preserve"> </w:t>
      </w:r>
      <w:r>
        <w:rPr>
          <w:i/>
          <w:iCs/>
        </w:rPr>
        <w:t xml:space="preserve">μ_w</w:t>
      </w:r>
      <w:r>
        <w:t xml:space="preserve">,</w:t>
      </w:r>
    </w:p>
    <w:p>
      <w:pPr>
        <w:pStyle w:val="SourceCode"/>
      </w:pPr>
      <w:r>
        <w:rPr>
          <w:rStyle w:val="VerbatimChar"/>
        </w:rPr>
        <w:t xml:space="preserve">p(y_w | a, W) = [Φ((a + W − y_w)/s_w) − Φ((a − y_w)/s_w)] / W</w:t>
      </w:r>
    </w:p>
    <w:p>
      <w:pPr>
        <w:pStyle w:val="FirstParagraph"/>
      </w:pPr>
      <w:r>
        <w:t xml:space="preserve">is maximised over (</w:t>
      </w:r>
      <w:r>
        <w:rPr>
          <w:i/>
          <w:iCs/>
        </w:rPr>
        <w:t xml:space="preserve">a</w:t>
      </w:r>
      <w:r>
        <w:t xml:space="preserve">,</w:t>
      </w:r>
      <w:r>
        <w:t xml:space="preserve"> </w:t>
      </w:r>
      <w:r>
        <w:rPr>
          <w:i/>
          <w:iCs/>
        </w:rPr>
        <w:t xml:space="preserve">W</w:t>
      </w:r>
      <w:r>
        <w:t xml:space="preserve">) per enzyme and the per-enzyme widths are fused by</w:t>
      </w:r>
      <w:r>
        <w:t xml:space="preserve"> </w:t>
      </w:r>
      <w:r>
        <w:t xml:space="preserve">the same inverse-variance scheme as §1.6. The estimator is order-free by</w:t>
      </w:r>
      <w:r>
        <w:t xml:space="preserve"> </w:t>
      </w:r>
      <w:r>
        <w:t xml:space="preserve">construction and cannot manufacture a gradient from its own sampling error.</w:t>
      </w:r>
    </w:p>
    <w:p>
      <w:pPr>
        <w:pStyle w:val="BodyText"/>
      </w:pPr>
      <w:r>
        <w:t xml:space="preserve">It is reported as a</w:t>
      </w:r>
      <w:r>
        <w:t xml:space="preserve"> </w:t>
      </w:r>
      <w:r>
        <w:rPr>
          <w:b/>
          <w:bCs/>
        </w:rPr>
        <w:t xml:space="preserve">prototype</w:t>
      </w:r>
      <w:r>
        <w:t xml:space="preserve">, not as part of the method: it recovers most of</w:t>
      </w:r>
      <w:r>
        <w:t xml:space="preserve"> </w:t>
      </w:r>
      <w:r>
        <w:t xml:space="preserve">what fragmentation destroys above 5× but carries too little information below,</w:t>
      </w:r>
      <w:r>
        <w:t xml:space="preserve"> </w:t>
      </w:r>
      <w:r>
        <w:t xml:space="preserve">and it does not match the sorted-rank estimator at depth. Its role here is to</w:t>
      </w:r>
      <w:r>
        <w:t xml:space="preserve"> </w:t>
      </w:r>
      <w:r>
        <w:t xml:space="preserve">separate</w:t>
      </w:r>
      <w:r>
        <w:t xml:space="preserve"> </w:t>
      </w:r>
      <w:r>
        <w:t xml:space="preserve">“the coordinate is necessary”</w:t>
      </w:r>
      <w:r>
        <w:t xml:space="preserve"> </w:t>
      </w:r>
      <w:r>
        <w:t xml:space="preserve">from</w:t>
      </w:r>
      <w:r>
        <w:t xml:space="preserve"> </w:t>
      </w:r>
      <w:r>
        <w:t xml:space="preserve">“our estimator needs the coordinate”</w:t>
      </w:r>
      <w:r>
        <w:t xml:space="preserve">.</w:t>
      </w:r>
    </w:p>
    <w:p>
      <w:pPr>
        <w:pStyle w:val="BodyText"/>
      </w:pPr>
      <w:r>
        <w:t xml:space="preserve">A contig-count sweep (2, 5, 10, 20, 50, 100 contigs at 10×, same 16 media)</w:t>
      </w:r>
      <w:r>
        <w:t xml:space="preserve"> </w:t>
      </w:r>
      <w:r>
        <w:t xml:space="preserve">locates the threshold rather than assuming one. It finds that there is not one:</w:t>
      </w:r>
      <w:r>
        <w:t xml:space="preserve"> </w:t>
      </w:r>
      <w:r>
        <w:t xml:space="preserve">degradation is smooth and monotone in bias from two contigs upward, and Pearson</w:t>
      </w:r>
      <w:r>
        <w:t xml:space="preserve"> </w:t>
      </w:r>
      <w:r>
        <w:t xml:space="preserve">r stays between 0.86 and 0.97 across the whole range while the fitted slope falls</w:t>
      </w:r>
      <w:r>
        <w:t xml:space="preserve"> </w:t>
      </w:r>
      <w:r>
        <w:t xml:space="preserve">from 0.88 to 0.21. Correlation is therefore not a usable diagnostic for</w:t>
      </w:r>
      <w:r>
        <w:t xml:space="preserve"> </w:t>
      </w:r>
      <w:r>
        <w:t xml:space="preserve">fragmentation, which is the concrete case behind §5’s warning that r is</w:t>
      </w:r>
      <w:r>
        <w:t xml:space="preserve"> </w:t>
      </w:r>
      <w:r>
        <w:t xml:space="preserve">invariant to affine transformation.</w:t>
      </w:r>
    </w:p>
    <w:bookmarkEnd w:id="35"/>
    <w:bookmarkStart w:id="36" w:name="faecal-microbiome-sun-et-al."/>
    <w:p>
      <w:pPr>
        <w:pStyle w:val="Heading4"/>
      </w:pPr>
      <w:r>
        <w:t xml:space="preserve">3.5 Faecal microbiome (Sun et al.)</w:t>
      </w:r>
    </w:p>
    <w:p>
      <w:pPr>
        <w:pStyle w:val="FirstParagraph"/>
      </w:pPr>
      <w:r>
        <w:rPr>
          <w:b/>
          <w:bCs/>
        </w:rPr>
        <w:t xml:space="preserve">Source.</w:t>
      </w:r>
      <w:r>
        <w:t xml:space="preserve"> </w:t>
      </w:r>
      <w:r>
        <w:t xml:space="preserve">BioProject PRJNA689204 — deep shotgun sequencing of three human</w:t>
      </w:r>
      <w:r>
        <w:t xml:space="preserve"> </w:t>
      </w:r>
      <w:r>
        <w:t xml:space="preserve">stool samples (SRR13371683, SRR13371682, SRR13371681; 2 × 150 bp,</w:t>
      </w:r>
      <w:r>
        <w:t xml:space="preserve"> </w:t>
      </w:r>
      <w:r>
        <w:t xml:space="preserve">125–135 Gb per sample, ≈394 Gb in total) with bench-generated 2bRAD libraries</w:t>
      </w:r>
      <w:r>
        <w:t xml:space="preserve"> </w:t>
      </w:r>
      <w:r>
        <w:t xml:space="preserve">(BcgI) prepared from the same samples. This is the paper’s only real route-B</w:t>
      </w:r>
      <w:r>
        <w:t xml:space="preserve"> </w:t>
      </w:r>
      <w:r>
        <w:t xml:space="preserve">data, and it bounds what the dataset can show: with a single enzyme, the</w:t>
      </w:r>
      <w:r>
        <w:t xml:space="preserve"> </w:t>
      </w:r>
      <w:r>
        <w:t xml:space="preserve">cross-enzyme fusion, Cochran’s</w:t>
      </w:r>
      <w:r>
        <w:t xml:space="preserve"> </w:t>
      </w:r>
      <w:r>
        <w:rPr>
          <w:i/>
          <w:iCs/>
        </w:rPr>
        <w:t xml:space="preserve">Q</w:t>
      </w:r>
      <w:r>
        <w:t xml:space="preserve"> </w:t>
      </w:r>
      <w:r>
        <w:t xml:space="preserve">and the panel-level QC of §1.6 are not</w:t>
      </w:r>
      <w:r>
        <w:t xml:space="preserve"> </w:t>
      </w:r>
      <w:r>
        <w:t xml:space="preserve">testable on it.</w:t>
      </w:r>
    </w:p>
    <w:p>
      <w:pPr>
        <w:pStyle w:val="BodyText"/>
      </w:pPr>
      <w:r>
        <w:rPr>
          <w:b/>
          <w:bCs/>
        </w:rPr>
        <w:t xml:space="preserve">Observation unit.</w:t>
      </w:r>
      <w:r>
        <w:t xml:space="preserve"> </w:t>
      </w:r>
      <w:r>
        <w:t xml:space="preserve">Species × sample; reads are attributed to species-level</w:t>
      </w:r>
      <w:r>
        <w:t xml:space="preserve"> </w:t>
      </w:r>
      <w:r>
        <w:t xml:space="preserve">references with the EM step of §1.2. For the Pilea arm the abundance floor is</w:t>
      </w:r>
      <w:r>
        <w:t xml:space="preserve"> </w:t>
      </w:r>
      <w:r>
        <w:t xml:space="preserve">set to</w:t>
      </w:r>
      <w:r>
        <w:t xml:space="preserve"> </w:t>
      </w:r>
      <w:r>
        <w:rPr>
          <w:b/>
          <w:bCs/>
        </w:rPr>
        <w:t xml:space="preserve">p ≥ 0.015 %</w:t>
      </w:r>
      <w:r>
        <w:t xml:space="preserve"> </w:t>
      </w:r>
      <w:r>
        <w:t xml:space="preserve">so that its coverage gate lands at the same effective</w:t>
      </w:r>
      <w:r>
        <w:t xml:space="preserve"> </w:t>
      </w:r>
      <w:r>
        <w:t xml:space="preserve">depth as in shallower studies (the floor scales with the measured 125–135 Gb</w:t>
      </w:r>
      <w:r>
        <w:t xml:space="preserve"> </w:t>
      </w:r>
      <w:r>
        <w:t xml:space="preserve">per-sample depth).</w:t>
      </w:r>
    </w:p>
    <w:p>
      <w:pPr>
        <w:pStyle w:val="BodyText"/>
      </w:pPr>
      <w:r>
        <w:rPr>
          <w:b/>
          <w:bCs/>
        </w:rPr>
        <w:t xml:space="preserve">Three arms.</w:t>
      </w:r>
      <w:r>
        <w:t xml:space="preserve"> </w:t>
      </w:r>
      <w:r>
        <w:t xml:space="preserve">(Arm labels here are local to this experiment and distinct</w:t>
      </w:r>
      <w:r>
        <w:t xml:space="preserve"> </w:t>
      </w:r>
      <w:r>
        <w:t xml:space="preserve">from the attribution arms A/B/E of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input</w:t>
            </w:r>
          </w:p>
        </w:tc>
        <w:tc>
          <w:tcPr/>
          <w:p>
            <w:pPr>
              <w:pStyle w:val="Compact"/>
            </w:pPr>
            <w:r>
              <w:t xml:space="preserve">method</w:t>
            </w:r>
          </w:p>
        </w:tc>
      </w:tr>
      <w:tr>
        <w:tc>
          <w:tcPr/>
          <w:p>
            <w:pPr>
              <w:pStyle w:val="Compact"/>
            </w:pPr>
            <w:r>
              <w:t xml:space="preserve">A</w:t>
            </w:r>
          </w:p>
        </w:tc>
        <w:tc>
          <w:tcPr/>
          <w:p>
            <w:pPr>
              <w:pStyle w:val="Compact"/>
            </w:pPr>
            <w:r>
              <w:t xml:space="preserve">WGS reads</w:t>
            </w:r>
          </w:p>
        </w:tc>
        <w:tc>
          <w:tcPr/>
          <w:p>
            <w:pPr>
              <w:pStyle w:val="Compact"/>
            </w:pPr>
            <w:r>
              <w:t xml:space="preserve">Pilea (§4), default gates and gates off</w:t>
            </w:r>
          </w:p>
        </w:tc>
      </w:tr>
      <w:tr>
        <w:tc>
          <w:tcPr/>
          <w:p>
            <w:pPr>
              <w:pStyle w:val="Compact"/>
            </w:pPr>
            <w:r>
              <w:t xml:space="preserve">B</w:t>
            </w:r>
          </w:p>
        </w:tc>
        <w:tc>
          <w:tcPr/>
          <w:p>
            <w:pPr>
              <w:pStyle w:val="Compact"/>
            </w:pPr>
            <w:r>
              <w:t xml:space="preserve">WGS reads</w:t>
            </w:r>
          </w:p>
        </w:tc>
        <w:tc>
          <w:tcPr/>
          <w:p>
            <w:pPr>
              <w:pStyle w:val="Compact"/>
            </w:pPr>
            <w:r>
              <w:t xml:space="preserve">sk2bGrow</w:t>
            </w:r>
          </w:p>
        </w:tc>
      </w:tr>
      <w:tr>
        <w:tc>
          <w:tcPr/>
          <w:p>
            <w:pPr>
              <w:pStyle w:val="Compact"/>
            </w:pPr>
            <w:r>
              <w:t xml:space="preserve">C</w:t>
            </w:r>
          </w:p>
        </w:tc>
        <w:tc>
          <w:tcPr/>
          <w:p>
            <w:pPr>
              <w:pStyle w:val="Compact"/>
            </w:pPr>
            <w:r>
              <w:t xml:space="preserve">real 2bRAD library</w:t>
            </w:r>
          </w:p>
        </w:tc>
        <w:tc>
          <w:tcPr/>
          <w:p>
            <w:pPr>
              <w:pStyle w:val="Compact"/>
            </w:pPr>
            <w:r>
              <w:t xml:space="preserve">sk2bGrow</w:t>
            </w:r>
          </w:p>
        </w:tc>
      </w:tr>
    </w:tbl>
    <w:p>
      <w:pPr>
        <w:pStyle w:val="BodyText"/>
      </w:pPr>
      <w:r>
        <w:t xml:space="preserve">Arm A vs B is the cross-method comparison on identical input; B vs C is the</w:t>
      </w:r>
      <w:r>
        <w:t xml:space="preserve"> </w:t>
      </w:r>
      <w:r>
        <w:t xml:space="preserve">in-silico vs real-library comparison for one method.</w:t>
      </w:r>
    </w:p>
    <w:p>
      <w:pPr>
        <w:pStyle w:val="BodyText"/>
      </w:pPr>
      <w:r>
        <w:rPr>
          <w:b/>
          <w:bCs/>
        </w:rPr>
        <w:t xml:space="preserve">Exact dedup.</w:t>
      </w:r>
      <w:r>
        <w:t xml:space="preserve"> </w:t>
      </w:r>
      <w:r>
        <w:t xml:space="preserve">In the published 2bRAD data, reads were collapsed by exact</w:t>
      </w:r>
      <w:r>
        <w:t xml:space="preserve"> </w:t>
      </w:r>
      <w:r>
        <w:t xml:space="preserve">sequence identity (an awk exact-match dedup; 95.7 % of reads fold onto a</w:t>
      </w:r>
      <w:r>
        <w:t xml:space="preserve"> </w:t>
      </w:r>
      <w:r>
        <w:t xml:space="preserve">unique sequence). Because dedup status drives the arm-C result, arm C is run</w:t>
      </w:r>
      <w:r>
        <w:t xml:space="preserve"> </w:t>
      </w:r>
      <w:r>
        <w:t xml:space="preserve">on the deduplicated counts, on the raw pre-dedup counts, and on a</w:t>
      </w:r>
      <w:r>
        <w:t xml:space="preserve"> </w:t>
      </w:r>
      <w:r>
        <w:t xml:space="preserve">capped-dedup sensitivity series C′ = min(C, cap) with cap ∈ {1, 2, 3, 5}.</w:t>
      </w:r>
    </w:p>
    <w:p>
      <w:pPr>
        <w:pStyle w:val="BodyText"/>
      </w:pPr>
      <w:r>
        <w:rPr>
          <w:b/>
          <w:bCs/>
        </w:rPr>
        <w:t xml:space="preserve">Shallow-depth subsampling.</w:t>
      </w:r>
      <w:r>
        <w:t xml:space="preserve"> </w:t>
      </w:r>
      <w:r>
        <w:t xml:space="preserve">Each WGS library was subsampled to 5 Gb and</w:t>
      </w:r>
      <w:r>
        <w:t xml:space="preserve"> </w:t>
      </w:r>
      <w:r>
        <w:t xml:space="preserve">10 Gb (16,666,667 and 33,333,333 read pairs; 3.7–8.0% of the original depth)</w:t>
      </w:r>
      <w:r>
        <w:t xml:space="preserve"> </w:t>
      </w:r>
      <w:r>
        <w:t xml:space="preserve">with</w:t>
      </w:r>
      <w:r>
        <w:t xml:space="preserve"> </w:t>
      </w:r>
      <w:r>
        <w:rPr>
          <w:rStyle w:val="VerbatimChar"/>
        </w:rPr>
        <w:t xml:space="preserve">seqtk sample -s42</w:t>
      </w:r>
      <w:r>
        <w:t xml:space="preserve">, the same seed and pair count applied to both mates</w:t>
      </w:r>
      <w:r>
        <w:t xml:space="preserve"> </w:t>
      </w:r>
      <w:r>
        <w:t xml:space="preserve">(mate pairing verified on read names; the seed and the exact read counts are</w:t>
      </w:r>
      <w:r>
        <w:t xml:space="preserve"> </w:t>
      </w:r>
      <w:r>
        <w:t xml:space="preserve">recorded in</w:t>
      </w:r>
      <w:r>
        <w:t xml:space="preserve"> </w:t>
      </w:r>
      <w:r>
        <w:rPr>
          <w:rStyle w:val="VerbatimChar"/>
        </w:rPr>
        <w:t xml:space="preserve">data/sun_shallow/subsample_manifest.tsv</w:t>
      </w:r>
      <w:r>
        <w:t xml:space="preserve">), and carried through the</w:t>
      </w:r>
      <w:r>
        <w:t xml:space="preserve"> </w:t>
      </w:r>
      <w:r>
        <w:t xml:space="preserve">same three arms and the same common-denominator scoring as the full-depth data.</w:t>
      </w:r>
    </w:p>
    <w:p>
      <w:pPr>
        <w:pStyle w:val="BodyText"/>
      </w:pPr>
      <w:r>
        <w:rPr>
          <w:b/>
          <w:bCs/>
        </w:rPr>
        <w:t xml:space="preserve">Dedup mechanism analysis.</w:t>
      </w:r>
      <w:r>
        <w:t xml:space="preserve"> </w:t>
      </w:r>
      <w:r>
        <w:t xml:space="preserve">Per-anchor duplication fraction</w:t>
      </w:r>
      <w:r>
        <w:t xml:space="preserve"> </w:t>
      </w:r>
      <w:r>
        <w:t xml:space="preserve">df = 1 − (dedup count)/(raw count) was computed on the BcgI libraries (raw and</w:t>
      </w:r>
      <w:r>
        <w:t xml:space="preserve"> </w:t>
      </w:r>
      <w:r>
        <w:t xml:space="preserve">exact-dedup counts on the same</w:t>
      </w:r>
      <w:r>
        <w:t xml:space="preserve"> </w:t>
      </w:r>
      <w:r>
        <w:rPr>
          <w:rStyle w:val="VerbatimChar"/>
        </w:rPr>
        <w:t xml:space="preserve">db_bcgI</w:t>
      </w:r>
      <w:r>
        <w:t xml:space="preserve"> </w:t>
      </w:r>
      <w:r>
        <w:t xml:space="preserve">index, ~7.3 M anchors per sample;</w:t>
      </w:r>
      <w:r>
        <w:t xml:space="preserve"> </w:t>
      </w:r>
      <w:r>
        <w:t xml:space="preserve">no anchor with dedup &gt; raw) and regressed unweighted on circular distance from</w:t>
      </w:r>
      <w:r>
        <w:t xml:space="preserve"> </w:t>
      </w:r>
      <w:r>
        <w:t xml:space="preserve">the called origin (ori positions from the stats layer) per species × sample</w:t>
      </w:r>
      <w:r>
        <w:t xml:space="preserve"> </w:t>
      </w:r>
      <w:r>
        <w:t xml:space="preserve">with ≥ 20 anchors; sign conventions and per-species slopes in</w:t>
      </w:r>
      <w:r>
        <w:t xml:space="preserve"> </w:t>
      </w:r>
      <w:r>
        <w:rPr>
          <w:rStyle w:val="VerbatimChar"/>
        </w:rPr>
        <w:t xml:space="preserve">data/dedup_mech/</w:t>
      </w:r>
      <w:r>
        <w:t xml:space="preserve">.</w:t>
      </w:r>
    </w:p>
    <w:p>
      <w:pPr>
        <w:pStyle w:val="BodyText"/>
      </w:pPr>
      <w:r>
        <w:rPr>
          <w:b/>
          <w:bCs/>
        </w:rPr>
        <w:t xml:space="preserve">Per-anchor efficiency.</w:t>
      </w:r>
      <w:r>
        <w:t xml:space="preserve"> </w:t>
      </w:r>
      <w:r>
        <w:t xml:space="preserve">For each species with ≥30 shared anchors observed</w:t>
      </w:r>
      <w:r>
        <w:t xml:space="preserve"> </w:t>
      </w:r>
      <w:r>
        <w:t xml:space="preserve">in all three samples, the per-anchor relative counts define an empirical</w:t>
      </w:r>
      <w:r>
        <w:t xml:space="preserve"> </w:t>
      </w:r>
      <w:r>
        <w:t xml:space="preserve">capture-efficiency profile</w:t>
      </w:r>
      <w:r>
        <w:t xml:space="preserve"> </w:t>
      </w:r>
      <w:r>
        <w:rPr>
          <w:i/>
          <w:iCs/>
        </w:rPr>
        <w:t xml:space="preserve">eᵢ</w:t>
      </w:r>
      <w:r>
        <w:t xml:space="preserve">; its dispersion σ_eff and its between/within</w:t>
      </w:r>
      <w:r>
        <w:t xml:space="preserve"> </w:t>
      </w:r>
      <w:r>
        <w:t xml:space="preserve">decomposition are defined in §5.</w:t>
      </w:r>
    </w:p>
    <w:bookmarkEnd w:id="36"/>
    <w:bookmarkStart w:id="37" w:name="Xbdb57a27110786c0a1921f07c423d99a2d691e0"/>
    <w:p>
      <w:pPr>
        <w:pStyle w:val="Heading4"/>
      </w:pPr>
      <w:r>
        <w:t xml:space="preserve">3.6 Rotating biological contactor metagenome (PRJNA974210,</w:t>
      </w:r>
      <w:r>
        <w:t xml:space="preserve"> </w:t>
      </w:r>
      <w:r>
        <w:t xml:space="preserve">“C5”</w:t>
      </w:r>
      <w:r>
        <w:t xml:space="preserve">)</w:t>
      </w:r>
    </w:p>
    <w:p>
      <w:pPr>
        <w:pStyle w:val="FirstParagraph"/>
      </w:pPr>
      <w:r>
        <w:rPr>
          <w:b/>
          <w:bCs/>
        </w:rPr>
        <w:t xml:space="preserve">Source.</w:t>
      </w:r>
      <w:r>
        <w:t xml:space="preserve"> </w:t>
      </w:r>
      <w:r>
        <w:t xml:space="preserve">BioProject PRJNA974210 — 9 biofilm samples from the flowpath of a rotating biological contactor (Hong Kong), the dataset of Pilea’s MAG-scale benchmark</w:t>
      </w:r>
      <w:r>
        <w:t xml:space="preserve"> </w:t>
      </w:r>
      <w:r>
        <w:t xml:space="preserve">(67–79 M read pairs each). References:</w:t>
      </w:r>
      <w:r>
        <w:t xml:space="preserve"> </w:t>
      </w:r>
      <w:r>
        <w:rPr>
          <w:b/>
          <w:bCs/>
        </w:rPr>
        <w:t xml:space="preserve">522 MAGs</w:t>
      </w:r>
      <w:r>
        <w:t xml:space="preserve">. The project’s NCBI</w:t>
      </w:r>
      <w:r>
        <w:t xml:space="preserve"> </w:t>
      </w:r>
      <w:r>
        <w:t xml:space="preserve">esummary lists 525 assemblies; 523 were collected as</w:t>
      </w:r>
      <w:r>
        <w:t xml:space="preserve"> </w:t>
      </w:r>
      <w:r>
        <w:rPr>
          <w:rStyle w:val="VerbatimChar"/>
        </w:rPr>
        <w:t xml:space="preserve">.fna</w:t>
      </w:r>
      <w:r>
        <w:t xml:space="preserve">, and 3 archaeal</w:t>
      </w:r>
      <w:r>
        <w:t xml:space="preserve"> </w:t>
      </w:r>
      <w:r>
        <w:t xml:space="preserve">MAGs were removed by the domain filter, leaving 522 bacterial MAGs (24.1 M</w:t>
      </w:r>
      <w:r>
        <w:t xml:space="preserve"> </w:t>
      </w:r>
      <w:r>
        <w:t xml:space="preserve">anchors at k16). MAG quality (completeness, contamination) is scored by</w:t>
      </w:r>
      <w:r>
        <w:t xml:space="preserve"> </w:t>
      </w:r>
      <w:r>
        <w:t xml:space="preserve">CheckM2 1.1.0; contig counts and N50 are computed from the FASTA directly.</w:t>
      </w:r>
    </w:p>
    <w:p>
      <w:pPr>
        <w:pStyle w:val="BodyText"/>
      </w:pPr>
      <w:r>
        <w:rPr>
          <w:b/>
          <w:bCs/>
        </w:rPr>
        <w:t xml:space="preserve">Reporting conventions.</w:t>
      </w:r>
      <w:r>
        <w:t xml:space="preserve"> </w:t>
      </w:r>
      <w:r>
        <w:t xml:space="preserve">sk2bGrow has no output gate — every MAG gets a row</w:t>
      </w:r>
      <w:r>
        <w:t xml:space="preserve"> </w:t>
      </w:r>
      <w:r>
        <w:t xml:space="preserve">— so recall is reported three ways:</w:t>
      </w:r>
      <w:r>
        <w:t xml:space="preserve"> </w:t>
      </w:r>
      <w:r>
        <w:rPr>
          <w:i/>
          <w:iCs/>
        </w:rPr>
        <w:t xml:space="preserve">reported_fraction</w:t>
      </w:r>
      <w:r>
        <w:t xml:space="preserve"> </w:t>
      </w:r>
      <w:r>
        <w:t xml:space="preserve">(rows returned / 522,</w:t>
      </w:r>
      <w:r>
        <w:t xml:space="preserve"> </w:t>
      </w:r>
      <w:r>
        <w:t xml:space="preserve">always 1.00),</w:t>
      </w:r>
      <w:r>
        <w:t xml:space="preserve"> </w:t>
      </w:r>
      <w:r>
        <w:rPr>
          <w:i/>
          <w:iCs/>
        </w:rPr>
        <w:t xml:space="preserve">estimate_fraction</w:t>
      </w:r>
      <w:r>
        <w:t xml:space="preserve"> </w:t>
      </w:r>
      <w:r>
        <w:t xml:space="preserve">(rows with a finite PTR estimate / 522) and</w:t>
      </w:r>
      <w:r>
        <w:t xml:space="preserve"> </w:t>
      </w:r>
      <w:r>
        <w:rPr>
          <w:i/>
          <w:iCs/>
        </w:rPr>
        <w:t xml:space="preserve">qc_recall</w:t>
      </w:r>
      <w:r>
        <w:t xml:space="preserve"> </w:t>
      </w:r>
      <w:r>
        <w:t xml:space="preserve">(QC passes / 522, the denominator-matched counterpart of Pilea’s</w:t>
      </w:r>
      <w:r>
        <w:t xml:space="preserve"> </w:t>
      </w:r>
      <w:r>
        <w:t xml:space="preserve">default-gate output). Where Pilea’s gates-off arm crashes (a</w:t>
      </w:r>
      <w:r>
        <w:t xml:space="preserve"> </w:t>
      </w:r>
      <w:r>
        <w:rPr>
          <w:rStyle w:val="VerbatimChar"/>
        </w:rPr>
        <w:t xml:space="preserve">min_samples</w:t>
      </w:r>
      <w:r>
        <w:t xml:space="preserve"> </w:t>
      </w:r>
      <w:r>
        <w:t xml:space="preserve">failure on 6 of 9 samples, stably reproducible) it is reported as a property</w:t>
      </w:r>
      <w:r>
        <w:t xml:space="preserve"> </w:t>
      </w:r>
      <w:r>
        <w:t xml:space="preserve">of the arm, not censored.</w:t>
      </w:r>
    </w:p>
    <w:p>
      <w:pPr>
        <w:pStyle w:val="BodyText"/>
      </w:pPr>
      <w:r>
        <w:rPr>
          <w:b/>
          <w:bCs/>
        </w:rPr>
        <w:t xml:space="preserve">Legacy/current statistics separation.</w:t>
      </w:r>
      <w:r>
        <w:t xml:space="preserve"> </w:t>
      </w:r>
      <w:r>
        <w:t xml:space="preserve">The original C5 statistics predate</w:t>
      </w:r>
      <w:r>
        <w:t xml:space="preserve"> </w:t>
      </w:r>
      <w:r>
        <w:t xml:space="preserve">signed fixed-origin fitting and the later rule that</w:t>
      </w:r>
      <w:r>
        <w:t xml:space="preserve"> </w:t>
      </w:r>
      <w:r>
        <w:rPr>
          <w:rStyle w:val="VerbatimChar"/>
        </w:rPr>
        <w:t xml:space="preserve">method=auto</w:t>
      </w:r>
      <w:r>
        <w:t xml:space="preserve"> </w:t>
      </w:r>
      <w:r>
        <w:t xml:space="preserve">must refuse a</w:t>
      </w:r>
      <w:r>
        <w:t xml:space="preserve"> </w:t>
      </w:r>
      <w:r>
        <w:t xml:space="preserve">sorted-rank fallback on a multi-contig reference. We therefore keep the original</w:t>
      </w:r>
      <w:r>
        <w:t xml:space="preserve"> </w:t>
      </w:r>
      <w:r>
        <w:t xml:space="preserve">rows only as a legacy sorted-fallback sensitivity. A current-policy refusion</w:t>
      </w:r>
      <w:r>
        <w:t xml:space="preserve"> </w:t>
      </w:r>
      <w:r>
        <w:t xml:space="preserve">reused the retained window-rate tables, filtered to rows with finite positive</w:t>
      </w:r>
      <w:r>
        <w:t xml:space="preserve"> </w:t>
      </w:r>
      <w:r>
        <w:rPr>
          <w:rStyle w:val="VerbatimChar"/>
        </w:rPr>
        <w:t xml:space="preserve">log2_se</w:t>
      </w:r>
      <w:r>
        <w:t xml:space="preserve">, and reran the current fitting, fusion, report and QC stages; count</w:t>
      </w:r>
      <w:r>
        <w:t xml:space="preserve"> </w:t>
      </w:r>
      <w:r>
        <w:t xml:space="preserve">cost and inherited coverage fields were not recomputed. This arm used</w:t>
      </w:r>
      <w:r>
        <w:t xml:space="preserve"> </w:t>
      </w:r>
      <w:r>
        <w:t xml:space="preserve">sk2bGrow</w:t>
      </w:r>
      <w:r>
        <w:t xml:space="preserve"> </w:t>
      </w:r>
      <w:r>
        <w:rPr>
          <w:rStyle w:val="VerbatimChar"/>
        </w:rPr>
        <w:t xml:space="preserve">review-final</w:t>
      </w:r>
      <w:r>
        <w:t xml:space="preserve"> </w:t>
      </w:r>
      <w:r>
        <w:t xml:space="preserve">commit</w:t>
      </w:r>
      <w:r>
        <w:t xml:space="preserve"> </w:t>
      </w:r>
      <w:r>
        <w:rPr>
          <w:rStyle w:val="VerbatimChar"/>
        </w:rPr>
        <w:t xml:space="preserve">929f4c2</w:t>
      </w:r>
      <w:r>
        <w:t xml:space="preserve"> </w:t>
      </w:r>
      <w:r>
        <w:t xml:space="preserve">(SLURM array 4076617 and aggregation</w:t>
      </w:r>
      <w:r>
        <w:t xml:space="preserve"> </w:t>
      </w:r>
      <w:r>
        <w:t xml:space="preserve">job 4076831). An explicit</w:t>
      </w:r>
      <w:r>
        <w:t xml:space="preserve"> </w:t>
      </w:r>
      <w:r>
        <w:rPr>
          <w:rStyle w:val="VerbatimChar"/>
        </w:rPr>
        <w:t xml:space="preserve">method=sorted</w:t>
      </w:r>
      <w:r>
        <w:t xml:space="preserve"> </w:t>
      </w:r>
      <w:r>
        <w:t xml:space="preserve">arm used SLURM array 4077173 (tasks 0–7)</w:t>
      </w:r>
      <w:r>
        <w:t xml:space="preserve"> </w:t>
      </w:r>
      <w:r>
        <w:t xml:space="preserve">plus single-task retry 4077222, with dependent aggregation job 4077223; it</w:t>
      </w:r>
      <w:r>
        <w:t xml:space="preserve"> </w:t>
      </w:r>
      <w:r>
        <w:t xml:space="preserve">quantifies the residual effect of deliberately selecting the fallback under</w:t>
      </w:r>
      <w:r>
        <w:t xml:space="preserve"> </w:t>
      </w:r>
      <w:r>
        <w:t xml:space="preserve">current code. Because that arm still uses signed</w:t>
      </w:r>
      <w:r>
        <w:t xml:space="preserve"> </w:t>
      </w:r>
      <w:r>
        <w:t xml:space="preserve">fixed-origin output handling and current fusion/QC rules, it is not an exact</w:t>
      </w:r>
      <w:r>
        <w:t xml:space="preserve"> </w:t>
      </w:r>
      <w:r>
        <w:t xml:space="preserve">reconstruction of the legacy C5 result.</w:t>
      </w:r>
    </w:p>
    <w:p>
      <w:pPr>
        <w:pStyle w:val="BodyText"/>
      </w:pPr>
      <w:r>
        <w:rPr>
          <w:b/>
          <w:bCs/>
        </w:rPr>
        <w:t xml:space="preserve">Cost instrumentation.</w:t>
      </w:r>
      <w:r>
        <w:t xml:space="preserve"> </w:t>
      </w:r>
      <w:r>
        <w:t xml:space="preserve">Wall-clock and peak RSS per stage from</w:t>
      </w:r>
      <w:r>
        <w:t xml:space="preserve"> </w:t>
      </w:r>
      <w:r>
        <w:rPr>
          <w:rStyle w:val="VerbatimChar"/>
        </w:rPr>
        <w:t xml:space="preserve">/usr/bin/time -v</w:t>
      </w:r>
      <w:r>
        <w:t xml:space="preserve">; the count stage is further decomposed by phase timing on a</w:t>
      </w:r>
      <w:r>
        <w:t xml:space="preserve"> </w:t>
      </w:r>
      <w:r>
        <w:t xml:space="preserve">1 M read-pair subset (database load, index build, match, window write-out).</w:t>
      </w:r>
    </w:p>
    <w:p>
      <w:pPr>
        <w:pStyle w:val="BodyText"/>
      </w:pPr>
      <w:r>
        <w:rPr>
          <w:b/>
          <w:bCs/>
        </w:rPr>
        <w:t xml:space="preserve">Mismatch-1 arm.</w:t>
      </w:r>
      <w:r>
        <w:t xml:space="preserve"> </w:t>
      </w:r>
      <w:r>
        <w:rPr>
          <w:rStyle w:val="VerbatimChar"/>
        </w:rPr>
        <w:t xml:space="preserve">--max-mismatch</w:t>
      </w:r>
      <w:r>
        <w:t xml:space="preserve"> </w:t>
      </w:r>
      <w:r>
        <w:t xml:space="preserve">is a runtime parameter (§1.2), so the</w:t>
      </w:r>
      <w:r>
        <w:t xml:space="preserve"> </w:t>
      </w:r>
      <w:r>
        <w:t xml:space="preserve">mm = 1 arm reruns counting against the same index (read-only). A posting-list</w:t>
      </w:r>
      <w:r>
        <w:t xml:space="preserve"> </w:t>
      </w:r>
      <w:r>
        <w:t xml:space="preserve">diagnostic (</w:t>
      </w:r>
      <w:r>
        <w:rPr>
          <w:rStyle w:val="VerbatimChar"/>
        </w:rPr>
        <w:t xml:space="preserve">seed_hist</w:t>
      </w:r>
      <w:r>
        <w:t xml:space="preserve">: key count and mean/hit posting length per seed slot)</w:t>
      </w:r>
      <w:r>
        <w:t xml:space="preserve"> </w:t>
      </w:r>
      <w:r>
        <w:t xml:space="preserve">is used to explain where lookup time goes. The speedup is measured</w:t>
      </w:r>
      <w:r>
        <w:t xml:space="preserve"> </w:t>
      </w:r>
      <w:r>
        <w:t xml:space="preserve">end-to-end on all nine samples — counting plus the identical stats stage,</w:t>
      </w:r>
      <w:r>
        <w:t xml:space="preserve"> </w:t>
      </w:r>
      <w:r>
        <w:rPr>
          <w:rStyle w:val="VerbatimChar"/>
        </w:rPr>
        <w:t xml:space="preserve">/usr/bin/time -v</w:t>
      </w:r>
      <w:r>
        <w:t xml:space="preserve">, 8 threads, two-stage protocol identical to the mm = 2</w:t>
      </w:r>
      <w:r>
        <w:t xml:space="preserve"> </w:t>
      </w:r>
      <w:r>
        <w:t xml:space="preserve">baseline — on the M4 build, which was verified mm = 2-equivalent to the src</w:t>
      </w:r>
      <w:r>
        <w:t xml:space="preserve"> </w:t>
      </w:r>
      <w:r>
        <w:t xml:space="preserve">build on a matched 1 M read-pair subset (≤ 12% difference, biasing the</w:t>
      </w:r>
      <w:r>
        <w:t xml:space="preserve"> </w:t>
      </w:r>
      <w:r>
        <w:t xml:space="preserve">measured speedup downward). Anchor retention is scored per genome against the</w:t>
      </w:r>
      <w:r>
        <w:t xml:space="preserve"> </w:t>
      </w:r>
      <w:r>
        <w:t xml:space="preserve">mm = 2 windows census (the baseline per-anchor count tables are not retained);</w:t>
      </w:r>
      <w:r>
        <w:t xml:space="preserve"> </w:t>
      </w:r>
      <w:r>
        <w:t xml:space="preserve">per-anchor retention on the 1 M subset shows 5.3% loss and zero genomes lost.</w:t>
      </w:r>
    </w:p>
    <w:p>
      <w:pPr>
        <w:pStyle w:val="BodyText"/>
      </w:pPr>
      <w:r>
        <w:rPr>
          <w:b/>
          <w:bCs/>
        </w:rPr>
        <w:t xml:space="preserve">Containment screen and dilution experiment.</w:t>
      </w:r>
      <w:r>
        <w:t xml:space="preserve"> </w:t>
      </w:r>
      <w:r>
        <w:t xml:space="preserve">To test whether a containment</w:t>
      </w:r>
      <w:r>
        <w:t xml:space="preserve"> </w:t>
      </w:r>
      <w:r>
        <w:t xml:space="preserve">prefilter makes unrestricted-database counting feasible at GTDB scale, a</w:t>
      </w:r>
      <w:r>
        <w:t xml:space="preserve"> </w:t>
      </w:r>
      <w:r>
        <w:t xml:space="preserve">diluted database was built: the 522 real MAGs plus</w:t>
      </w:r>
      <w:r>
        <w:t xml:space="preserve"> </w:t>
      </w:r>
      <w:r>
        <w:rPr>
          <w:b/>
          <w:bCs/>
        </w:rPr>
        <w:t xml:space="preserve">4,700 synthetic random</w:t>
      </w:r>
      <w:r>
        <w:rPr>
          <w:b/>
          <w:bCs/>
        </w:rPr>
        <w:t xml:space="preserve"> </w:t>
      </w:r>
      <w:r>
        <w:rPr>
          <w:b/>
          <w:bCs/>
        </w:rPr>
        <w:t xml:space="preserve">genomes</w:t>
      </w:r>
      <w:r>
        <w:t xml:space="preserve"> </w:t>
      </w:r>
      <w:r>
        <w:t xml:space="preserve">(3.5 Mb each, fixed seed, absent by construction), ≈242 M anchors</w:t>
      </w:r>
      <w:r>
        <w:t xml:space="preserve"> </w:t>
      </w:r>
      <w:r>
        <w:t xml:space="preserve">in total, indexed with</w:t>
      </w:r>
      <w:r>
        <w:t xml:space="preserve"> </w:t>
      </w:r>
      <w:r>
        <w:rPr>
          <w:rStyle w:val="VerbatimChar"/>
        </w:rPr>
        <w:t xml:space="preserve">--screen-scale 2000</w:t>
      </w:r>
      <w:r>
        <w:t xml:space="preserve">. On an identical 1 M read-pair</w:t>
      </w:r>
      <w:r>
        <w:t xml:space="preserve"> </w:t>
      </w:r>
      <w:r>
        <w:t xml:space="preserve">subset, counting is run unrestricted and with</w:t>
      </w:r>
      <w:r>
        <w:t xml:space="preserve"> </w:t>
      </w:r>
      <w:r>
        <w:rPr>
          <w:rStyle w:val="VerbatimChar"/>
        </w:rPr>
        <w:t xml:space="preserve">--screen</w:t>
      </w:r>
      <w:r>
        <w:t xml:space="preserve">. The synthetic</w:t>
      </w:r>
      <w:r>
        <w:t xml:space="preserve"> </w:t>
      </w:r>
      <w:r>
        <w:t xml:space="preserve">genomes are a false-positive census (truth = zero counts); the real MAGs are</w:t>
      </w:r>
      <w:r>
        <w:t xml:space="preserve"> </w:t>
      </w:r>
      <w:r>
        <w:t xml:space="preserve">an equivalence check (screened counts must be a subset of the unrestricted</w:t>
      </w:r>
      <w:r>
        <w:t xml:space="preserve"> </w:t>
      </w:r>
      <w:r>
        <w:t xml:space="preserve">counts, with per-anchor ratios ≈ 1).</w:t>
      </w:r>
    </w:p>
    <w:bookmarkEnd w:id="37"/>
    <w:bookmarkStart w:id="38" w:name="gc-spanning-genome-set"/>
    <w:p>
      <w:pPr>
        <w:pStyle w:val="Heading4"/>
      </w:pPr>
      <w:r>
        <w:t xml:space="preserve">3.7 GC-spanning genome set</w:t>
      </w:r>
    </w:p>
    <w:p>
      <w:pPr>
        <w:pStyle w:val="FirstParagraph"/>
      </w:pPr>
      <w:r>
        <w:t xml:space="preserve">Eighteen complete NCBI assemblies selected from GTDB R232 metadata (a local</w:t>
      </w:r>
      <w:r>
        <w:t xml:space="preserve"> </w:t>
      </w:r>
      <w:r>
        <w:t xml:space="preserve">GTDB R226 snapshot was substituted where R232 metadata was unavailable on the</w:t>
      </w:r>
      <w:r>
        <w:t xml:space="preserve"> </w:t>
      </w:r>
      <w:r>
        <w:t xml:space="preserve">analysis machine; all measured quantities are FASTA-derived and unaffected)</w:t>
      </w:r>
      <w:r>
        <w:t xml:space="preserve"> </w:t>
      </w:r>
      <w:r>
        <w:t xml:space="preserve">with: ≤5 contigs, CheckM2 completeness ≥98 %, contamination ≤1 %, 1–2</w:t>
      </w:r>
      <w:r>
        <w:t xml:space="preserve"> </w:t>
      </w:r>
      <w:r>
        <w:t xml:space="preserve">representatives per genus, and measured GC spanning</w:t>
      </w:r>
      <w:r>
        <w:t xml:space="preserve"> </w:t>
      </w:r>
      <w:r>
        <w:rPr>
          <w:b/>
          <w:bCs/>
        </w:rPr>
        <w:t xml:space="preserve">25.4–72.0 %</w:t>
      </w:r>
      <w:r>
        <w:t xml:space="preserve"> </w:t>
      </w:r>
      <w:r>
        <w:t xml:space="preserve">in</w:t>
      </w:r>
      <w:r>
        <w:t xml:space="preserve"> </w:t>
      </w:r>
      <w:r>
        <w:t xml:space="preserve">roughly even bands (25.4, 26.1, 30.6, 33.0–33.5, 43.5, 50.7–50.8, 57.0,</w:t>
      </w:r>
      <w:r>
        <w:t xml:space="preserve"> </w:t>
      </w:r>
      <w:r>
        <w:t xml:space="preserve">61.5, 65.3, 66.0–66.1, 72.0). The set feeds the F2–F4 experiments (§6). At</w:t>
      </w:r>
      <w:r>
        <w:t xml:space="preserve"> </w:t>
      </w:r>
      <w:r>
        <w:t xml:space="preserve">its low-GC end the set contains two</w:t>
      </w:r>
      <w:r>
        <w:t xml:space="preserve"> </w:t>
      </w:r>
      <w:r>
        <w:rPr>
          <w:i/>
          <w:iCs/>
        </w:rPr>
        <w:t xml:space="preserve">Buchnera</w:t>
      </w:r>
      <w:r>
        <w:t xml:space="preserve"> </w:t>
      </w:r>
      <w:r>
        <w:t xml:space="preserve">genomes of only 0.65 Mb, so</w:t>
      </w:r>
      <w:r>
        <w:t xml:space="preserve"> </w:t>
      </w:r>
      <w:r>
        <w:t xml:space="preserve">low GC and small genome size are confounded there and are read as a joint</w:t>
      </w:r>
      <w:r>
        <w:t xml:space="preserve"> </w:t>
      </w:r>
      <w:r>
        <w:t xml:space="preserve">boundary, not separated.</w:t>
      </w:r>
    </w:p>
    <w:p>
      <w:r>
        <w:pict>
          <v:rect style="width:0;height:1.5pt" o:hralign="center" o:hrstd="t" o:hr="t"/>
        </w:pict>
      </w:r>
    </w:p>
    <w:bookmarkEnd w:id="38"/>
    <w:bookmarkEnd w:id="39"/>
    <w:bookmarkStart w:id="40" w:name="comparison-methods"/>
    <w:p>
      <w:pPr>
        <w:pStyle w:val="Heading3"/>
      </w:pPr>
      <w:r>
        <w:t xml:space="preserve">4. Comparison methods</w:t>
      </w:r>
    </w:p>
    <w:p>
      <w:pPr>
        <w:pStyle w:val="FirstParagraph"/>
      </w:pPr>
      <w:r>
        <w:rPr>
          <w:b/>
          <w:bCs/>
        </w:rPr>
        <w:t xml:space="preserve">Pilea</w:t>
      </w:r>
      <w:r>
        <w:t xml:space="preserve"> </w:t>
      </w:r>
      <w:r>
        <w:t xml:space="preserve">(v1.3.8, installed from source) was run on identical</w:t>
      </w:r>
      <w:r>
        <w:t xml:space="preserve"> </w:t>
      </w:r>
      <w:r>
        <w:t xml:space="preserve">input files, single-end, 8 threads, with the database built from the same</w:t>
      </w:r>
      <w:r>
        <w:t xml:space="preserve"> </w:t>
      </w:r>
      <w:r>
        <w:t xml:space="preserve">reference genomes. Sketch parameters are Pilea’s defaults: k = 31, s = 250,</w:t>
      </w:r>
      <w:r>
        <w:t xml:space="preserve"> </w:t>
      </w:r>
      <w:r>
        <w:t xml:space="preserve">w = 25,000 bp.</w:t>
      </w:r>
    </w:p>
    <w:p>
      <w:pPr>
        <w:pStyle w:val="BodyText"/>
      </w:pPr>
      <w:r>
        <w:t xml:space="preserve">Pilea is run in</w:t>
      </w:r>
      <w:r>
        <w:t xml:space="preserve"> </w:t>
      </w:r>
      <w:r>
        <w:rPr>
          <w:b/>
          <w:bCs/>
        </w:rPr>
        <w:t xml:space="preserve">two configurations</w:t>
      </w:r>
      <w:r>
        <w:t xml:space="preserve">, and both are reported everywhere:</w:t>
      </w:r>
    </w:p>
    <w:p>
      <w:pPr>
        <w:pStyle w:val="Compact"/>
        <w:numPr>
          <w:ilvl w:val="0"/>
          <w:numId w:val="1003"/>
        </w:numPr>
      </w:pPr>
      <w:r>
        <w:rPr>
          <w:b/>
          <w:bCs/>
        </w:rPr>
        <w:t xml:space="preserve">defaults</w:t>
      </w:r>
      <w:r>
        <w:t xml:space="preserve"> </w:t>
      </w:r>
      <w:r>
        <w:t xml:space="preserve">—</w:t>
      </w:r>
      <w:r>
        <w:t xml:space="preserve"> </w:t>
      </w:r>
      <w:r>
        <w:rPr>
          <w:rStyle w:val="VerbatimChar"/>
        </w:rPr>
        <w:t xml:space="preserve">--min-cove 5 --min-frac 0.75 --min-cont 0.25</w:t>
      </w:r>
      <w:r>
        <w:t xml:space="preserve">;</w:t>
      </w:r>
    </w:p>
    <w:p>
      <w:pPr>
        <w:pStyle w:val="Compact"/>
        <w:numPr>
          <w:ilvl w:val="0"/>
          <w:numId w:val="1003"/>
        </w:numPr>
      </w:pPr>
      <w:r>
        <w:rPr>
          <w:b/>
          <w:bCs/>
        </w:rPr>
        <w:t xml:space="preserve">gates off</w:t>
      </w:r>
      <w:r>
        <w:t xml:space="preserve"> </w:t>
      </w:r>
      <w:r>
        <w:t xml:space="preserve">—</w:t>
      </w:r>
      <w:r>
        <w:t xml:space="preserve"> </w:t>
      </w:r>
      <w:r>
        <w:rPr>
          <w:rStyle w:val="VerbatimChar"/>
        </w:rPr>
        <w:t xml:space="preserve">-x 0 -z 0 -c 0</w:t>
      </w:r>
      <w:r>
        <w:t xml:space="preserve">.</w:t>
      </w:r>
    </w:p>
    <w:p>
      <w:pPr>
        <w:pStyle w:val="FirstParagraph"/>
      </w:pPr>
      <w:r>
        <w:t xml:space="preserve">The second configuration exists because at its shipped defaults Pilea returns</w:t>
      </w:r>
      <w:r>
        <w:t xml:space="preserve"> </w:t>
      </w:r>
      <w:r>
        <w:rPr>
          <w:i/>
          <w:iCs/>
        </w:rPr>
        <w:t xml:space="preserve">no estimate at all</w:t>
      </w:r>
      <w:r>
        <w:t xml:space="preserve"> </w:t>
      </w:r>
      <w:r>
        <w:t xml:space="preserve">below 10× nominal coverage, and a benchmark of</w:t>
      </w:r>
      <w:r>
        <w:t xml:space="preserve"> </w:t>
      </w:r>
      <w:r>
        <w:t xml:space="preserve">“estimate vs no estimate”</w:t>
      </w:r>
      <w:r>
        <w:t xml:space="preserve"> </w:t>
      </w:r>
      <w:r>
        <w:t xml:space="preserve">is not a comparison of accuracy. Reporting only the</w:t>
      </w:r>
      <w:r>
        <w:t xml:space="preserve"> </w:t>
      </w:r>
      <w:r>
        <w:t xml:space="preserve">gates-off arm would be equally misleading in the other direction, since the</w:t>
      </w:r>
      <w:r>
        <w:t xml:space="preserve"> </w:t>
      </w:r>
      <w:r>
        <w:t xml:space="preserve">gates are part of the shipped tool.</w:t>
      </w:r>
    </w:p>
    <w:p>
      <w:pPr>
        <w:pStyle w:val="BodyText"/>
      </w:pPr>
      <w:r>
        <w:rPr>
          <w:b/>
          <w:bCs/>
        </w:rPr>
        <w:t xml:space="preserve">Which gate binds.</w:t>
      </w:r>
      <w:r>
        <w:t xml:space="preserve"> </w:t>
      </w:r>
      <w:r>
        <w:t xml:space="preserve">The gates-off run still reports the three gated statistics</w:t>
      </w:r>
      <w:r>
        <w:t xml:space="preserve"> </w:t>
      </w:r>
      <w:r>
        <w:t xml:space="preserve">per genome, so the ablation is exact and needs no extra runs: re-applying each</w:t>
      </w:r>
      <w:r>
        <w:t xml:space="preserve"> </w:t>
      </w:r>
      <w:r>
        <w:t xml:space="preserve">default threshold to the gates-off output shows that</w:t>
      </w:r>
      <w:r>
        <w:t xml:space="preserve"> </w:t>
      </w:r>
      <w:r>
        <w:rPr>
          <w:rStyle w:val="VerbatimChar"/>
        </w:rPr>
        <w:t xml:space="preserve">--min-cove</w:t>
      </w:r>
      <w:r>
        <w:t xml:space="preserve"> </w:t>
      </w:r>
      <w:r>
        <w:t xml:space="preserve">is responsible</w:t>
      </w:r>
      <w:r>
        <w:t xml:space="preserve"> </w:t>
      </w:r>
      <w:r>
        <w:t xml:space="preserve">for</w:t>
      </w:r>
      <w:r>
        <w:t xml:space="preserve"> </w:t>
      </w:r>
      <w:r>
        <w:rPr>
          <w:b/>
          <w:bCs/>
        </w:rPr>
        <w:t xml:space="preserve">68 of 68</w:t>
      </w:r>
      <w:r>
        <w:t xml:space="preserve"> </w:t>
      </w:r>
      <w:r>
        <w:t xml:space="preserve">suppressed</w:t>
      </w:r>
      <w:r>
        <w:t xml:space="preserve"> </w:t>
      </w:r>
      <w:r>
        <w:rPr>
          <w:i/>
          <w:iCs/>
        </w:rPr>
        <w:t xml:space="preserve">E. coli</w:t>
      </w:r>
      <w:r>
        <w:t xml:space="preserve"> </w:t>
      </w:r>
      <w:r>
        <w:t xml:space="preserve">estimates and</w:t>
      </w:r>
      <w:r>
        <w:t xml:space="preserve"> </w:t>
      </w:r>
      <w:r>
        <w:rPr>
          <w:b/>
          <w:bCs/>
        </w:rPr>
        <w:t xml:space="preserve">167 of 172</w:t>
      </w:r>
      <w:r>
        <w:t xml:space="preserve"> </w:t>
      </w:r>
      <w:r>
        <w:t xml:space="preserve">in the</w:t>
      </w:r>
      <w:r>
        <w:t xml:space="preserve"> </w:t>
      </w:r>
      <w:r>
        <w:t xml:space="preserve">simulation (sole cause in 145).</w:t>
      </w:r>
      <w:r>
        <w:t xml:space="preserve"> </w:t>
      </w:r>
      <w:r>
        <w:rPr>
          <w:rStyle w:val="VerbatimChar"/>
        </w:rPr>
        <w:t xml:space="preserve">--min-frac</w:t>
      </w:r>
      <w:r>
        <w:t xml:space="preserve"> </w:t>
      </w:r>
      <w:r>
        <w:t xml:space="preserve">and</w:t>
      </w:r>
      <w:r>
        <w:t xml:space="preserve"> </w:t>
      </w:r>
      <w:r>
        <w:rPr>
          <w:rStyle w:val="VerbatimChar"/>
        </w:rPr>
        <w:t xml:space="preserve">--min-cont</w:t>
      </w:r>
      <w:r>
        <w:t xml:space="preserve"> </w:t>
      </w:r>
      <w:r>
        <w:t xml:space="preserve">are essentially</w:t>
      </w:r>
      <w:r>
        <w:t xml:space="preserve"> </w:t>
      </w:r>
      <w:r>
        <w:t xml:space="preserve">never binding at these depths. Because a 150 bp read yields 120 31-mers, Pilea’s</w:t>
      </w:r>
      <w:r>
        <w:t xml:space="preserve"> </w:t>
      </w:r>
      <w:r>
        <w:t xml:space="preserve">threshold of 5 on</w:t>
      </w:r>
      <w:r>
        <w:t xml:space="preserve"> </w:t>
      </w:r>
      <w:r>
        <w:rPr>
          <w:i/>
          <w:iCs/>
        </w:rPr>
        <w:t xml:space="preserve">k-mer</w:t>
      </w:r>
      <w:r>
        <w:t xml:space="preserve"> </w:t>
      </w:r>
      <w:r>
        <w:t xml:space="preserve">coverage corresponds to ≈6.25×</w:t>
      </w:r>
      <w:r>
        <w:t xml:space="preserve"> </w:t>
      </w:r>
      <w:r>
        <w:rPr>
          <w:i/>
          <w:iCs/>
        </w:rPr>
        <w:t xml:space="preserve">read</w:t>
      </w:r>
      <w:r>
        <w:t xml:space="preserve"> </w:t>
      </w:r>
      <w:r>
        <w:t xml:space="preserve">coverage (5 × 150/120); at 5×</w:t>
      </w:r>
      <w:r>
        <w:t xml:space="preserve"> </w:t>
      </w:r>
      <w:r>
        <w:t xml:space="preserve">nominal the measured median is 3.93 and the gate fires.</w:t>
      </w:r>
    </w:p>
    <w:p>
      <w:pPr>
        <w:pStyle w:val="BodyText"/>
      </w:pPr>
      <w:r>
        <w:t xml:space="preserve">The gate is not arbitrary conservatism. At 0.5× nominal, Pilea’s gates-off</w:t>
      </w:r>
      <w:r>
        <w:t xml:space="preserve"> </w:t>
      </w:r>
      <w:r>
        <w:t xml:space="preserve">output is fully degenerate — measured coverage exactly 1.000 and log₂PTR exactly</w:t>
      </w:r>
      <w:r>
        <w:t xml:space="preserve"> </w:t>
      </w:r>
      <w:r>
        <w:t xml:space="preserve">0.000 for all 17 samples — so the gate is correctly refusing to report. Between</w:t>
      </w:r>
      <w:r>
        <w:t xml:space="preserve"> </w:t>
      </w:r>
      <w:r>
        <w:t xml:space="preserve">1× and 5×, however, the gates-off estimator is informative (r = 0.89, 0.95, 0.95</w:t>
      </w:r>
      <w:r>
        <w:t xml:space="preserve"> </w:t>
      </w:r>
      <w:r>
        <w:t xml:space="preserve">against λ) and is nevertheless suppressed.</w:t>
      </w:r>
    </w:p>
    <w:p>
      <w:pPr>
        <w:pStyle w:val="BodyText"/>
      </w:pPr>
      <w:r>
        <w:rPr>
          <w:b/>
          <w:bCs/>
        </w:rPr>
        <w:t xml:space="preserve">Attribution arms.</w:t>
      </w:r>
      <w:r>
        <w:t xml:space="preserve"> </w:t>
      </w:r>
      <w:r>
        <w:t xml:space="preserve">sk2bGrow differs from Pilea in two places at once — what</w:t>
      </w:r>
      <w:r>
        <w:t xml:space="preserve"> </w:t>
      </w:r>
      <w:r>
        <w:t xml:space="preserve">is counted (deterministic 2bRAD anchors vs a FracMinHash sketch) and how the</w:t>
      </w:r>
      <w:r>
        <w:t xml:space="preserve"> </w:t>
      </w:r>
      <w:r>
        <w:t xml:space="preserve">gradient is fitted (a coordinate V-fit vs sorted-rank regression). Comparing the</w:t>
      </w:r>
      <w:r>
        <w:t xml:space="preserve"> </w:t>
      </w:r>
      <w:r>
        <w:t xml:space="preserve">two end-to-end pipelines cannot say which change is responsible, so the two</w:t>
      </w:r>
      <w:r>
        <w:t xml:space="preserve"> </w:t>
      </w:r>
      <w:r>
        <w:t xml:space="preserve">factors are crossed into a full 2 × 2 and all four cells are run on the same</w:t>
      </w:r>
      <w:r>
        <w:t xml:space="preserve"> </w:t>
      </w:r>
      <w:r>
        <w:t xml:space="preserve">subsampled reads: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coordinate V-fit</w:t>
            </w:r>
          </w:p>
        </w:tc>
        <w:tc>
          <w:tcPr/>
          <w:p>
            <w:pPr>
              <w:pStyle w:val="Compact"/>
            </w:pPr>
            <w:r>
              <w:t xml:space="preserve">sorted-rank regression</w:t>
            </w:r>
          </w:p>
        </w:tc>
      </w:tr>
      <w:tr>
        <w:tc>
          <w:tcPr/>
          <w:p>
            <w:pPr>
              <w:pStyle w:val="Compact"/>
            </w:pPr>
            <w:r>
              <w:rPr>
                <w:b/>
                <w:bCs/>
              </w:rPr>
              <w:t xml:space="preserve">2bRAD anchors</w:t>
            </w:r>
          </w:p>
        </w:tc>
        <w:tc>
          <w:tcPr/>
          <w:p>
            <w:pPr>
              <w:pStyle w:val="Compact"/>
            </w:pPr>
            <w:r>
              <w:t xml:space="preserve">sk2bGrow (arm A)</w:t>
            </w:r>
          </w:p>
        </w:tc>
        <w:tc>
          <w:tcPr/>
          <w:p>
            <w:pPr>
              <w:pStyle w:val="Compact"/>
            </w:pPr>
            <w:r>
              <w:t xml:space="preserve">arm B</w:t>
            </w:r>
          </w:p>
        </w:tc>
      </w:tr>
      <w:tr>
        <w:tc>
          <w:tcPr/>
          <w:p>
            <w:pPr>
              <w:pStyle w:val="Compact"/>
            </w:pPr>
            <w:r>
              <w:rPr>
                <w:b/>
                <w:bCs/>
              </w:rPr>
              <w:t xml:space="preserve">FracMinHash</w:t>
            </w:r>
          </w:p>
        </w:tc>
        <w:tc>
          <w:tcPr/>
          <w:p>
            <w:pPr>
              <w:pStyle w:val="Compact"/>
            </w:pPr>
            <w:r>
              <w:t xml:space="preserve">arm E</w:t>
            </w:r>
          </w:p>
        </w:tc>
        <w:tc>
          <w:tcPr/>
          <w:p>
            <w:pPr>
              <w:pStyle w:val="Compact"/>
            </w:pPr>
            <w:r>
              <w:t xml:space="preserve">Pilea, gates off (arm C)</w:t>
            </w:r>
          </w:p>
        </w:tc>
      </w:tr>
    </w:tbl>
    <w:p>
      <w:pPr>
        <w:pStyle w:val="BodyText"/>
      </w:pPr>
      <w:r>
        <w:t xml:space="preserve">Arm B takes sk2bGrow’s anchor counts and estimates from them exactly as Pilea</w:t>
      </w:r>
      <w:r>
        <w:t xml:space="preserve"> </w:t>
      </w:r>
      <w:r>
        <w:t xml:space="preserve">does (25 kb fixed-bp windows, sorted-rank regression with RANSAC). Arm E is the</w:t>
      </w:r>
      <w:r>
        <w:t xml:space="preserve"> </w:t>
      </w:r>
      <w:r>
        <w:t xml:space="preserve">transpose: Pilea’s own sketch output is rewritten into sk2bGrow’s count-table</w:t>
      </w:r>
      <w:r>
        <w:t xml:space="preserve"> </w:t>
      </w:r>
      <w:r>
        <w:t xml:space="preserve">format — one row per hashed locus, with its genome coordinate — and then passed</w:t>
      </w:r>
      <w:r>
        <w:t xml:space="preserve"> </w:t>
      </w:r>
      <w:r>
        <w:t xml:space="preserve">through the unmodified sk2bGrow estimator, so it receives the same zero-truncated</w:t>
      </w:r>
      <w:r>
        <w:t xml:space="preserve"> </w:t>
      </w:r>
      <w:r>
        <w:t xml:space="preserve">mixture, the same GC and outlier handling, the same per-enzyme inverse-variance</w:t>
      </w:r>
      <w:r>
        <w:t xml:space="preserve"> </w:t>
      </w:r>
      <w:r>
        <w:t xml:space="preserve">fusion, and the same standard errors. Building arm E by feeding raw window rates</w:t>
      </w:r>
      <w:r>
        <w:t xml:space="preserve"> </w:t>
      </w:r>
      <w:r>
        <w:t xml:space="preserve">into the V-fit would</w:t>
      </w:r>
      <w:r>
        <w:t xml:space="preserve"> </w:t>
      </w:r>
      <w:r>
        <w:rPr>
          <w:i/>
          <w:iCs/>
        </w:rPr>
        <w:t xml:space="preserve">not</w:t>
      </w:r>
      <w:r>
        <w:t xml:space="preserve"> </w:t>
      </w:r>
      <w:r>
        <w:t xml:space="preserve">be a controlled comparison: an earlier attempt at</w:t>
      </w:r>
      <w:r>
        <w:t xml:space="preserve"> </w:t>
      </w:r>
      <w:r>
        <w:t xml:space="preserve">that returned log₂PTR = 2.65 against a measured 1.73, because the surrounding</w:t>
      </w:r>
      <w:r>
        <w:t xml:space="preserve"> </w:t>
      </w:r>
      <w:r>
        <w:t xml:space="preserve">machinery, not the fitting geometry, was what had been removed.</w:t>
      </w:r>
    </w:p>
    <w:p>
      <w:pPr>
        <w:pStyle w:val="BodyText"/>
      </w:pPr>
      <w:r>
        <w:t xml:space="preserve">The 2 × 2 is what licenses any statement of the form</w:t>
      </w:r>
      <w:r>
        <w:t xml:space="preserve"> </w:t>
      </w:r>
      <w:r>
        <w:t xml:space="preserve">“the gain comes from X”</w:t>
      </w:r>
      <w:r>
        <w:t xml:space="preserve">.</w:t>
      </w:r>
    </w:p>
    <w:p>
      <w:pPr>
        <w:pStyle w:val="BodyText"/>
      </w:pPr>
      <w:r>
        <w:rPr>
          <w:b/>
          <w:bCs/>
        </w:rPr>
        <w:t xml:space="preserve">Faecal three-arm comparison.</w:t>
      </w:r>
      <w:r>
        <w:t xml:space="preserve"> </w:t>
      </w:r>
      <w:r>
        <w:t xml:space="preserve">The Sun dataset (§3.5) adds a second,</w:t>
      </w:r>
      <w:r>
        <w:t xml:space="preserve"> </w:t>
      </w:r>
      <w:r>
        <w:t xml:space="preserve">independent arm structure: A = Pilea on WGS, B = sk2bGrow on WGS, C =</w:t>
      </w:r>
      <w:r>
        <w:t xml:space="preserve"> </w:t>
      </w:r>
      <w:r>
        <w:t xml:space="preserve">sk2bGrow on the real 2bRAD library. These labels are local to that experiment</w:t>
      </w:r>
      <w:r>
        <w:t xml:space="preserve"> </w:t>
      </w:r>
      <w:r>
        <w:t xml:space="preserve">and unrelated to the attribution arms above. Pilea is run at both its default</w:t>
      </w:r>
      <w:r>
        <w:t xml:space="preserve"> </w:t>
      </w:r>
      <w:r>
        <w:t xml:space="preserve">gates and gates off (thresholds as above); sk2bGrow is run on the</w:t>
      </w:r>
      <w:r>
        <w:t xml:space="preserve"> </w:t>
      </w:r>
      <w:r>
        <w:t xml:space="preserve">deduplicated, raw and capped-dedup count tables (§3.5), because the effect of</w:t>
      </w:r>
      <w:r>
        <w:t xml:space="preserve"> </w:t>
      </w:r>
      <w:r>
        <w:t xml:space="preserve">exact dedup on the 2bRAD route is itself one of the questions.</w:t>
      </w:r>
    </w:p>
    <w:p>
      <w:r>
        <w:pict>
          <v:rect style="width:0;height:1.5pt" o:hralign="center" o:hrstd="t" o:hr="t"/>
        </w:pict>
      </w:r>
    </w:p>
    <w:bookmarkEnd w:id="40"/>
    <w:bookmarkStart w:id="41" w:name="evaluation-metrics"/>
    <w:p>
      <w:pPr>
        <w:pStyle w:val="Heading3"/>
      </w:pPr>
      <w:r>
        <w:t xml:space="preserve">5. Evaluation metrics</w:t>
      </w:r>
    </w:p>
    <w:p>
      <w:pPr>
        <w:pStyle w:val="FirstParagraph"/>
      </w:pPr>
      <w:r>
        <w:t xml:space="preserve">Let</w:t>
      </w:r>
      <w:r>
        <w:t xml:space="preserve"> </w:t>
      </w:r>
      <w:r>
        <w:rPr>
          <w:i/>
          <w:iCs/>
        </w:rPr>
        <w:t xml:space="preserve">ŷᵢ</w:t>
      </w:r>
      <w:r>
        <w:t xml:space="preserve"> </w:t>
      </w:r>
      <w:r>
        <w:t xml:space="preserve">be an estimated log₂PTR and</w:t>
      </w:r>
      <w:r>
        <w:t xml:space="preserve"> </w:t>
      </w:r>
      <w:r>
        <w:rPr>
          <w:i/>
          <w:iCs/>
        </w:rPr>
        <w:t xml:space="preserve">yᵢ</w:t>
      </w:r>
      <w:r>
        <w:t xml:space="preserve"> </w:t>
      </w:r>
      <w:r>
        <w:t xml:space="preserve">the corresponding reference value, over</w:t>
      </w:r>
      <w:r>
        <w:t xml:space="preserve"> </w:t>
      </w:r>
      <w:r>
        <w:t xml:space="preserve">the</w:t>
      </w:r>
      <w:r>
        <w:t xml:space="preserve"> </w:t>
      </w:r>
      <w:r>
        <w:rPr>
          <w:i/>
          <w:iCs/>
        </w:rPr>
        <w:t xml:space="preserve">n</w:t>
      </w:r>
      <w:r>
        <w:t xml:space="preserve"> </w:t>
      </w:r>
      <w:r>
        <w:t xml:space="preserve">genome-estimates a method actually returned.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what it detects</w:t>
            </w:r>
          </w:p>
        </w:tc>
        <w:tc>
          <w:tcPr/>
          <w:p>
            <w:pPr>
              <w:pStyle w:val="Compact"/>
            </w:pPr>
            <w:r>
              <w:t xml:space="preserve">what it misses</w:t>
            </w:r>
          </w:p>
        </w:tc>
      </w:tr>
      <w:tr>
        <w:tc>
          <w:tcPr/>
          <w:p>
            <w:pPr>
              <w:pStyle w:val="Compact"/>
            </w:pPr>
            <w:r>
              <w:rPr>
                <w:b/>
                <w:bCs/>
              </w:rPr>
              <w:t xml:space="preserve">Pearson r</w:t>
            </w:r>
          </w:p>
        </w:tc>
        <w:tc>
          <w:tcPr/>
          <w:p>
            <w:pPr>
              <w:pStyle w:val="Compact"/>
            </w:pPr>
            <w:r>
              <w:t xml:space="preserve">corr(</w:t>
            </w:r>
            <w:r>
              <w:rPr>
                <w:i/>
                <w:iCs/>
              </w:rPr>
              <w:t xml:space="preserve">ŷ</w:t>
            </w:r>
            <w:r>
              <w:t xml:space="preserve">, λ) across media</w:t>
            </w:r>
          </w:p>
        </w:tc>
        <w:tc>
          <w:tcPr/>
          <w:p>
            <w:pPr>
              <w:pStyle w:val="Compact"/>
            </w:pPr>
            <w:r>
              <w:t xml:space="preserve">whether the ranking of growth rates is recovered</w:t>
            </w:r>
          </w:p>
        </w:tc>
        <w:tc>
          <w:tcPr/>
          <w:p>
            <w:pPr>
              <w:pStyle w:val="Compact"/>
            </w:pPr>
            <w:r>
              <w:t xml:space="preserve">a compressed or inflated scale — r is invariant to affine transformation</w:t>
            </w:r>
          </w:p>
        </w:tc>
      </w:tr>
      <w:tr>
        <w:tc>
          <w:tcPr/>
          <w:p>
            <w:pPr>
              <w:pStyle w:val="Compact"/>
            </w:pPr>
            <w:r>
              <w:rPr>
                <w:b/>
                <w:bCs/>
              </w:rPr>
              <w:t xml:space="preserve">Spearman ρ</w:t>
            </w:r>
          </w:p>
        </w:tc>
        <w:tc>
          <w:tcPr/>
          <w:p>
            <w:pPr>
              <w:pStyle w:val="Compact"/>
            </w:pPr>
            <w:r>
              <w:t xml:space="preserve">rank correlation</w:t>
            </w:r>
          </w:p>
        </w:tc>
        <w:tc>
          <w:tcPr/>
          <w:p>
            <w:pPr>
              <w:pStyle w:val="Compact"/>
            </w:pPr>
            <w:r>
              <w:t xml:space="preserve">monotone recovery, robust to outliers</w:t>
            </w:r>
          </w:p>
        </w:tc>
        <w:tc>
          <w:tcPr/>
          <w:p>
            <w:pPr>
              <w:pStyle w:val="Compact"/>
            </w:pPr>
            <w:r>
              <w:t xml:space="preserve">magnitude, as above</w:t>
            </w:r>
          </w:p>
        </w:tc>
      </w:tr>
      <w:tr>
        <w:tc>
          <w:tcPr/>
          <w:p>
            <w:pPr>
              <w:pStyle w:val="Compact"/>
            </w:pPr>
            <w:r>
              <w:rPr>
                <w:b/>
                <w:bCs/>
              </w:rPr>
              <w:t xml:space="preserve">RMSE</w:t>
            </w:r>
          </w:p>
        </w:tc>
        <w:tc>
          <w:tcPr/>
          <w:p>
            <w:pPr>
              <w:pStyle w:val="Compact"/>
            </w:pPr>
            <w:r>
              <w:t xml:space="preserve">√(mean(</w:t>
            </w:r>
            <w:r>
              <w:rPr>
                <w:i/>
                <w:iCs/>
              </w:rPr>
              <w:t xml:space="preserve">ŷᵢ</w:t>
            </w:r>
            <w:r>
              <w:t xml:space="preserve"> </w:t>
            </w:r>
            <w:r>
              <w:t xml:space="preserve">−</w:t>
            </w:r>
            <w:r>
              <w:t xml:space="preserve"> </w:t>
            </w:r>
            <w:r>
              <w:rPr>
                <w:i/>
                <w:iCs/>
              </w:rPr>
              <w:t xml:space="preserve">yᵢ</w:t>
            </w:r>
            <w:r>
              <w:t xml:space="preserve">)²)</w:t>
            </w:r>
          </w:p>
        </w:tc>
        <w:tc>
          <w:tcPr/>
          <w:p>
            <w:pPr>
              <w:pStyle w:val="Compact"/>
            </w:pPr>
            <w:r>
              <w:t xml:space="preserve">magnitude error, in log₂PTR units</w:t>
            </w:r>
          </w:p>
        </w:tc>
        <w:tc>
          <w:tcPr/>
          <w:p>
            <w:pPr>
              <w:pStyle w:val="Compact"/>
            </w:pPr>
            <w:r>
              <w:t xml:space="preserve">the direction of the error</w:t>
            </w:r>
          </w:p>
        </w:tc>
      </w:tr>
      <w:tr>
        <w:tc>
          <w:tcPr/>
          <w:p>
            <w:pPr>
              <w:pStyle w:val="Compact"/>
            </w:pPr>
            <w:r>
              <w:rPr>
                <w:b/>
                <w:bCs/>
              </w:rPr>
              <w:t xml:space="preserve">bias</w:t>
            </w:r>
          </w:p>
        </w:tc>
        <w:tc>
          <w:tcPr/>
          <w:p>
            <w:pPr>
              <w:pStyle w:val="Compact"/>
            </w:pPr>
            <w:r>
              <w:t xml:space="preserve">mean(</w:t>
            </w:r>
            <w:r>
              <w:rPr>
                <w:i/>
                <w:iCs/>
              </w:rPr>
              <w:t xml:space="preserve">ŷᵢ</w:t>
            </w:r>
            <w:r>
              <w:t xml:space="preserve"> </w:t>
            </w:r>
            <w:r>
              <w:t xml:space="preserve">−</w:t>
            </w:r>
            <w:r>
              <w:t xml:space="preserve"> </w:t>
            </w:r>
            <w:r>
              <w:rPr>
                <w:i/>
                <w:iCs/>
              </w:rPr>
              <w:t xml:space="preserve">yᵢ</w:t>
            </w:r>
            <w:r>
              <w:t xml:space="preserve">)</w:t>
            </w:r>
          </w:p>
        </w:tc>
        <w:tc>
          <w:tcPr/>
          <w:p>
            <w:pPr>
              <w:pStyle w:val="Compact"/>
            </w:pPr>
            <w:r>
              <w:t xml:space="preserve">systematic over- or under-estimation</w:t>
            </w:r>
          </w:p>
        </w:tc>
        <w:tc>
          <w:tcPr/>
          <w:p>
            <w:pPr>
              <w:pStyle w:val="Compact"/>
            </w:pPr>
            <w:r>
              <w:t xml:space="preserve">scatter (a method wrong by ±1 in equal measure has bias 0)</w:t>
            </w:r>
          </w:p>
        </w:tc>
      </w:tr>
      <w:tr>
        <w:tc>
          <w:tcPr/>
          <w:p>
            <w:pPr>
              <w:pStyle w:val="Compact"/>
            </w:pPr>
            <w:r>
              <w:rPr>
                <w:b/>
                <w:bCs/>
              </w:rPr>
              <w:t xml:space="preserve">slope</w:t>
            </w:r>
          </w:p>
        </w:tc>
        <w:tc>
          <w:tcPr/>
          <w:p>
            <w:pPr>
              <w:pStyle w:val="Compact"/>
            </w:pPr>
            <w:r>
              <w:t xml:space="preserve">OLS slope of</w:t>
            </w:r>
            <w:r>
              <w:t xml:space="preserve"> </w:t>
            </w:r>
            <w:r>
              <w:rPr>
                <w:i/>
                <w:iCs/>
              </w:rPr>
              <w:t xml:space="preserve">ŷ</w:t>
            </w:r>
            <w:r>
              <w:t xml:space="preserve"> </w:t>
            </w:r>
            <w:r>
              <w:t xml:space="preserve">on λ</w:t>
            </w:r>
          </w:p>
        </w:tc>
        <w:tc>
          <w:tcPr/>
          <w:p>
            <w:pPr>
              <w:pStyle w:val="Compact"/>
            </w:pPr>
            <w:r>
              <w:t xml:space="preserve">dynamic-range compression</w:t>
            </w:r>
          </w:p>
        </w:tc>
        <w:tc>
          <w:tcPr/>
          <w:p>
            <w:pPr>
              <w:pStyle w:val="Compact"/>
            </w:pPr>
            <w:r>
              <w:t xml:space="preserve">offset</w:t>
            </w:r>
          </w:p>
        </w:tc>
      </w:tr>
      <w:tr>
        <w:tc>
          <w:tcPr/>
          <w:p>
            <w:pPr>
              <w:pStyle w:val="Compact"/>
            </w:pPr>
            <w:r>
              <w:rPr>
                <w:b/>
                <w:bCs/>
              </w:rPr>
              <w:t xml:space="preserve">recall</w:t>
            </w:r>
          </w:p>
        </w:tc>
        <w:tc>
          <w:tcPr/>
          <w:p>
            <w:pPr>
              <w:pStyle w:val="Compact"/>
            </w:pPr>
            <w:r>
              <w:rPr>
                <w:i/>
                <w:iCs/>
              </w:rPr>
              <w:t xml:space="preserve">n</w:t>
            </w:r>
            <w:r>
              <w:t xml:space="preserve"> </w:t>
            </w:r>
            <w:r>
              <w:t xml:space="preserve">reported /</w:t>
            </w:r>
            <w:r>
              <w:t xml:space="preserve"> </w:t>
            </w:r>
            <w:r>
              <w:rPr>
                <w:i/>
                <w:iCs/>
              </w:rPr>
              <w:t xml:space="preserve">n</w:t>
            </w:r>
            <w:r>
              <w:t xml:space="preserve"> </w:t>
            </w:r>
            <w:r>
              <w:t xml:space="preserve">truly present</w:t>
            </w:r>
          </w:p>
        </w:tc>
        <w:tc>
          <w:tcPr/>
          <w:p>
            <w:pPr>
              <w:pStyle w:val="Compact"/>
            </w:pPr>
            <w:r>
              <w:t xml:space="preserve">silence — a method that reports nothing scores no error</w:t>
            </w:r>
          </w:p>
        </w:tc>
        <w:tc>
          <w:tcPr/>
          <w:p>
            <w:pPr>
              <w:pStyle w:val="Compact"/>
            </w:pPr>
            <w:r>
              <w:t xml:space="preserve">whether what</w:t>
            </w:r>
            <w:r>
              <w:t xml:space="preserve"> </w:t>
            </w:r>
            <w:r>
              <w:rPr>
                <w:i/>
                <w:iCs/>
              </w:rPr>
              <w:t xml:space="preserve">was</w:t>
            </w:r>
            <w:r>
              <w:t xml:space="preserve"> </w:t>
            </w:r>
            <w:r>
              <w:t xml:space="preserve">reported is right</w:t>
            </w:r>
          </w:p>
        </w:tc>
      </w:tr>
      <w:tr>
        <w:tc>
          <w:tcPr/>
          <w:p>
            <w:pPr>
              <w:pStyle w:val="Compact"/>
            </w:pPr>
            <w:r>
              <w:rPr>
                <w:b/>
                <w:bCs/>
              </w:rPr>
              <w:t xml:space="preserve">L2</w:t>
            </w:r>
          </w:p>
        </w:tc>
        <w:tc>
          <w:tcPr/>
          <w:p>
            <w:pPr>
              <w:pStyle w:val="Compact"/>
            </w:pPr>
            <w:r>
              <w:t xml:space="preserve">‖</w:t>
            </w:r>
            <w:r>
              <w:rPr>
                <w:i/>
                <w:iCs/>
              </w:rPr>
              <w:t xml:space="preserve">ŷ</w:t>
            </w:r>
            <w:r>
              <w:t xml:space="preserve"> </w:t>
            </w:r>
            <w:r>
              <w:t xml:space="preserve">−</w:t>
            </w:r>
            <w:r>
              <w:t xml:space="preserve"> </w:t>
            </w:r>
            <w:r>
              <w:rPr>
                <w:i/>
                <w:iCs/>
              </w:rPr>
              <w:t xml:space="preserve">y</w:t>
            </w:r>
            <w:r>
              <w:t xml:space="preserve">‖₂ over reported genomes</w:t>
            </w:r>
          </w:p>
        </w:tc>
        <w:tc>
          <w:tcPr/>
          <w:p>
            <w:pPr>
              <w:pStyle w:val="Compact"/>
            </w:pPr>
            <w:r>
              <w:t xml:space="preserve">Pilea’s own accuracy metric</w:t>
            </w:r>
          </w:p>
        </w:tc>
        <w:tc>
          <w:tcPr/>
          <w:p>
            <w:pPr>
              <w:pStyle w:val="Compact"/>
            </w:pPr>
            <w:r>
              <w:t xml:space="preserve">it</w:t>
            </w:r>
            <w:r>
              <w:t xml:space="preserve"> </w:t>
            </w:r>
            <w:r>
              <w:rPr>
                <w:i/>
                <w:iCs/>
              </w:rPr>
              <w:t xml:space="preserve">rewards silence</w:t>
            </w:r>
            <w:r>
              <w:t xml:space="preserve">: fewer terms, smaller norm</w:t>
            </w:r>
          </w:p>
        </w:tc>
      </w:tr>
      <w:tr>
        <w:tc>
          <w:tcPr/>
          <w:p>
            <w:pPr>
              <w:pStyle w:val="Compact"/>
            </w:pPr>
            <w:r>
              <w:rPr>
                <w:b/>
                <w:bCs/>
              </w:rPr>
              <w:t xml:space="preserve">spurious</w:t>
            </w:r>
          </w:p>
        </w:tc>
        <w:tc>
          <w:tcPr/>
          <w:p>
            <w:pPr>
              <w:pStyle w:val="Compact"/>
            </w:pPr>
            <w:r>
              <w:t xml:space="preserve">genomes reported that are not present</w:t>
            </w:r>
          </w:p>
        </w:tc>
        <w:tc>
          <w:tcPr/>
          <w:p>
            <w:pPr>
              <w:pStyle w:val="Compact"/>
            </w:pPr>
            <w:r>
              <w:t xml:space="preserve">false positives</w:t>
            </w:r>
          </w:p>
        </w:tc>
        <w:tc>
          <w:tcPr/>
          <w:p>
            <w:pPr>
              <w:pStyle w:val="Compact"/>
            </w:pPr>
            <w:r>
              <w:t xml:space="preserve">—</w:t>
            </w:r>
          </w:p>
        </w:tc>
      </w:tr>
    </w:tbl>
    <w:p>
      <w:pPr>
        <w:pStyle w:val="BodyText"/>
      </w:pPr>
      <w:r>
        <w:t xml:space="preserve">Three points of method:</w:t>
      </w:r>
    </w:p>
    <w:p>
      <w:pPr>
        <w:numPr>
          <w:ilvl w:val="0"/>
          <w:numId w:val="1004"/>
        </w:numPr>
      </w:pPr>
      <w:r>
        <w:rPr>
          <w:b/>
          <w:bCs/>
        </w:rPr>
        <w:t xml:space="preserve">Recall and error must be read together.</w:t>
      </w:r>
      <w:r>
        <w:t xml:space="preserve"> </w:t>
      </w:r>
      <w:r>
        <w:t xml:space="preserve">L2 (Pilea’s metric) is computed</w:t>
      </w:r>
      <w:r>
        <w:t xml:space="preserve"> </w:t>
      </w:r>
      <w:r>
        <w:t xml:space="preserve">only over the genomes a tool chose to report, so a tool that reports 2 of 16</w:t>
      </w:r>
      <w:r>
        <w:t xml:space="preserve"> </w:t>
      </w:r>
      <w:r>
        <w:t xml:space="preserve">strains accurately scores better than one that reports all 16 with small</w:t>
      </w:r>
      <w:r>
        <w:t xml:space="preserve"> </w:t>
      </w:r>
      <w:r>
        <w:t xml:space="preserve">errors. Every simulation table here reports recall beside RMSE for that</w:t>
      </w:r>
      <w:r>
        <w:t xml:space="preserve"> </w:t>
      </w:r>
      <w:r>
        <w:t xml:space="preserve">reason, and RMSE (per-genome) is preferred to L2 (per-sample) because L2</w:t>
      </w:r>
      <w:r>
        <w:t xml:space="preserve"> </w:t>
      </w:r>
      <w:r>
        <w:t xml:space="preserve">grows with the number of genomes reported.</w:t>
      </w:r>
    </w:p>
    <w:p>
      <w:pPr>
        <w:numPr>
          <w:ilvl w:val="0"/>
          <w:numId w:val="1004"/>
        </w:numPr>
      </w:pPr>
      <w:r>
        <w:rPr>
          <w:b/>
          <w:bCs/>
        </w:rPr>
        <w:t xml:space="preserve">RMSE and bias are computed against the</w:t>
      </w:r>
      <w:r>
        <w:rPr>
          <w:b/>
          <w:bCs/>
        </w:rPr>
        <w:t xml:space="preserve"> </w:t>
      </w:r>
      <w:r>
        <w:rPr>
          <w:b/>
          <w:bCs/>
          <w:i/>
          <w:iCs/>
        </w:rPr>
        <w:t xml:space="preserve">predicted</w:t>
      </w:r>
      <w:r>
        <w:rPr>
          <w:b/>
          <w:bCs/>
        </w:rPr>
        <w:t xml:space="preserve"> </w:t>
      </w:r>
      <w:r>
        <w:rPr>
          <w:b/>
          <w:bCs/>
        </w:rPr>
        <w:t xml:space="preserve">log₂PTR</w:t>
      </w:r>
      <w:r>
        <w:t xml:space="preserve"> </w:t>
      </w:r>
      <w:r>
        <w:t xml:space="preserve">(λ·C/ln 2,</w:t>
      </w:r>
      <w:r>
        <w:t xml:space="preserve"> </w:t>
      </w:r>
      <w:r>
        <w:t xml:space="preserve">from the source paper’s own measured C + D), not against λ, since λ and</w:t>
      </w:r>
      <w:r>
        <w:t xml:space="preserve"> </w:t>
      </w:r>
      <w:r>
        <w:t xml:space="preserve">log₂PTR differ by a unit-bearing constant. Correlation uses λ directly.</w:t>
      </w:r>
    </w:p>
    <w:p>
      <w:pPr>
        <w:numPr>
          <w:ilvl w:val="0"/>
          <w:numId w:val="1004"/>
        </w:numPr>
      </w:pPr>
      <w:r>
        <w:rPr>
          <w:b/>
          <w:bCs/>
        </w:rPr>
        <w:t xml:space="preserve">A constant output has no correlation.</w:t>
      </w:r>
      <w:r>
        <w:t xml:space="preserve"> </w:t>
      </w:r>
      <w:r>
        <w:t xml:space="preserve">At 0.5× Pilea’s gates-off arm</w:t>
      </w:r>
      <w:r>
        <w:t xml:space="preserve"> </w:t>
      </w:r>
      <w:r>
        <w:t xml:space="preserve">returns log₂PTR = 0 for every sample; Pearson r is undefined there and is</w:t>
      </w:r>
      <w:r>
        <w:t xml:space="preserve"> </w:t>
      </w:r>
      <w:r>
        <w:t xml:space="preserve">reported as absent rather than as zero, which would read as</w:t>
      </w:r>
      <w:r>
        <w:t xml:space="preserve"> </w:t>
      </w:r>
      <w:r>
        <w:t xml:space="preserve">“scored badly”</w:t>
      </w:r>
      <w:r>
        <w:t xml:space="preserve"> </w:t>
      </w:r>
      <w:r>
        <w:t xml:space="preserve">instead of</w:t>
      </w:r>
      <w:r>
        <w:t xml:space="preserve"> </w:t>
      </w:r>
      <w:r>
        <w:t xml:space="preserve">“produced no signal”</w:t>
      </w:r>
      <w:r>
        <w:t xml:space="preserve">.</w:t>
      </w:r>
    </w:p>
    <w:p>
      <w:pPr>
        <w:pStyle w:val="FirstParagraph"/>
      </w:pPr>
      <w:r>
        <w:rPr>
          <w:b/>
          <w:bCs/>
        </w:rPr>
        <w:t xml:space="preserve">Agreement between methods (faecal three-arm).</w:t>
      </w:r>
      <w:r>
        <w:t xml:space="preserve"> </w:t>
      </w:r>
      <w:r>
        <w:t xml:space="preserve">Where two methods estimate</w:t>
      </w:r>
      <w:r>
        <w:t xml:space="preserve"> </w:t>
      </w:r>
      <w:r>
        <w:t xml:space="preserve">the same genome in the same sample, agreement is quantified by:</w:t>
      </w:r>
    </w:p>
    <w:p>
      <w:pPr>
        <w:pStyle w:val="Compact"/>
        <w:numPr>
          <w:ilvl w:val="0"/>
          <w:numId w:val="1005"/>
        </w:numPr>
      </w:pPr>
      <w:r>
        <w:rPr>
          <w:b/>
          <w:bCs/>
        </w:rPr>
        <w:t xml:space="preserve">Bland–Altman</w:t>
      </w:r>
      <w:r>
        <w:t xml:space="preserve"> </w:t>
      </w:r>
      <w:r>
        <w:t xml:space="preserve">— bias = mean(</w:t>
      </w:r>
      <w:r>
        <w:rPr>
          <w:i/>
          <w:iCs/>
        </w:rPr>
        <w:t xml:space="preserve">ŷ</w:t>
      </w:r>
      <w:r>
        <w:t xml:space="preserve"> </w:t>
      </w:r>
      <w:r>
        <w:t xml:space="preserve">−</w:t>
      </w:r>
      <w:r>
        <w:t xml:space="preserve"> </w:t>
      </w:r>
      <w:r>
        <w:rPr>
          <w:i/>
          <w:iCs/>
        </w:rPr>
        <w:t xml:space="preserve">y</w:t>
      </w:r>
      <w:r>
        <w:t xml:space="preserve">) and the 95 % limits of agreement</w:t>
      </w:r>
      <w:r>
        <w:t xml:space="preserve"> </w:t>
      </w:r>
      <w:r>
        <w:t xml:space="preserve">bias ± 1.96·SD of the pairwise differences. Detects systematic offset; a</w:t>
      </w:r>
      <w:r>
        <w:t xml:space="preserve"> </w:t>
      </w:r>
      <w:r>
        <w:t xml:space="preserve">narrow observed dynamic range depresses correlation-based agreement without</w:t>
      </w:r>
      <w:r>
        <w:t xml:space="preserve"> </w:t>
      </w:r>
      <w:r>
        <w:t xml:space="preserve">implying mis-ranking.</w:t>
      </w:r>
    </w:p>
    <w:p>
      <w:pPr>
        <w:pStyle w:val="Compact"/>
        <w:numPr>
          <w:ilvl w:val="0"/>
          <w:numId w:val="1005"/>
        </w:numPr>
      </w:pPr>
      <w:r>
        <w:rPr>
          <w:b/>
          <w:bCs/>
        </w:rPr>
        <w:t xml:space="preserve">CCC</w:t>
      </w:r>
      <w:r>
        <w:t xml:space="preserve"> </w:t>
      </w:r>
      <w:r>
        <w:t xml:space="preserve">— Lin’s concordance correlation coefficient,</w:t>
      </w:r>
      <w:r>
        <w:t xml:space="preserve"> </w:t>
      </w:r>
      <w:r>
        <w:t xml:space="preserve">ρ_c = 2</w:t>
      </w:r>
      <w:r>
        <w:rPr>
          <w:i/>
          <w:iCs/>
        </w:rPr>
        <w:t xml:space="preserve">r</w:t>
      </w:r>
      <w:r>
        <w:t xml:space="preserve">σ_ŷσ_y / (σ_ŷ² + σ_y² + (μ_ŷ − μ_y)²): the Pearson correlation</w:t>
      </w:r>
      <w:r>
        <w:t xml:space="preserve"> </w:t>
      </w:r>
      <w:r>
        <w:t xml:space="preserve">penalised for deviation from the 45° line. Low CCC together with tight</w:t>
      </w:r>
      <w:r>
        <w:t xml:space="preserve"> </w:t>
      </w:r>
      <w:r>
        <w:t xml:space="preserve">limits of agreement indicates dynamic-range compression rather than</w:t>
      </w:r>
      <w:r>
        <w:t xml:space="preserve"> </w:t>
      </w:r>
      <w:r>
        <w:t xml:space="preserve">disagreement.</w:t>
      </w:r>
    </w:p>
    <w:p>
      <w:pPr>
        <w:pStyle w:val="FirstParagraph"/>
      </w:pPr>
      <w:r>
        <w:rPr>
          <w:b/>
          <w:bCs/>
        </w:rPr>
        <w:t xml:space="preserve">Per-anchor efficiency dispersion σ_eff and ICC decomposition.</w:t>
      </w:r>
      <w:r>
        <w:t xml:space="preserve"> </w:t>
      </w:r>
      <w:r>
        <w:t xml:space="preserve">On the Sun</w:t>
      </w:r>
      <w:r>
        <w:t xml:space="preserve"> </w:t>
      </w:r>
      <w:r>
        <w:t xml:space="preserve">data, per-anchor relative counts</w:t>
      </w:r>
      <w:r>
        <w:t xml:space="preserve"> </w:t>
      </w:r>
      <w:r>
        <w:rPr>
          <w:i/>
          <w:iCs/>
        </w:rPr>
        <w:t xml:space="preserve">eᵢ</w:t>
      </w:r>
      <w:r>
        <w:t xml:space="preserve"> </w:t>
      </w:r>
      <w:r>
        <w:t xml:space="preserve">(observed counts normalised by the</w:t>
      </w:r>
      <w:r>
        <w:t xml:space="preserve"> </w:t>
      </w:r>
      <w:r>
        <w:t xml:space="preserve">species mean, per sample) carry a capture-efficiency component beyond Poisson</w:t>
      </w:r>
      <w:r>
        <w:t xml:space="preserve"> </w:t>
      </w:r>
      <w:r>
        <w:t xml:space="preserve">noise; its magnitude is σ_eff, the CV of</w:t>
      </w:r>
      <w:r>
        <w:t xml:space="preserve"> </w:t>
      </w:r>
      <w:r>
        <w:rPr>
          <w:i/>
          <w:iCs/>
        </w:rPr>
        <w:t xml:space="preserve">eᵢ</w:t>
      </w:r>
      <w:r>
        <w:t xml:space="preserve"> </w:t>
      </w:r>
      <w:r>
        <w:t xml:space="preserve">after Poisson correction,</w:t>
      </w:r>
      <w:r>
        <w:t xml:space="preserve"> </w:t>
      </w:r>
      <w:r>
        <w:t xml:space="preserve">estimated per species (§3.5). A variance-components decomposition of</w:t>
      </w:r>
      <w:r>
        <w:t xml:space="preserve"> </w:t>
      </w:r>
      <w:r>
        <w:rPr>
          <w:i/>
          <w:iCs/>
        </w:rPr>
        <w:t xml:space="preserve">eᵢ</w:t>
      </w:r>
      <w:r>
        <w:t xml:space="preserve"> </w:t>
      </w:r>
      <w:r>
        <w:t xml:space="preserve">across the three samples splits the dispersion into a between-anchor component</w:t>
      </w:r>
      <w:r>
        <w:t xml:space="preserve"> </w:t>
      </w:r>
      <w:r>
        <w:t xml:space="preserve">(a stable locus property, correctable by an empirical</w:t>
      </w:r>
      <w:r>
        <w:t xml:space="preserve"> </w:t>
      </w:r>
      <w:r>
        <w:rPr>
          <w:i/>
          <w:iCs/>
        </w:rPr>
        <w:t xml:space="preserve">e_prior</w:t>
      </w:r>
      <w:r>
        <w:t xml:space="preserve">) and a</w:t>
      </w:r>
      <w:r>
        <w:t xml:space="preserve"> </w:t>
      </w:r>
      <w:r>
        <w:t xml:space="preserve">within-anchor component (sample-specific residual); the intraclass correlation</w:t>
      </w:r>
      <w:r>
        <w:t xml:space="preserve"> </w:t>
      </w:r>
      <w:r>
        <w:t xml:space="preserve">ICC = σ²_between / (σ²_between + σ²_within) is the correctable fraction.</w:t>
      </w:r>
      <w:r>
        <w:t xml:space="preserve"> </w:t>
      </w:r>
      <w:r>
        <w:t xml:space="preserve">Because</w:t>
      </w:r>
      <w:r>
        <w:t xml:space="preserve"> </w:t>
      </w:r>
      <w:r>
        <w:rPr>
          <w:i/>
          <w:iCs/>
        </w:rPr>
        <w:t xml:space="preserve">eᵢ</w:t>
      </w:r>
      <w:r>
        <w:t xml:space="preserve"> </w:t>
      </w:r>
      <w:r>
        <w:t xml:space="preserve">is spatially uncorrelated along the genome, window averaging</w:t>
      </w:r>
      <w:r>
        <w:t xml:space="preserve"> </w:t>
      </w:r>
      <w:r>
        <w:t xml:space="preserve">divides the residual by √(anchors per window): σ_eff bounds the window-level</w:t>
      </w:r>
      <w:r>
        <w:t xml:space="preserve"> </w:t>
      </w:r>
      <w:r>
        <w:t xml:space="preserve">excess coefficient of variation, not the fitted PTR directly.</w:t>
      </w:r>
    </w:p>
    <w:p>
      <w:pPr>
        <w:pStyle w:val="BodyText"/>
      </w:pPr>
      <w:r>
        <w:rPr>
          <w:b/>
          <w:bCs/>
        </w:rPr>
        <w:t xml:space="preserve">Computational cost.</w:t>
      </w:r>
      <w:r>
        <w:t xml:space="preserve"> </w:t>
      </w:r>
      <w:r>
        <w:t xml:space="preserve">Wall-clock and peak resident set size are taken from</w:t>
      </w:r>
      <w:r>
        <w:t xml:space="preserve"> </w:t>
      </w:r>
      <w:r>
        <w:rPr>
          <w:rStyle w:val="VerbatimChar"/>
        </w:rPr>
        <w:t xml:space="preserve">/usr/bin/time -l</w:t>
      </w:r>
      <w:r>
        <w:t xml:space="preserve">. On macOS this propagates a grandchild’s</w:t>
      </w:r>
      <w:r>
        <w:t xml:space="preserve"> </w:t>
      </w:r>
      <w:r>
        <w:rPr>
          <w:rStyle w:val="VerbatimChar"/>
        </w:rPr>
        <w:t xml:space="preserve">ru_maxrss</w:t>
      </w:r>
      <w:r>
        <w:t xml:space="preserve"> </w:t>
      </w:r>
      <w:r>
        <w:t xml:space="preserve">(verified explicitly), so the figure includes the Python statistics layer that</w:t>
      </w:r>
      <w:r>
        <w:t xml:space="preserve"> </w:t>
      </w:r>
      <w:r>
        <w:t xml:space="preserve">the Rust binary spawns. Both tools were given 8 threads. Cost is reported per</w:t>
      </w:r>
      <w:r>
        <w:t xml:space="preserve"> </w:t>
      </w:r>
      <w:r>
        <w:t xml:space="preserve">sample, with the one-off index/database build reported separately.</w:t>
      </w:r>
    </w:p>
    <w:p>
      <w:pPr>
        <w:pStyle w:val="BodyText"/>
      </w:pPr>
      <w:r>
        <w:rPr>
          <w:b/>
          <w:bCs/>
        </w:rPr>
        <w:t xml:space="preserve">Uncertainty quantification and analysis provenance.</w:t>
      </w:r>
      <w:r>
        <w:t xml:space="preserve"> </w:t>
      </w:r>
      <w:r>
        <w:t xml:space="preserve">Unless stated</w:t>
      </w:r>
      <w:r>
        <w:t xml:space="preserve"> </w:t>
      </w:r>
      <w:r>
        <w:t xml:space="preserve">otherwise, correlations and fitted slopes are reported with 95% confidence</w:t>
      </w:r>
      <w:r>
        <w:t xml:space="preserve"> </w:t>
      </w:r>
      <w:r>
        <w:t xml:space="preserve">intervals from a media bootstrap: the media are resampled with replacement</w:t>
      </w:r>
      <w:r>
        <w:t xml:space="preserve"> </w:t>
      </w:r>
      <w:r>
        <w:t xml:space="preserve">10,000 times, the statistic is recomputed on each resample, and the interval is</w:t>
      </w:r>
      <w:r>
        <w:t xml:space="preserve"> </w:t>
      </w:r>
      <w:r>
        <w:t xml:space="preserve">the 2.5–97.5% percentile range. Comparisons between arms evaluated on the same</w:t>
      </w:r>
      <w:r>
        <w:t xml:space="preserve"> </w:t>
      </w:r>
      <w:r>
        <w:t xml:space="preserve">cells (e.g. the two landmark sources in F1) use a paired bootstrap resampling</w:t>
      </w:r>
      <w:r>
        <w:t xml:space="preserve"> </w:t>
      </w:r>
      <w:r>
        <w:t xml:space="preserve">the same media for both arms, and are reported as a difference with its</w:t>
      </w:r>
      <w:r>
        <w:t xml:space="preserve"> </w:t>
      </w:r>
      <w:r>
        <w:t xml:space="preserve">bootstrap interval rather than as a hypothesis test. The source × estimator</w:t>
      </w:r>
      <w:r>
        <w:t xml:space="preserve"> </w:t>
      </w:r>
      <w:r>
        <w:t xml:space="preserve">interaction of §4 is tested on the Fisher-z scale as (z_A − z_B) − (z_E − z_C)</w:t>
      </w:r>
      <w:r>
        <w:t xml:space="preserve"> </w:t>
      </w:r>
      <w:r>
        <w:t xml:space="preserve">under the same paired resampling, with media resampled as 48 units — three</w:t>
      </w:r>
      <w:r>
        <w:t xml:space="preserve"> </w:t>
      </w:r>
      <w:r>
        <w:t xml:space="preserve">independent subsampling instances of the full five-arm grid (seeds</w:t>
      </w:r>
      <w:r>
        <w:t xml:space="preserve"> </w:t>
      </w:r>
      <w:r>
        <w:t xml:space="preserve">20260912/20260913 plus the original C1 instance), instances carried together</w:t>
      </w:r>
      <w:r>
        <w:t xml:space="preserve"> </w:t>
      </w:r>
      <w:r>
        <w:t xml:space="preserve">per medium; it is significantly negative at 2×, not significant at 1×, 5× or</w:t>
      </w:r>
      <w:r>
        <w:t xml:space="preserve"> </w:t>
      </w:r>
      <w:r>
        <w:t xml:space="preserve">10×, and untestable at 0.5×, where the gates-off sketch cell is degenerate</w:t>
      </w:r>
      <w:r>
        <w:t xml:space="preserve"> </w:t>
      </w:r>
      <w:r>
        <w:t xml:space="preserve">(data/repro_check/multiseed/INTERACTION_REPORT.md). The Zheng titration, multi-strain</w:t>
      </w:r>
      <w:r>
        <w:t xml:space="preserve"> </w:t>
      </w:r>
      <w:r>
        <w:t xml:space="preserve">simulation, fragmentation protocol and Sun three-arm analysis were</w:t>
      </w:r>
      <w:r>
        <w:t xml:space="preserve"> </w:t>
      </w:r>
      <w:r>
        <w:t xml:space="preserve">pre-specified; the F1–F5 robustness experiments are post-hoc analyses</w:t>
      </w:r>
      <w:r>
        <w:t xml:space="preserve"> </w:t>
      </w:r>
      <w:r>
        <w:t xml:space="preserve">undertaken after internal review, and are labelled as such at first mention.</w:t>
      </w:r>
      <w:r>
        <w:t xml:space="preserve"> </w:t>
      </w:r>
      <w:r>
        <w:t xml:space="preserve">The Zheng-grid numbers of Table 2 were regenerated end-to-end on the HPC</w:t>
      </w:r>
      <w:r>
        <w:t xml:space="preserve"> </w:t>
      </w:r>
      <w:r>
        <w:t xml:space="preserve">pipeline — current committed code, paired-end count tables, all five arms on</w:t>
      </w:r>
      <w:r>
        <w:t xml:space="preserve"> </w:t>
      </w:r>
      <w:r>
        <w:t xml:space="preserve">the same subsampled-read instance (count tables recount byte-identical; the</w:t>
      </w:r>
      <w:r>
        <w:t xml:space="preserve"> </w:t>
      </w:r>
      <w:r>
        <w:t xml:space="preserve">earlier laptop-side instance is archived at</w:t>
      </w:r>
      <w:r>
        <w:t xml:space="preserve"> </w:t>
      </w:r>
      <w:r>
        <w:rPr>
          <w:rStyle w:val="VerbatimChar"/>
        </w:rPr>
        <w:t xml:space="preserve">data/repro_check/results_raw_mac_backup.tsv</w:t>
      </w:r>
      <w:r>
        <w:t xml:space="preserve">; per-arm provenance in</w:t>
      </w:r>
      <w:r>
        <w:t xml:space="preserve"> </w:t>
      </w:r>
      <w:r>
        <w:rPr>
          <w:rStyle w:val="VerbatimChar"/>
        </w:rPr>
        <w:t xml:space="preserve">data/repro_check/PROVENANCE.md</w:t>
      </w:r>
      <w:r>
        <w:t xml:space="preserve">).</w:t>
      </w:r>
    </w:p>
    <w:p>
      <w:r>
        <w:pict>
          <v:rect style="width:0;height:1.5pt" o:hralign="center" o:hrstd="t" o:hr="t"/>
        </w:pict>
      </w:r>
    </w:p>
    <w:bookmarkEnd w:id="41"/>
    <w:bookmarkStart w:id="47" w:name="X66cbbd48b880f7e47956f6817f4c559b1a9d916"/>
    <w:p>
      <w:pPr>
        <w:pStyle w:val="Heading3"/>
      </w:pPr>
      <w:r>
        <w:t xml:space="preserve">6. Landmark-source and robustness experiments (F1–F5)</w:t>
      </w:r>
    </w:p>
    <w:p>
      <w:pPr>
        <w:pStyle w:val="FirstParagraph"/>
      </w:pPr>
      <w:r>
        <w:t xml:space="preserve">All five experiments isolate the</w:t>
      </w:r>
      <w:r>
        <w:t xml:space="preserve"> </w:t>
      </w:r>
      <w:r>
        <w:rPr>
          <w:b/>
          <w:bCs/>
        </w:rPr>
        <w:t xml:space="preserve">landmark source</w:t>
      </w:r>
      <w:r>
        <w:t xml:space="preserve"> </w:t>
      </w:r>
      <w:r>
        <w:t xml:space="preserve">— deterministic 2bRAD</w:t>
      </w:r>
      <w:r>
        <w:t xml:space="preserve"> </w:t>
      </w:r>
      <w:r>
        <w:t xml:space="preserve">anchors vs a density-matched FracMinHash sketch — from the estimator around</w:t>
      </w:r>
      <w:r>
        <w:t xml:space="preserve"> </w:t>
      </w:r>
      <w:r>
        <w:t xml:space="preserve">it. F1 and F2 ask whether accuracy differences survive density matching; F3</w:t>
      </w:r>
      <w:r>
        <w:t xml:space="preserve"> </w:t>
      </w:r>
      <w:r>
        <w:t xml:space="preserve">quantifies the misassignment risk of mismatch-tolerant counting; F4 asks</w:t>
      </w:r>
      <w:r>
        <w:t xml:space="preserve"> </w:t>
      </w:r>
      <w:r>
        <w:t xml:space="preserve">whether the fragmentation results of §3.3 are landmark-agnostic; F5 costs the</w:t>
      </w:r>
      <w:r>
        <w:t xml:space="preserve"> </w:t>
      </w:r>
      <w:r>
        <w:t xml:space="preserve">two sources at GTDB-like scale. Throughout, a matched pair is only ever</w:t>
      </w:r>
      <w:r>
        <w:t xml:space="preserve"> </w:t>
      </w:r>
      <w:r>
        <w:t xml:space="preserve">compared inside the same harness, and cross-harness numbers are never quoted</w:t>
      </w:r>
      <w:r>
        <w:t xml:space="preserve"> </w:t>
      </w:r>
      <w:r>
        <w:t xml:space="preserve">against each other. The historical parity-flag asymmetry between enzyme arms</w:t>
      </w:r>
      <w:r>
        <w:t xml:space="preserve"> </w:t>
      </w:r>
      <w:r>
        <w:t xml:space="preserve">(</w:t>
      </w:r>
      <w:r>
        <w:rPr>
          <w:rStyle w:val="VerbatimChar"/>
        </w:rPr>
        <w:t xml:space="preserve">--windows</w:t>
      </w:r>
      <w:r>
        <w:t xml:space="preserve">) and sketch arms (not) was tested in a symmetric rerun and found</w:t>
      </w:r>
      <w:r>
        <w:t xml:space="preserve"> </w:t>
      </w:r>
      <w:r>
        <w:t xml:space="preserve">to be a no-op in the current code — the flag is parsed but never consumed, and</w:t>
      </w:r>
      <w:r>
        <w:t xml:space="preserve"> </w:t>
      </w:r>
      <w:r>
        <w:t xml:space="preserve">255/255 paired outputs are byte-identical (</w:t>
      </w:r>
      <w:r>
        <w:rPr>
          <w:rStyle w:val="VerbatimChar"/>
        </w:rPr>
        <w:t xml:space="preserve">data/f1_symm/</w:t>
      </w:r>
      <w:r>
        <w:t xml:space="preserve">) — so the harness is</w:t>
      </w:r>
      <w:r>
        <w:t xml:space="preserve"> </w:t>
      </w:r>
      <w:r>
        <w:t xml:space="preserve">symmetric in effect.</w:t>
      </w:r>
    </w:p>
    <w:bookmarkStart w:id="42" w:name="density-matching-on-the-zheng-grid-f1"/>
    <w:p>
      <w:pPr>
        <w:pStyle w:val="Heading4"/>
      </w:pPr>
      <w:r>
        <w:t xml:space="preserve">6.1 Density matching on the Zheng grid (F1)</w:t>
      </w:r>
    </w:p>
    <w:p>
      <w:pPr>
        <w:pStyle w:val="FirstParagraph"/>
      </w:pPr>
      <w:r>
        <w:rPr>
          <w:b/>
          <w:bCs/>
        </w:rPr>
        <w:t xml:space="preserve">Purpose.</w:t>
      </w:r>
      <w:r>
        <w:t xml:space="preserve"> </w:t>
      </w:r>
      <w:r>
        <w:t xml:space="preserve">Test whether the anchor-vs-sketch accuracy gap survives once</w:t>
      </w:r>
      <w:r>
        <w:t xml:space="preserve"> </w:t>
      </w:r>
      <w:r>
        <w:t xml:space="preserve">landmark density is matched — i.e. whether the panel’s advantage is density or</w:t>
      </w:r>
      <w:r>
        <w:t xml:space="preserve"> </w:t>
      </w:r>
      <w:r>
        <w:t xml:space="preserve">structure.</w:t>
      </w:r>
    </w:p>
    <w:p>
      <w:pPr>
        <w:pStyle w:val="BodyText"/>
      </w:pPr>
      <w:r>
        <w:rPr>
          <w:b/>
          <w:bCs/>
        </w:rPr>
        <w:t xml:space="preserve">Inputs.</w:t>
      </w:r>
      <w:r>
        <w:t xml:space="preserve"> </w:t>
      </w:r>
      <w:r>
        <w:t xml:space="preserve">The Zheng grid (§3.1) at 0.5–10× nominal coverage, counted from</w:t>
      </w:r>
      <w:r>
        <w:t xml:space="preserve"> </w:t>
      </w:r>
      <w:r>
        <w:t xml:space="preserve">single-end reads in this harness (the committed grid of §2/Table 2 is</w:t>
      </w:r>
      <w:r>
        <w:t xml:space="preserve"> </w:t>
      </w:r>
      <w:r>
        <w:t xml:space="preserve">paired-end; the consequences are quantified in §4).</w:t>
      </w:r>
    </w:p>
    <w:p>
      <w:pPr>
        <w:pStyle w:val="BodyText"/>
      </w:pPr>
      <w:r>
        <w:rPr>
          <w:b/>
          <w:bCs/>
        </w:rPr>
        <w:t xml:space="preserve">Arms.</w:t>
      </w:r>
      <w:r>
        <w:t xml:space="preserve"> </w:t>
      </w:r>
      <w:r>
        <w:t xml:space="preserve">Panel arms use nested enzyme subsets of increasing density</w:t>
      </w:r>
      <w:r>
        <w:t xml:space="preserve"> </w:t>
      </w:r>
      <w:r>
        <w:t xml:space="preserve">(k2/k4/k8/k16); sketch arms use Pilea FracMinHash with the scale chosen so</w:t>
      </w:r>
      <w:r>
        <w:t xml:space="preserve"> </w:t>
      </w:r>
      <w:r>
        <w:t xml:space="preserve">that landmarks per Mb agree with the matched panel arm within ≈2 %</w:t>
      </w:r>
      <w:r>
        <w:t xml:space="preserve"> </w:t>
      </w:r>
      <w:r>
        <w:t xml:space="preserve">(s268/s184/s123/s104 against k2/k4/k8/k16), plus two over-density references</w:t>
      </w:r>
      <w:r>
        <w:t xml:space="preserve"> </w:t>
      </w:r>
      <w:r>
        <w:t xml:space="preserve">(s30/s60, 3.5×/1.8× panel density) as controls. FMH counts are rewritten into</w:t>
      </w:r>
      <w:r>
        <w:t xml:space="preserve"> </w:t>
      </w:r>
      <w:r>
        <w:t xml:space="preserve">armE count tables and pass through the sk2bGrow estimator (§4).</w:t>
      </w:r>
    </w:p>
    <w:p>
      <w:pPr>
        <w:pStyle w:val="BodyText"/>
      </w:pPr>
      <w:r>
        <w:rPr>
          <w:b/>
          <w:bCs/>
        </w:rPr>
        <w:t xml:space="preserve">Outputs.</w:t>
      </w:r>
      <w:r>
        <w:t xml:space="preserve"> </w:t>
      </w:r>
      <w:r>
        <w:t xml:space="preserve">Pearson r per (arm, depth) on the four matched pairs;</w:t>
      </w:r>
      <w:r>
        <w:t xml:space="preserve"> </w:t>
      </w:r>
      <w:r>
        <w:t xml:space="preserve">per-window landmark counts and detection fraction; per-cell failure cause.</w:t>
      </w:r>
    </w:p>
    <w:bookmarkEnd w:id="42"/>
    <w:bookmarkStart w:id="43" w:name="gc-sweep-f2"/>
    <w:p>
      <w:pPr>
        <w:pStyle w:val="Heading4"/>
      </w:pPr>
      <w:r>
        <w:t xml:space="preserve">6.2 GC sweep (F2)</w:t>
      </w:r>
    </w:p>
    <w:p>
      <w:pPr>
        <w:pStyle w:val="FirstParagraph"/>
      </w:pPr>
      <w:r>
        <w:rPr>
          <w:b/>
          <w:bCs/>
        </w:rPr>
        <w:t xml:space="preserve">Purpose.</w:t>
      </w:r>
      <w:r>
        <w:t xml:space="preserve"> </w:t>
      </w:r>
      <w:r>
        <w:t xml:space="preserve">Measure panel anchor density and PTR accuracy as functions of</w:t>
      </w:r>
      <w:r>
        <w:t xml:space="preserve"> </w:t>
      </w:r>
      <w:r>
        <w:t xml:space="preserve">genome GC content.</w:t>
      </w:r>
    </w:p>
    <w:p>
      <w:pPr>
        <w:pStyle w:val="BodyText"/>
      </w:pPr>
      <w:r>
        <w:rPr>
          <w:b/>
          <w:bCs/>
        </w:rPr>
        <w:t xml:space="preserve">Inputs.</w:t>
      </w:r>
      <w:r>
        <w:t xml:space="preserve"> </w:t>
      </w:r>
      <w:r>
        <w:t xml:space="preserve">The 18 genomes of §3.7. Reads come from a purpose-built</w:t>
      </w:r>
      <w:r>
        <w:t xml:space="preserve"> </w:t>
      </w:r>
      <w:r>
        <w:t xml:space="preserve">planted-gradient simulator: the reference simulator is count-level Monte</w:t>
      </w:r>
      <w:r>
        <w:t xml:space="preserve"> </w:t>
      </w:r>
      <w:r>
        <w:t xml:space="preserve">Carlo with no read output, so a read-level simulator was written to the same</w:t>
      </w:r>
      <w:r>
        <w:t xml:space="preserve"> </w:t>
      </w:r>
      <w:r>
        <w:t xml:space="preserve">model — 150 bp single-end, no sequencing error, GC-neutral, 50 %</w:t>
      </w:r>
      <w:r>
        <w:t xml:space="preserve"> </w:t>
      </w:r>
      <w:r>
        <w:t xml:space="preserve">reverse-complement; log₂ copy(</w:t>
      </w:r>
      <w:r>
        <w:rPr>
          <w:i/>
          <w:iCs/>
        </w:rPr>
        <w:t xml:space="preserve">p</w:t>
      </w:r>
      <w:r>
        <w:t xml:space="preserve">) = −log₂PTR·dist(</w:t>
      </w:r>
      <w:r>
        <w:rPr>
          <w:i/>
          <w:iCs/>
        </w:rPr>
        <w:t xml:space="preserve">p</w:t>
      </w:r>
      <w:r>
        <w:t xml:space="preserve">, ori)/(</w:t>
      </w:r>
      <w:r>
        <w:rPr>
          <w:i/>
          <w:iCs/>
        </w:rPr>
        <w:t xml:space="preserve">L</w:t>
      </w:r>
      <w:r>
        <w:t xml:space="preserve">/2) with the</w:t>
      </w:r>
      <w:r>
        <w:t xml:space="preserve"> </w:t>
      </w:r>
      <w:r>
        <w:t xml:space="preserve">origin planted at</w:t>
      </w:r>
      <w:r>
        <w:t xml:space="preserve"> </w:t>
      </w:r>
      <w:r>
        <w:rPr>
          <w:i/>
          <w:iCs/>
        </w:rPr>
        <w:t xml:space="preserve">L</w:t>
      </w:r>
      <w:r>
        <w:t xml:space="preserve">/2; depth</w:t>
      </w:r>
      <w:r>
        <w:t xml:space="preserve"> </w:t>
      </w:r>
      <w:r>
        <w:rPr>
          <w:i/>
          <w:iCs/>
        </w:rPr>
        <w:t xml:space="preserve">d</w:t>
      </w:r>
      <w:r>
        <w:t xml:space="preserve"> </w:t>
      </w:r>
      <w:r>
        <w:t xml:space="preserve">is the mean per-base depth over the</w:t>
      </w:r>
      <w:r>
        <w:t xml:space="preserve"> </w:t>
      </w:r>
      <w:r>
        <w:t xml:space="preserve">terminus half; start positions are drawn copy-weighted, an inhomogeneous</w:t>
      </w:r>
      <w:r>
        <w:t xml:space="preserve"> </w:t>
      </w:r>
      <w:r>
        <w:t xml:space="preserve">Poisson process with shot noise included.</w:t>
      </w:r>
    </w:p>
    <w:p>
      <w:pPr>
        <w:pStyle w:val="BodyText"/>
      </w:pPr>
      <w:r>
        <w:rPr>
          <w:b/>
          <w:bCs/>
        </w:rPr>
        <w:t xml:space="preserve">Grid.</w:t>
      </w:r>
      <w:r>
        <w:t xml:space="preserve"> </w:t>
      </w:r>
      <w:r>
        <w:t xml:space="preserve">planted log₂PTR ∈ {0.5, 1.0, 1.5, 2.0} × 2 seeds (n = 8 truth</w:t>
      </w:r>
      <w:r>
        <w:t xml:space="preserve"> </w:t>
      </w:r>
      <w:r>
        <w:t xml:space="preserve">replicates per cell) × depths {0.5, 1, 2, 5}× × arms {panel k8, panel k16,</w:t>
      </w:r>
      <w:r>
        <w:t xml:space="preserve"> </w:t>
      </w:r>
      <w:r>
        <w:t xml:space="preserve">FMH matched to k8, FMH matched to k16}. The matching scale is recomputed per</w:t>
      </w:r>
      <w:r>
        <w:t xml:space="preserve"> </w:t>
      </w:r>
      <w:r>
        <w:t xml:space="preserve">genome from its measured anchor density, scale = round(</w:t>
      </w:r>
      <w:r>
        <w:rPr>
          <w:i/>
          <w:iCs/>
        </w:rPr>
        <w:t xml:space="preserve">L</w:t>
      </w:r>
      <w:r>
        <w:t xml:space="preserve">/n_anchors), and</w:t>
      </w:r>
      <w:r>
        <w:t xml:space="preserve"> </w:t>
      </w:r>
      <w:r>
        <w:t xml:space="preserve">the matched FMH density agrees with the panel within ≤4 %.</w:t>
      </w:r>
    </w:p>
    <w:p>
      <w:pPr>
        <w:pStyle w:val="BodyText"/>
      </w:pPr>
      <w:r>
        <w:rPr>
          <w:b/>
          <w:bCs/>
        </w:rPr>
        <w:t xml:space="preserve">Outputs.</w:t>
      </w:r>
      <w:r>
        <w:t xml:space="preserve"> </w:t>
      </w:r>
      <w:r>
        <w:t xml:space="preserve">r/RMSE/slope per GC band and depth; density per arm per genome</w:t>
      </w:r>
      <w:r>
        <w:t xml:space="preserve"> </w:t>
      </w:r>
      <w:r>
        <w:t xml:space="preserve">(landmarks/Mb).</w:t>
      </w:r>
    </w:p>
    <w:bookmarkEnd w:id="43"/>
    <w:bookmarkStart w:id="44" w:name="mismatch-tolerance-and-misassignment-f3"/>
    <w:p>
      <w:pPr>
        <w:pStyle w:val="Heading4"/>
      </w:pPr>
      <w:r>
        <w:t xml:space="preserve">6.3 Mismatch tolerance and misassignment (F3)</w:t>
      </w:r>
    </w:p>
    <w:p>
      <w:pPr>
        <w:pStyle w:val="FirstParagraph"/>
      </w:pPr>
      <w:r>
        <w:rPr>
          <w:b/>
          <w:bCs/>
        </w:rPr>
        <w:t xml:space="preserve">Purpose.</w:t>
      </w:r>
      <w:r>
        <w:t xml:space="preserve"> </w:t>
      </w:r>
      <w:r>
        <w:t xml:space="preserve">Quantify the risk that mismatch-tolerant counting credits an</w:t>
      </w:r>
      <w:r>
        <w:t xml:space="preserve"> </w:t>
      </w:r>
      <w:r>
        <w:t xml:space="preserve">observation to the wrong landmark.</w:t>
      </w:r>
    </w:p>
    <w:p>
      <w:pPr>
        <w:pStyle w:val="BodyText"/>
      </w:pPr>
      <w:r>
        <w:rPr>
          <w:b/>
          <w:bCs/>
        </w:rPr>
        <w:t xml:space="preserve">Census.</w:t>
      </w:r>
      <w:r>
        <w:t xml:space="preserve"> </w:t>
      </w:r>
      <w:r>
        <w:t xml:space="preserve">For each of the 18 F2 genomes, every pair of indexed anchors in</w:t>
      </w:r>
      <w:r>
        <w:t xml:space="preserve"> </w:t>
      </w:r>
      <w:r>
        <w:t xml:space="preserve">the same tag-length group at Hamming distance 1 or 2 is enumerated</w:t>
      </w:r>
      <w:r>
        <w:t xml:space="preserve"> </w:t>
      </w:r>
      <w:r>
        <w:t xml:space="preserve">(distance-0 pairs are the multi-copy families themselves, §1.1). Multi-copy,</w:t>
      </w:r>
      <w:r>
        <w:t xml:space="preserve"> </w:t>
      </w:r>
      <w:r>
        <w:t xml:space="preserve">shared and non-chromosomal anchors are included, because the counting layer</w:t>
      </w:r>
      <w:r>
        <w:t xml:space="preserve"> </w:t>
      </w:r>
      <w:r>
        <w:t xml:space="preserve">can retrieve them; each pair is classified uu / um / mm by uniqueness flags</w:t>
      </w:r>
      <w:r>
        <w:t xml:space="preserve"> </w:t>
      </w:r>
      <w:r>
        <w:t xml:space="preserve">(both unique / exactly one unique / neither).</w:t>
      </w:r>
    </w:p>
    <w:p>
      <w:pPr>
        <w:pStyle w:val="BodyText"/>
      </w:pPr>
      <w:r>
        <w:rPr>
          <w:b/>
          <w:bCs/>
        </w:rPr>
        <w:t xml:space="preserve">Empirical, enzyme panel.</w:t>
      </w:r>
      <w:r>
        <w:t xml:space="preserve"> </w:t>
      </w:r>
      <w:r>
        <w:t xml:space="preserve">Simulated reads — the F2 simulator with the</w:t>
      </w:r>
      <w:r>
        <w:t xml:space="preserve"> </w:t>
      </w:r>
      <w:r>
        <w:t xml:space="preserve">gradient removed (misassignment needs no gradient), 0.5×, i.i.d. substitutions</w:t>
      </w:r>
      <w:r>
        <w:t xml:space="preserve"> </w:t>
      </w:r>
      <w:r>
        <w:t xml:space="preserve">at 0, 0.1 and 1 %, no indels, no quality bias — are counted by the real Rust</w:t>
      </w:r>
      <w:r>
        <w:t xml:space="preserve"> </w:t>
      </w:r>
      <w:r>
        <w:t xml:space="preserve">counting layer at</w:t>
      </w:r>
      <w:r>
        <w:t xml:space="preserve"> </w:t>
      </w:r>
      <w:r>
        <w:rPr>
          <w:rStyle w:val="VerbatimChar"/>
        </w:rPr>
        <w:t xml:space="preserve">--max-mismatch 0/1/2</w:t>
      </w:r>
      <w:r>
        <w:t xml:space="preserve">. A Python replica of the full</w:t>
      </w:r>
      <w:r>
        <w:t xml:space="preserve"> </w:t>
      </w:r>
      <w:r>
        <w:t xml:space="preserve">counting rules (exact-first suppression, seed ranges, best-distance tie</w:t>
      </w:r>
      <w:r>
        <w:t xml:space="preserve"> </w:t>
      </w:r>
      <w:r>
        <w:t xml:space="preserve">handling, multi-mapper retention) attributes each recorded observation — read</w:t>
      </w:r>
      <w:r>
        <w:t xml:space="preserve"> </w:t>
      </w:r>
      <w:r>
        <w:t xml:space="preserve">names encode the true origin — as correct / wrong_tie / wrong_only. The</w:t>
      </w:r>
      <w:r>
        <w:t xml:space="preserve"> </w:t>
      </w:r>
      <w:r>
        <w:t xml:space="preserve">replica is validated anchor-exact against the Rust output on every cell</w:t>
      </w:r>
      <w:r>
        <w:t xml:space="preserve"> </w:t>
      </w:r>
      <w:r>
        <w:t xml:space="preserve">before use.</w:t>
      </w:r>
    </w:p>
    <w:p>
      <w:pPr>
        <w:pStyle w:val="BodyText"/>
      </w:pPr>
      <w:r>
        <w:rPr>
          <w:b/>
          <w:bCs/>
        </w:rPr>
        <w:t xml:space="preserve">Sketch arm, stated plainly.</w:t>
      </w:r>
      <w:r>
        <w:t xml:space="preserve"> </w:t>
      </w:r>
      <w:r>
        <w:t xml:space="preserve">sk2bGrow has no sketch counting mode in the</w:t>
      </w:r>
      <w:r>
        <w:t xml:space="preserve"> </w:t>
      </w:r>
      <w:r>
        <w:t xml:space="preserve">CLI, so the FMH arm is a</w:t>
      </w:r>
      <w:r>
        <w:t xml:space="preserve"> </w:t>
      </w:r>
      <w:r>
        <w:rPr>
          <w:b/>
          <w:bCs/>
        </w:rPr>
        <w:t xml:space="preserve">rule-level simulation</w:t>
      </w:r>
      <w:r>
        <w:t xml:space="preserve">: the same counting rules</w:t>
      </w:r>
      <w:r>
        <w:t xml:space="preserve"> </w:t>
      </w:r>
      <w:r>
        <w:t xml:space="preserve">applied to the k16-matched sketch keys over a full</w:t>
      </w:r>
      <w:r>
        <w:t xml:space="preserve"> </w:t>
      </w:r>
      <w:r>
        <w:rPr>
          <w:i/>
          <w:iCs/>
        </w:rPr>
        <w:t xml:space="preserve">k</w:t>
      </w:r>
      <w:r>
        <w:t xml:space="preserve"> </w:t>
      </w:r>
      <w:r>
        <w:t xml:space="preserve">= 31 sliding window,</w:t>
      </w:r>
      <w:r>
        <w:t xml:space="preserve"> </w:t>
      </w:r>
      <w:r>
        <w:t xml:space="preserve">with no motif gate — mirroring Pilea’s per-read k-mer counting. It answers</w:t>
      </w:r>
      <w:r>
        <w:t xml:space="preserve"> </w:t>
      </w:r>
      <w:r>
        <w:t xml:space="preserve">what</w:t>
      </w:r>
      <w:r>
        <w:t xml:space="preserve"> </w:t>
      </w:r>
      <w:r>
        <w:rPr>
          <w:i/>
          <w:iCs/>
        </w:rPr>
        <w:t xml:space="preserve">would</w:t>
      </w:r>
      <w:r>
        <w:t xml:space="preserve"> </w:t>
      </w:r>
      <w:r>
        <w:t xml:space="preserve">happen were sketch counting to accept</w:t>
      </w:r>
      <w:r>
        <w:t xml:space="preserve"> </w:t>
      </w:r>
      <w:r>
        <w:rPr>
          <w:i/>
          <w:iCs/>
        </w:rPr>
        <w:t xml:space="preserve">m</w:t>
      </w:r>
      <w:r>
        <w:t xml:space="preserve"> </w:t>
      </w:r>
      <w:r>
        <w:t xml:space="preserve">mismatches, not what</w:t>
      </w:r>
      <w:r>
        <w:t xml:space="preserve"> </w:t>
      </w:r>
      <w:r>
        <w:t xml:space="preserve">any shipped tool does.</w:t>
      </w:r>
    </w:p>
    <w:p>
      <w:pPr>
        <w:pStyle w:val="BodyText"/>
      </w:pPr>
      <w:r>
        <w:rPr>
          <w:b/>
          <w:bCs/>
        </w:rPr>
        <w:t xml:space="preserve">Outputs.</w:t>
      </w:r>
      <w:r>
        <w:t xml:space="preserve"> </w:t>
      </w:r>
      <w:r>
        <w:t xml:space="preserve">Census pairs per 1,000 landmarks (uu/um/mm × d ≤ 1 / d ≤ 2);</w:t>
      </w:r>
      <w:r>
        <w:t xml:space="preserve"> </w:t>
      </w:r>
      <w:r>
        <w:t xml:space="preserve">misassigned fraction of recorded observations per (mode, error rate,</w:t>
      </w:r>
      <w:r>
        <w:t xml:space="preserve"> </w:t>
      </w:r>
      <w:r>
        <w:rPr>
          <w:i/>
          <w:iCs/>
        </w:rPr>
        <w:t xml:space="preserve">m</w:t>
      </w:r>
      <w:r>
        <w:t xml:space="preserve">).</w:t>
      </w:r>
    </w:p>
    <w:bookmarkEnd w:id="44"/>
    <w:bookmarkStart w:id="45" w:name="fragmentation-sketch-f4"/>
    <w:p>
      <w:pPr>
        <w:pStyle w:val="Heading4"/>
      </w:pPr>
      <w:r>
        <w:t xml:space="preserve">6.4 Fragmentation × sketch (F4)</w:t>
      </w:r>
    </w:p>
    <w:p>
      <w:pPr>
        <w:pStyle w:val="FirstParagraph"/>
      </w:pPr>
      <w:r>
        <w:rPr>
          <w:b/>
          <w:bCs/>
        </w:rPr>
        <w:t xml:space="preserve">Purpose.</w:t>
      </w:r>
      <w:r>
        <w:t xml:space="preserve"> </w:t>
      </w:r>
      <w:r>
        <w:t xml:space="preserve">Two questions: does the coordinate-fit collapse of §3.3 recur</w:t>
      </w:r>
      <w:r>
        <w:t xml:space="preserve"> </w:t>
      </w:r>
      <w:r>
        <w:t xml:space="preserve">identically on sketch landmarks, and can contigs be scaffolded on FMH</w:t>
      </w:r>
      <w:r>
        <w:t xml:space="preserve"> </w:t>
      </w:r>
      <w:r>
        <w:t xml:space="preserve">landmarks as well as on enzyme tags?</w:t>
      </w:r>
    </w:p>
    <w:p>
      <w:pPr>
        <w:pStyle w:val="BodyText"/>
      </w:pPr>
      <w:r>
        <w:rPr>
          <w:b/>
          <w:bCs/>
        </w:rPr>
        <w:t xml:space="preserve">Inputs.</w:t>
      </w:r>
      <w:r>
        <w:t xml:space="preserve"> </w:t>
      </w:r>
      <w:r>
        <w:t xml:space="preserve">Three genomes from the F2 set (</w:t>
      </w:r>
      <w:r>
        <w:rPr>
          <w:i/>
          <w:iCs/>
        </w:rPr>
        <w:t xml:space="preserve">E. coli</w:t>
      </w:r>
      <w:r>
        <w:t xml:space="preserve"> </w:t>
      </w:r>
      <w:r>
        <w:t xml:space="preserve">50.8 % GC,</w:t>
      </w:r>
      <w:r>
        <w:t xml:space="preserve"> </w:t>
      </w:r>
      <w:r>
        <w:rPr>
          <w:i/>
          <w:iCs/>
        </w:rPr>
        <w:t xml:space="preserve">B. subtilis</w:t>
      </w:r>
      <w:r>
        <w:t xml:space="preserve"> </w:t>
      </w:r>
      <w:r>
        <w:t xml:space="preserve">43.5 %,</w:t>
      </w:r>
      <w:r>
        <w:t xml:space="preserve"> </w:t>
      </w:r>
      <w:r>
        <w:rPr>
          <w:i/>
          <w:iCs/>
        </w:rPr>
        <w:t xml:space="preserve">P. aeruginosa</w:t>
      </w:r>
      <w:r>
        <w:t xml:space="preserve"> </w:t>
      </w:r>
      <w:r>
        <w:t xml:space="preserve">65.3 %). The F2 genomes are 3–4 contigs and are first</w:t>
      </w:r>
      <w:r>
        <w:t xml:space="preserve"> </w:t>
      </w:r>
      <w:r>
        <w:t xml:space="preserve">concatenated into a single pseudo-chromosome (the index’s coordinate system),</w:t>
      </w:r>
      <w:r>
        <w:t xml:space="preserve"> </w:t>
      </w:r>
      <w:r>
        <w:t xml:space="preserve">then fragmented with the §3.3 protocol (100 lognormal contigs, shuffled,</w:t>
      </w:r>
      <w:r>
        <w:t xml:space="preserve"> </w:t>
      </w:r>
      <w:r>
        <w:t xml:space="preserve">independently reverse-complemented, seed 0).</w:t>
      </w:r>
      <w:r>
        <w:t xml:space="preserve"> </w:t>
      </w:r>
      <w:r>
        <w:rPr>
          <w:i/>
          <w:iCs/>
        </w:rPr>
        <w:t xml:space="preserve">P. aeruginosa</w:t>
      </w:r>
      <w:r>
        <w:t xml:space="preserve"> </w:t>
      </w:r>
      <w:r>
        <w:t xml:space="preserve">has no close</w:t>
      </w:r>
      <w:r>
        <w:t xml:space="preserve"> </w:t>
      </w:r>
      <w:r>
        <w:t xml:space="preserve">sister in the set, so its cross-strain scaffold reference is a</w:t>
      </w:r>
      <w:r>
        <w:t xml:space="preserve"> </w:t>
      </w:r>
      <w:r>
        <w:rPr>
          <w:b/>
          <w:bCs/>
        </w:rPr>
        <w:t xml:space="preserve">synthetic</w:t>
      </w:r>
      <w:r>
        <w:rPr>
          <w:b/>
          <w:bCs/>
        </w:rPr>
        <w:t xml:space="preserve"> </w:t>
      </w:r>
      <w:r>
        <w:rPr>
          <w:b/>
          <w:bCs/>
        </w:rPr>
        <w:t xml:space="preserve">0.1 %-divergence SNP mutant</w:t>
      </w:r>
      <w:r>
        <w:t xml:space="preserve"> </w:t>
      </w:r>
      <w:r>
        <w:t xml:space="preserve">(7,534 SNPs, fixed seed, labelled synthetic);</w:t>
      </w:r>
      <w:r>
        <w:t xml:space="preserve"> </w:t>
      </w:r>
      <w:r>
        <w:t xml:space="preserve">the other two use real sister species with large-scale rearrangements. Reads</w:t>
      </w:r>
      <w:r>
        <w:t xml:space="preserve"> </w:t>
      </w:r>
      <w:r>
        <w:t xml:space="preserve">are the F2 simulated FASTQ reused: planted log₂PTR ∈ {0.5, 1.0, 2.0} × 2</w:t>
      </w:r>
      <w:r>
        <w:t xml:space="preserve"> </w:t>
      </w:r>
      <w:r>
        <w:t xml:space="preserve">seeds × {1, 5}×, n = 6 per (genome, condition, depth).</w:t>
      </w:r>
    </w:p>
    <w:p>
      <w:pPr>
        <w:pStyle w:val="BodyText"/>
      </w:pPr>
      <w:r>
        <w:rPr>
          <w:b/>
          <w:bCs/>
        </w:rPr>
        <w:t xml:space="preserve">Arms and conditions.</w:t>
      </w:r>
      <w:r>
        <w:t xml:space="preserve"> </w:t>
      </w:r>
      <w:r>
        <w:t xml:space="preserve">Enzyme arm: sk2bGrow counting at C1 parity; sketch</w:t>
      </w:r>
      <w:r>
        <w:t xml:space="preserve"> </w:t>
      </w:r>
      <w:r>
        <w:t xml:space="preserve">arm: Pilea-interpreted FMH counts at the k16-matched scale at armE parity.</w:t>
      </w:r>
      <w:r>
        <w:t xml:space="preserve"> </w:t>
      </w:r>
      <w:r>
        <w:t xml:space="preserve">Reference conditions as in §3.3: complete, frag, scafSelf, scafRel.</w:t>
      </w:r>
    </w:p>
    <w:p>
      <w:pPr>
        <w:pStyle w:val="BodyText"/>
      </w:pPr>
      <w:r>
        <w:rPr>
          <w:b/>
          <w:bCs/>
        </w:rPr>
        <w:t xml:space="preserve">Sketch scaffolding, stated plainly.</w:t>
      </w:r>
      <w:r>
        <w:t xml:space="preserve"> </w:t>
      </w:r>
      <w:r>
        <w:t xml:space="preserve">The shipped</w:t>
      </w:r>
      <w:r>
        <w:t xml:space="preserve"> </w:t>
      </w:r>
      <w:r>
        <w:rPr>
          <w:rStyle w:val="VerbatimChar"/>
        </w:rPr>
        <w:t xml:space="preserve">sk2bgrow scaffold</w:t>
      </w:r>
      <w:r>
        <w:t xml:space="preserve"> </w:t>
      </w:r>
      <w:r>
        <w:t xml:space="preserve">digests enzyme tags only; the FMH arm therefore runs a</w:t>
      </w:r>
      <w:r>
        <w:t xml:space="preserve"> </w:t>
      </w:r>
      <w:r>
        <w:rPr>
          <w:b/>
          <w:bCs/>
        </w:rPr>
        <w:t xml:space="preserve">1:1 Python port of</w:t>
      </w:r>
      <w:r>
        <w:rPr>
          <w:b/>
          <w:bCs/>
        </w:rPr>
        <w:t xml:space="preserve"> </w:t>
      </w:r>
      <w:r>
        <w:rPr>
          <w:b/>
          <w:bCs/>
        </w:rPr>
        <w:t xml:space="preserve">the placement algorithm</w:t>
      </w:r>
      <w:r>
        <w:t xml:space="preserve"> </w:t>
      </w:r>
      <w:r>
        <w:t xml:space="preserve">(</w:t>
      </w:r>
      <w:r>
        <w:rPr>
          <w:rStyle w:val="VerbatimChar"/>
        </w:rPr>
        <w:t xml:space="preserve">scaffold.rs</w:t>
      </w:r>
      <w:r>
        <w:t xml:space="preserve">) onto Pilea FMH keys — same</w:t>
      </w:r>
      <w:r>
        <w:t xml:space="preserve"> </w:t>
      </w:r>
      <w:r>
        <w:t xml:space="preserve">shared-tag mapping, Kendall-vote orientation, median start placement,</w:t>
      </w:r>
      <w:r>
        <w:t xml:space="preserve"> </w:t>
      </w:r>
      <w:r>
        <w:t xml:space="preserve">min_tags = 3, min_concordance = 0.8, same output schema — so downstream</w:t>
      </w:r>
      <w:r>
        <w:t xml:space="preserve"> </w:t>
      </w:r>
      <w:r>
        <w:t xml:space="preserve">scoring and pseudo-contig rebuild are unchanged. Sketch scaffolding here is a</w:t>
      </w:r>
      <w:r>
        <w:t xml:space="preserve"> </w:t>
      </w:r>
      <w:r>
        <w:t xml:space="preserve">port, not the shipped binary; its correctness is supported by the near-perfect</w:t>
      </w:r>
      <w:r>
        <w:t xml:space="preserve"> </w:t>
      </w:r>
      <w:r>
        <w:t xml:space="preserve">self-arm placements.</w:t>
      </w:r>
    </w:p>
    <w:p>
      <w:pPr>
        <w:pStyle w:val="BodyText"/>
      </w:pPr>
      <w:r>
        <w:rPr>
          <w:b/>
          <w:bCs/>
        </w:rPr>
        <w:t xml:space="preserve">Permutation null.</w:t>
      </w:r>
      <w:r>
        <w:t xml:space="preserve"> </w:t>
      </w:r>
      <w:r>
        <w:t xml:space="preserve">Whether an estimate on fragmented references exceeds</w:t>
      </w:r>
      <w:r>
        <w:t xml:space="preserve"> </w:t>
      </w:r>
      <w:r>
        <w:t xml:space="preserve">chance is judged by shuffling window positions and refitting the identical</w:t>
      </w:r>
      <w:r>
        <w:t xml:space="preserve"> </w:t>
      </w:r>
      <w:r>
        <w:t xml:space="preserve">V-fit</w:t>
      </w:r>
      <w:r>
        <w:t xml:space="preserve"> </w:t>
      </w:r>
      <w:r>
        <w:rPr>
          <w:b/>
          <w:bCs/>
        </w:rPr>
        <w:t xml:space="preserve">200 times</w:t>
      </w:r>
      <w:r>
        <w:t xml:space="preserve"> </w:t>
      </w:r>
      <w:r>
        <w:t xml:space="preserve">per cell.</w:t>
      </w:r>
    </w:p>
    <w:p>
      <w:pPr>
        <w:pStyle w:val="BodyText"/>
      </w:pPr>
      <w:r>
        <w:rPr>
          <w:b/>
          <w:bCs/>
        </w:rPr>
        <w:t xml:space="preserve">Outputs.</w:t>
      </w:r>
      <w:r>
        <w:t xml:space="preserve"> </w:t>
      </w:r>
      <w:r>
        <w:t xml:space="preserve">PTR recovery (r/RMSE/slope) per condition and arm; placement</w:t>
      </w:r>
      <w:r>
        <w:t xml:space="preserve"> </w:t>
      </w:r>
      <w:r>
        <w:t xml:space="preserve">rate, orientation accuracy and order Spearman; permutation null distributions.</w:t>
      </w:r>
    </w:p>
    <w:bookmarkEnd w:id="45"/>
    <w:bookmarkStart w:id="46" w:name="index-cost-at-gtdb-like-scale-f5"/>
    <w:p>
      <w:pPr>
        <w:pStyle w:val="Heading4"/>
      </w:pPr>
      <w:r>
        <w:t xml:space="preserve">6.5 Index cost at GTDB-like scale (F5)</w:t>
      </w:r>
    </w:p>
    <w:p>
      <w:pPr>
        <w:pStyle w:val="FirstParagraph"/>
      </w:pPr>
      <w:r>
        <w:rPr>
          <w:b/>
          <w:bCs/>
        </w:rPr>
        <w:t xml:space="preserve">Purpose.</w:t>
      </w:r>
      <w:r>
        <w:t xml:space="preserve"> </w:t>
      </w:r>
      <w:r>
        <w:t xml:space="preserve">Cost the two landmark sources at matched density, feeding the</w:t>
      </w:r>
      <w:r>
        <w:t xml:space="preserve"> </w:t>
      </w:r>
      <w:r>
        <w:t xml:space="preserve">GTDB-scale budget decision of §3.6.</w:t>
      </w:r>
    </w:p>
    <w:p>
      <w:pPr>
        <w:pStyle w:val="BodyText"/>
      </w:pPr>
      <w:r>
        <w:rPr>
          <w:b/>
          <w:bCs/>
        </w:rPr>
        <w:t xml:space="preserve">Genomes.</w:t>
      </w:r>
      <w:r>
        <w:t xml:space="preserve"> </w:t>
      </w:r>
      <w:r>
        <w:t xml:space="preserve">300 genomes, 1–20 Mb, GC 24.3–73.2 %: 282 drawn at random from</w:t>
      </w:r>
      <w:r>
        <w:t xml:space="preserve"> </w:t>
      </w:r>
      <w:r>
        <w:t xml:space="preserve">the local GTDB pool (2,200 random draws thinned to a GC-uniform 282) plus the</w:t>
      </w:r>
      <w:r>
        <w:t xml:space="preserve"> </w:t>
      </w:r>
      <w:r>
        <w:t xml:space="preserve">18 genomes of §3.7; merged 300-genome indexes are built in a single</w:t>
      </w:r>
      <w:r>
        <w:t xml:space="preserve"> </w:t>
      </w:r>
      <w:r>
        <w:t xml:space="preserve">invocation.</w:t>
      </w:r>
    </w:p>
    <w:p>
      <w:pPr>
        <w:pStyle w:val="BodyText"/>
      </w:pPr>
      <w:r>
        <w:rPr>
          <w:b/>
          <w:bCs/>
        </w:rPr>
        <w:t xml:space="preserve">Arms.</w:t>
      </w:r>
      <w:r>
        <w:t xml:space="preserve"> </w:t>
      </w:r>
      <w:r>
        <w:t xml:space="preserve">sk2bGrow</w:t>
      </w:r>
      <w:r>
        <w:t xml:space="preserve"> </w:t>
      </w:r>
      <w:r>
        <w:rPr>
          <w:rStyle w:val="VerbatimChar"/>
        </w:rPr>
        <w:t xml:space="preserve">index</w:t>
      </w:r>
      <w:r>
        <w:t xml:space="preserve"> </w:t>
      </w:r>
      <w:r>
        <w:t xml:space="preserve">at k16 (full panel) and k8 (top-8); an FMH arm of</w:t>
      </w:r>
      <w:r>
        <w:t xml:space="preserve"> </w:t>
      </w:r>
      <w:r>
        <w:t xml:space="preserve">Pilea-style reference sketches (</w:t>
      </w:r>
      <w:r>
        <w:rPr>
          <w:rStyle w:val="VerbatimChar"/>
        </w:rPr>
        <w:t xml:space="preserve">sketch_loci</w:t>
      </w:r>
      <w:r>
        <w:t xml:space="preserve">,</w:t>
      </w:r>
      <w:r>
        <w:t xml:space="preserve"> </w:t>
      </w:r>
      <w:r>
        <w:rPr>
          <w:i/>
          <w:iCs/>
        </w:rPr>
        <w:t xml:space="preserve">k</w:t>
      </w:r>
      <w:r>
        <w:t xml:space="preserve"> </w:t>
      </w:r>
      <w:r>
        <w:t xml:space="preserve">= 31, armE hash semantics)</w:t>
      </w:r>
      <w:r>
        <w:t xml:space="preserve"> </w:t>
      </w:r>
      <w:r>
        <w:t xml:space="preserve">at the F2-matched scale, plus a</w:t>
      </w:r>
      <w:r>
        <w:t xml:space="preserve"> </w:t>
      </w:r>
      <w:r>
        <w:rPr>
          <w:b/>
          <w:bCs/>
        </w:rPr>
        <w:t xml:space="preserve">half-density reference arm</w:t>
      </w:r>
      <w:r>
        <w:t xml:space="preserve"> </w:t>
      </w:r>
      <w:r>
        <w:t xml:space="preserve">(s200, ≈0.53×</w:t>
      </w:r>
      <w:r>
        <w:t xml:space="preserve"> </w:t>
      </w:r>
      <w:r>
        <w:t xml:space="preserve">the k16-matched landmark count). The binary index does not yet accept FMH</w:t>
      </w:r>
      <w:r>
        <w:t xml:space="preserve"> </w:t>
      </w:r>
      <w:r>
        <w:t xml:space="preserve">anchors, so the FMH arm’s costs are those of the current Python</w:t>
      </w:r>
      <w:r>
        <w:t xml:space="preserve"> </w:t>
      </w:r>
      <w:r>
        <w:t xml:space="preserve">implementation — a gap that is itself reported.</w:t>
      </w:r>
    </w:p>
    <w:p>
      <w:pPr>
        <w:pStyle w:val="BodyText"/>
      </w:pPr>
      <w:r>
        <w:rPr>
          <w:b/>
          <w:bCs/>
        </w:rPr>
        <w:t xml:space="preserve">Measurement.</w:t>
      </w:r>
      <w:r>
        <w:t xml:space="preserve"> </w:t>
      </w:r>
      <w:r>
        <w:t xml:space="preserve">Builds wrapped in</w:t>
      </w:r>
      <w:r>
        <w:t xml:space="preserve"> </w:t>
      </w:r>
      <w:r>
        <w:rPr>
          <w:rStyle w:val="VerbatimChar"/>
        </w:rPr>
        <w:t xml:space="preserve">/usr/bin/time -v</w:t>
      </w:r>
      <w:r>
        <w:t xml:space="preserve"> </w:t>
      </w:r>
      <w:r>
        <w:t xml:space="preserve">(wall-clock, peak RSS);</w:t>
      </w:r>
      <w:r>
        <w:t xml:space="preserve"> </w:t>
      </w:r>
      <w:r>
        <w:t xml:space="preserve">disk by</w:t>
      </w:r>
      <w:r>
        <w:t xml:space="preserve"> </w:t>
      </w:r>
      <w:r>
        <w:rPr>
          <w:rStyle w:val="VerbatimChar"/>
        </w:rPr>
        <w:t xml:space="preserve">du -sb</w:t>
      </w:r>
      <w:r>
        <w:t xml:space="preserve">; profile cost on the first 2 M single-end reads of two real</w:t>
      </w:r>
      <w:r>
        <w:t xml:space="preserve"> </w:t>
      </w:r>
      <w:r>
        <w:t xml:space="preserve">WGS samples (PRJNA1280254), 8 threads,</w:t>
      </w:r>
      <w:r>
        <w:t xml:space="preserve"> </w:t>
      </w:r>
      <w:r>
        <w:rPr>
          <w:rStyle w:val="VerbatimChar"/>
        </w:rPr>
        <w:t xml:space="preserve">--no-stats</w:t>
      </w:r>
      <w:r>
        <w:t xml:space="preserve">, matching the F2</w:t>
      </w:r>
      <w:r>
        <w:t xml:space="preserve"> </w:t>
      </w:r>
      <w:r>
        <w:t xml:space="preserve">profile-cost convention.</w:t>
      </w:r>
    </w:p>
    <w:p>
      <w:pPr>
        <w:pStyle w:val="BodyText"/>
      </w:pPr>
      <w:r>
        <w:rPr>
          <w:b/>
          <w:bCs/>
        </w:rPr>
        <w:t xml:space="preserve">Half-density accuracy.</w:t>
      </w:r>
      <w:r>
        <w:t xml:space="preserve"> </w:t>
      </w:r>
      <w:r>
        <w:t xml:space="preserve">3 genomes (50.8/65.3/72.0 % GC) × 4 arms (panel</w:t>
      </w:r>
      <w:r>
        <w:t xml:space="preserve"> </w:t>
      </w:r>
      <w:r>
        <w:t xml:space="preserve">k16/k8, FMH matched, FMH s200) × 4 depths (0.5–5×) × 8 truth replicates.</w:t>
      </w:r>
    </w:p>
    <w:p>
      <w:pPr>
        <w:pStyle w:val="BodyText"/>
      </w:pPr>
      <w:r>
        <w:rPr>
          <w:b/>
          <w:bCs/>
        </w:rPr>
        <w:t xml:space="preserve">Outputs.</w:t>
      </w:r>
      <w:r>
        <w:t xml:space="preserve"> </w:t>
      </w:r>
      <w:r>
        <w:t xml:space="preserve">Bytes per landmark; build wall-clock/RSS and on-disk size per</w:t>
      </w:r>
      <w:r>
        <w:t xml:space="preserve"> </w:t>
      </w:r>
      <w:r>
        <w:t xml:space="preserve">index; per-sample profile wall-clock/RSS; half-density accuracy against</w:t>
      </w:r>
      <w:r>
        <w:t xml:space="preserve"> </w:t>
      </w:r>
      <w:r>
        <w:t xml:space="preserve">matched density.</w:t>
      </w:r>
    </w:p>
    <w:p>
      <w:r>
        <w:pict>
          <v:rect style="width:0;height:1.5pt" o:hralign="center" o:hrstd="t" o:hr="t"/>
        </w:pict>
      </w:r>
    </w:p>
    <w:bookmarkEnd w:id="46"/>
    <w:bookmarkEnd w:id="47"/>
    <w:bookmarkStart w:id="48" w:name="computational-environment"/>
    <w:p>
      <w:pPr>
        <w:pStyle w:val="Heading3"/>
      </w:pPr>
      <w:r>
        <w:t xml:space="preserve">7. Computational environment</w:t>
      </w:r>
    </w:p>
    <w:p>
      <w:pPr>
        <w:pStyle w:val="FirstParagraph"/>
      </w:pPr>
      <w:r>
        <w:t xml:space="preserve">Apple M3 Max, 16 cores, 48 GB RAM, macOS 14.7; Rust 1.92.0, Python 3.12.4.</w:t>
      </w:r>
      <w:r>
        <w:t xml:space="preserve"> </w:t>
      </w:r>
      <w:r>
        <w:t xml:space="preserve">The initial benchmark grid was run on a laptop; the final C1 paired-end A/B/E statistics grid, F1–F5 and C5-scale experiments used the internal HPC (SLURM; Intel and AMD partitions). The final primary grid used 8 CPU threads on the AMD partition under sk2bGrow review-final commit</w:t>
      </w:r>
      <w:r>
        <w:t xml:space="preserve"> </w:t>
      </w:r>
      <w:r>
        <w:rPr>
          <w:rStyle w:val="VerbatimChar"/>
        </w:rPr>
        <w:t xml:space="preserve">929f4c2</w:t>
      </w:r>
      <w:r>
        <w:t xml:space="preserve"> </w:t>
      </w:r>
      <w:r>
        <w:t xml:space="preserve">(job 4076237). Runs deferred for scale —</w:t>
      </w:r>
      <w:r>
        <w:t xml:space="preserve"> </w:t>
      </w:r>
      <w:r>
        <w:t xml:space="preserve">full-depth</w:t>
      </w:r>
      <w:r>
        <w:t xml:space="preserve"> </w:t>
      </w:r>
      <w:r>
        <w:rPr>
          <w:i/>
          <w:iCs/>
        </w:rPr>
        <w:t xml:space="preserve">E. coli</w:t>
      </w:r>
      <w:r>
        <w:t xml:space="preserve">, the 45,529-assembly quality sweep, Pilea’s full</w:t>
      </w:r>
      <w:r>
        <w:t xml:space="preserve"> </w:t>
      </w:r>
      <w:r>
        <w:t xml:space="preserve">32-strain/32× grid, and the marine metagenome application — are marked as such</w:t>
      </w:r>
      <w:r>
        <w:t xml:space="preserve"> </w:t>
      </w:r>
      <w:r>
        <w:t xml:space="preserve">where they appear. HPC runs used a SLURM cluster with Lustre storage.</w:t>
      </w:r>
    </w:p>
    <w:p>
      <w:r>
        <w:pict>
          <v:rect style="width:0;height:1.5pt" o:hralign="center" o:hrstd="t" o:hr="t"/>
        </w:pict>
      </w:r>
    </w:p>
    <w:bookmarkEnd w:id="48"/>
    <w:bookmarkEnd w:id="49"/>
    <w:bookmarkStart w:id="67" w:name="results"/>
    <w:p>
      <w:pPr>
        <w:pStyle w:val="Heading2"/>
      </w:pPr>
      <w:r>
        <w:t xml:space="preserve">Results</w:t>
      </w:r>
    </w:p>
    <w:bookmarkStart w:id="50" w:name="sk2bgrow-overview"/>
    <w:p>
      <w:pPr>
        <w:pStyle w:val="Heading3"/>
      </w:pPr>
      <w:r>
        <w:t xml:space="preserve">1. sk2bGrow overview</w:t>
      </w:r>
    </w:p>
    <w:p>
      <w:pPr>
        <w:pStyle w:val="FirstParagraph"/>
      </w:pPr>
      <w:r>
        <w:t xml:space="preserve">sk2bGrow estimates the peak-to-trough ratio of a genome from the replication-associated gradient in read coverage, using landmarks whose coordinates are known before any read is seen. The pipeline (Methods §1) has six stages: an in-silico digest of each reference genome with a panel of 16 Type IIB restriction enzymes produces</w:t>
      </w:r>
      <w:r>
        <w:t xml:space="preserve"> </w:t>
      </w:r>
      <w:r>
        <w:rPr>
          <w:b/>
          <w:bCs/>
        </w:rPr>
        <w:t xml:space="preserve">anchors</w:t>
      </w:r>
      <w:r>
        <w:t xml:space="preserve"> </w:t>
      </w:r>
      <w:r>
        <w:t xml:space="preserve">— fixed-length tags with genomic coordinates; sample reads are matched to anchors by strand-canonical, mismatch-tolerant counting; anchors shared between reference genomes are apportioned by expectation-maximisation; windows holding a fixed number of anchors are fitted with a zero-truncated Poisson mixture to obtain a window rate with a standard error; a replication origin is placed once per genome from all enzymes pooled; and a piecewise-linear V is fitted to the window log-rates against circular distance from the origin, with per-enzyme estimates fused by inverse-variance weighting and cross-enzyme consistency tested by Cochran’s</w:t>
      </w:r>
      <w:r>
        <w:t xml:space="preserve"> </w:t>
      </w:r>
      <w:r>
        <w:rPr>
          <w:i/>
          <w:iCs/>
        </w:rPr>
        <w:t xml:space="preserve">Q</w:t>
      </w:r>
      <w:r>
        <w:t xml:space="preserve">. Fig. 1a shows the workflow. Fig. 1b shows window rates against genome coordinate for one 2× sample, with the fitted V. Fig. 1c shows the same windows under sorted-rank regression, where a single dropout window moves the estimate from 1.86 to 2.51 — the fragility, in one panel, of an estimator that rides on extreme order statistics. Fig. 1d is a forest plot of the 16 per-enzyme estimates with the fused value and</w:t>
      </w:r>
      <w:r>
        <w:t xml:space="preserve"> </w:t>
      </w:r>
      <w:r>
        <w:rPr>
          <w:i/>
          <w:iCs/>
        </w:rPr>
        <w:t xml:space="preserve">I</w:t>
      </w:r>
      <w:r>
        <w:t xml:space="preserve">² for the same sample. Panels b–d are real output from one 2× sample; the figure shows the method working on real data, not a cartoon (Fig. 1).</w:t>
      </w:r>
    </w:p>
    <w:bookmarkEnd w:id="50"/>
    <w:bookmarkStart w:id="54" w:name="accuracy-on-bacterial-isolates"/>
    <w:p>
      <w:pPr>
        <w:pStyle w:val="Heading3"/>
      </w:pPr>
      <w:r>
        <w:t xml:space="preserve">2. Accuracy on bacterial isolates</w:t>
      </w:r>
    </w:p>
    <w:bookmarkStart w:id="51" w:name="accuracy-across-the-coverage-titration"/>
    <w:p>
      <w:pPr>
        <w:pStyle w:val="Heading4"/>
      </w:pPr>
      <w:r>
        <w:t xml:space="preserve">2.1 Accuracy across the coverage titration</w:t>
      </w:r>
    </w:p>
    <w:p>
      <w:pPr>
        <w:pStyle w:val="FirstParagraph"/>
      </w:pPr>
      <w:r>
        <w:t xml:space="preserve">Accuracy is usable throughout the 1–2× band on a growth-rate panel where the</w:t>
      </w:r>
      <w:r>
        <w:t xml:space="preserve"> </w:t>
      </w:r>
      <w:r>
        <w:t xml:space="preserve">incumbent’s shipped defaults return nothing at all. We benchmarked sk2bGrow on</w:t>
      </w:r>
      <w:r>
        <w:t xml:space="preserve"> </w:t>
      </w:r>
      <w:r>
        <w:t xml:space="preserve">the Zheng et al. 2020</w:t>
      </w:r>
      <w:r>
        <w:t xml:space="preserve"> </w:t>
      </w:r>
      <w:r>
        <w:rPr>
          <w:i/>
          <w:iCs/>
        </w:rPr>
        <w:t xml:space="preserve">E. coli</w:t>
      </w:r>
      <w:r>
        <w:t xml:space="preserve"> </w:t>
      </w:r>
      <w:r>
        <w:t xml:space="preserve">K-12 MG1655 panel (PRJNA615952): 16 defined</w:t>
      </w:r>
      <w:r>
        <w:t xml:space="preserve"> </w:t>
      </w:r>
      <w:r>
        <w:t xml:space="preserve">media with independently measured growth rates λ spanning 0.40–1.72 h⁻¹,</w:t>
      </w:r>
      <w:r>
        <w:t xml:space="preserve"> </w:t>
      </w:r>
      <w:r>
        <w:t xml:space="preserve">titrated to nominal 0.5×, 1×, 2×, 5× and 10× depth. The titration is a</w:t>
      </w:r>
      <w:r>
        <w:t xml:space="preserve"> </w:t>
      </w:r>
      <w:r>
        <w:t xml:space="preserve">deliberate deviation from Pilea, which ran full depth only; it is the axis this</w:t>
      </w:r>
      <w:r>
        <w:t xml:space="preserve"> </w:t>
      </w:r>
      <w:r>
        <w:t xml:space="preserve">paper is about, because metagenomic per-strain coverage is typically 1–2×, not</w:t>
      </w:r>
      <w:r>
        <w:t xml:space="preserve"> </w:t>
      </w:r>
      <w:r>
        <w:t xml:space="preserve">isolate depth. sk2bGrow reached r = 0.912 against measured λ at 1× (95%</w:t>
      </w:r>
      <w:r>
        <w:t xml:space="preserve"> </w:t>
      </w:r>
      <w:r>
        <w:t xml:space="preserve">media-bootstrap CI [0.798, 0.970]; n = 16), 0.958 at 2× and 0.971 at 5× —</w:t>
      </w:r>
      <w:r>
        <w:t xml:space="preserve"> </w:t>
      </w:r>
      <w:r>
        <w:t xml:space="preserve">essentially matching Pilea’s published full-depth r of 0.976 from 5× onward;</w:t>
      </w:r>
      <w:r>
        <w:t xml:space="preserve"> </w:t>
      </w:r>
      <w:r>
        <w:t xml:space="preserve">at 0.5× r = 0.923 (CI [0.854, 0.968]). Magnitude was usable but compressed:</w:t>
      </w:r>
      <w:r>
        <w:t xml:space="preserve"> </w:t>
      </w:r>
      <w:r>
        <w:t xml:space="preserve">RMSE 0.374 with fitted slope 0.83 at 1×, degrading to RMSE 0.483 and slope</w:t>
      </w:r>
      <w:r>
        <w:t xml:space="preserve"> </w:t>
      </w:r>
      <w:r>
        <w:t xml:space="preserve">0.59 at 0.5× (Fig. 2a–c; Table 2). The slope in Table 2 regresses the estimated</w:t>
      </w:r>
      <w:r>
        <w:t xml:space="preserve"> </w:t>
      </w:r>
      <w:r>
        <w:t xml:space="preserve">log₂PTR on the measured growth rate; the slopes annotated on the Fig. 2b, c</w:t>
      </w:r>
      <w:r>
        <w:t xml:space="preserve"> </w:t>
      </w:r>
      <w:r>
        <w:t xml:space="preserve">scatter regress the estimate on the predicted value (λC/ln2) — two different</w:t>
      </w:r>
      <w:r>
        <w:t xml:space="preserve"> </w:t>
      </w:r>
      <w:r>
        <w:t xml:space="preserve">regressions of the same points, reported in the direction each comparison</w:t>
      </w:r>
      <w:r>
        <w:t xml:space="preserve"> </w:t>
      </w:r>
      <w:r>
        <w:t xml:space="preserve">requires. Two scope caveats apply here and</w:t>
      </w:r>
      <w:r>
        <w:t xml:space="preserve"> </w:t>
      </w:r>
      <w:r>
        <w:t xml:space="preserve">throughout the isolate benchmark: every real-data result in this section is one</w:t>
      </w:r>
      <w:r>
        <w:t xml:space="preserve"> </w:t>
      </w:r>
      <w:r>
        <w:t xml:space="preserve">strain against a single complete reference, and Pilea at its shipped defaults</w:t>
      </w:r>
      <w:r>
        <w:t xml:space="preserve"> </w:t>
      </w:r>
      <w:r>
        <w:t xml:space="preserve">returned no estimate below 10× at any point in the titration. All primary</w:t>
      </w:r>
      <w:r>
        <w:t xml:space="preserve"> </w:t>
      </w:r>
      <w:r>
        <w:t xml:space="preserve">estimates use the historical single-pass GC correction. A residual second pass</w:t>
      </w:r>
      <w:r>
        <w:t xml:space="preserve"> </w:t>
      </w:r>
      <w:r>
        <w:t xml:space="preserve">was tested and rejected: it lowered anchor-panel accuracy at 0.5× and 1× to</w:t>
      </w:r>
      <w:r>
        <w:t xml:space="preserve"> </w:t>
      </w:r>
      <w:r>
        <w:t xml:space="preserve">r = 0.848 and 0.879, versus 0.923 and 0.912 under the primary correction,</w:t>
      </w:r>
      <w:r>
        <w:t xml:space="preserve"> </w:t>
      </w:r>
      <w:r>
        <w:t xml:space="preserve">consistent with its absorbing part of the position-linked replication gradient</w:t>
      </w:r>
      <w:r>
        <w:t xml:space="preserve"> </w:t>
      </w:r>
      <w:r>
        <w:t xml:space="preserve">(Methods §1.4).</w:t>
      </w:r>
    </w:p>
    <w:bookmarkEnd w:id="51"/>
    <w:bookmarkStart w:id="52" w:name="a-negative-control-that-pilea-excluded"/>
    <w:p>
      <w:pPr>
        <w:pStyle w:val="Heading4"/>
      </w:pPr>
      <w:r>
        <w:t xml:space="preserve">2.2 A negative control that Pilea excluded</w:t>
      </w:r>
    </w:p>
    <w:p>
      <w:pPr>
        <w:pStyle w:val="FirstParagraph"/>
      </w:pPr>
      <w:r>
        <w:t xml:space="preserve">A stationary-phase replication run-out that sorted regression fails badly on was recovered by sk2bGrow. Pilea excluded the run-out samples from its benchmark; we kept one (</w:t>
      </w:r>
      <w:r>
        <w:rPr>
          <w:rStyle w:val="VerbatimChar"/>
        </w:rPr>
        <w:t xml:space="preserve">E.coli_gDNA_RUN_OUT</w:t>
      </w:r>
      <w:r>
        <w:t xml:space="preserve">, CON-C). In a replication run-out, ongoing rounds are allowed to finish while new initiation is blocked, so every chromosome in the population ends fully replicated and log₂PTR must be ≈ 0; a method that reports a large PTR here is reading noise as a gradient. With the shared origin fixed in advance, the V-fit allows small signed estimates rather than censoring noise slopes at zero; its run-out estimates were 0.018–0.238 across the titration, with all 16 enzyme strata contributing at every depth. Sorted-rank</w:t>
      </w:r>
      <w:r>
        <w:t xml:space="preserve"> </w:t>
      </w:r>
      <w:r>
        <w:t xml:space="preserve">regression on the same windows returned 1.80 at 0.5× — seven times any sk2bGrow</w:t>
      </w:r>
      <w:r>
        <w:t xml:space="preserve"> </w:t>
      </w:r>
      <w:r>
        <w:t xml:space="preserve">estimate, and in exactly the direction of reading noise as growth (Fig. 2d).</w:t>
      </w:r>
    </w:p>
    <w:bookmarkEnd w:id="52"/>
    <w:bookmarkStart w:id="53" w:name="Xce6b542434ed1814004dfb47fad411b14a7baa6"/>
    <w:p>
      <w:pPr>
        <w:pStyle w:val="Heading4"/>
      </w:pPr>
      <w:r>
        <w:t xml:space="preserve">2.3 Which gate suppresses Pilea, and is it right to?</w:t>
      </w:r>
    </w:p>
    <w:p>
      <w:pPr>
        <w:pStyle w:val="FirstParagraph"/>
      </w:pPr>
      <w:r>
        <w:t xml:space="preserve">The coverage gate, not the estimator, is what suppresses Pilea below 10× — and the gate is partly right. Re-applying each of Pilea’s default thresholds to its own gates-off output (an exact ablation that requires no extra runs) shows that</w:t>
      </w:r>
      <w:r>
        <w:t xml:space="preserve"> </w:t>
      </w:r>
      <w:r>
        <w:rPr>
          <w:rStyle w:val="VerbatimChar"/>
        </w:rPr>
        <w:t xml:space="preserve">--min-cove 5</w:t>
      </w:r>
      <w:r>
        <w:t xml:space="preserve"> </w:t>
      </w:r>
      <w:r>
        <w:t xml:space="preserve">alone accounts for 68 of 68 suppressed</w:t>
      </w:r>
      <w:r>
        <w:t xml:space="preserve"> </w:t>
      </w:r>
      <w:r>
        <w:rPr>
          <w:i/>
          <w:iCs/>
        </w:rPr>
        <w:t xml:space="preserve">E. coli</w:t>
      </w:r>
      <w:r>
        <w:t xml:space="preserve"> </w:t>
      </w:r>
      <w:r>
        <w:t xml:space="preserve">estimates and 167 of 172 in the multi-strain simulation. Because a 150 bp read yields 120 31-mers, a threshold of 5 on k-mer coverage corresponds to ≈6.25× read coverage (5 × 150/120), so the gate fires at 5× nominal even where the estimator behind it is still informative. At 0.5× the gate is correctly refusing to report: Pilea’s gates-off output there is fully degenerate — measured coverage exactly 1.000 and log₂PTR exactly 0.000 in all 17 samples. Between 1× and 5×, however, the gates-off estimator is informative (r = 0.78, 0.85, 0.99 against λ) and is nevertheless suppressed. The honest claim is therefore not that Pilea is over-conservative, but that its gate is calibrated to the point where the FracMinHash estimator breaks — ≈6.25× read coverage — whereas sk2bGrow’s break point is below 1× (Fig. 2; Table 5).</w:t>
      </w:r>
    </w:p>
    <w:bookmarkEnd w:id="53"/>
    <w:bookmarkEnd w:id="54"/>
    <w:bookmarkStart w:id="55" w:name="multi-strain-communities"/>
    <w:p>
      <w:pPr>
        <w:pStyle w:val="Heading3"/>
      </w:pPr>
      <w:r>
        <w:t xml:space="preserve">3. Multi-strain communities</w:t>
      </w:r>
    </w:p>
    <w:p>
      <w:pPr>
        <w:pStyle w:val="FirstParagraph"/>
      </w:pPr>
      <w:r>
        <w:t xml:space="preserve">sk2bGrow recalled every strain at every cell of a multi-strain community benchmark, at half the RMSE of gates-off Pilea and with bias reduced to negligible. Following Pilea’s Fig. 3 design at a scale a laptop can run, we simulated communities of 4, 8 or 16 strains — 16 complete reference genomes deliberately including</w:t>
      </w:r>
      <w:r>
        <w:t xml:space="preserve"> </w:t>
      </w:r>
      <w:r>
        <w:rPr>
          <w:i/>
          <w:iCs/>
        </w:rPr>
        <w:t xml:space="preserve">E. coli</w:t>
      </w:r>
      <w:r>
        <w:t xml:space="preserve"> </w:t>
      </w:r>
      <w:r>
        <w:t xml:space="preserve">K-12,</w:t>
      </w:r>
      <w:r>
        <w:t xml:space="preserve"> </w:t>
      </w:r>
      <w:r>
        <w:rPr>
          <w:i/>
          <w:iCs/>
        </w:rPr>
        <w:t xml:space="preserve">E. coli</w:t>
      </w:r>
      <w:r>
        <w:t xml:space="preserve"> </w:t>
      </w:r>
      <w:r>
        <w:t xml:space="preserve">O157:H7 and</w:t>
      </w:r>
      <w:r>
        <w:t xml:space="preserve"> </w:t>
      </w:r>
      <w:r>
        <w:rPr>
          <w:i/>
          <w:iCs/>
        </w:rPr>
        <w:t xml:space="preserve">Shigella dysenteriae</w:t>
      </w:r>
      <w:r>
        <w:t xml:space="preserve"> </w:t>
      </w:r>
      <w:r>
        <w:t xml:space="preserve">as a shared-anchor stress test for the EM attribution — at 1/2/4/8× per-strain coverage, with V-shaped replication profiles and log₂PTR ~ U[0,2]. Recall was 1.000 for sk2bGrow at every cell, against 0.224 for Pilea at its shipped defaults. Aggregate RMSE was 0.134 for sk2bGrow versus 0.265 for Pilea gates-off, and the two methods showed opposite signed bias — sk2bGrow’s now negligible (−0.013) against Pilea’s +0.168. Two scope caveats: the grid is laptop-scale and does not establish behaviour at Pilea’s full 32 strains / 32× / 400 samples; and because Pilea’s shipped gates skip fitting below 5× entirely, per-sample timings from this benchmark are not a fair cost comparison — the properly controlled timing is in §8 (Fig. 3; Table 3; Table 4).</w:t>
      </w:r>
    </w:p>
    <w:p>
      <w:pPr>
        <w:pStyle w:val="BodyText"/>
      </w:pPr>
      <w:r>
        <w:t xml:space="preserve">We then stress-tested the simulation away from its generative model on one 16-genome community, per genome. A 1% substitution-error arm was indistinguishable from the no-error control (mean bias +0.001 versus +0.001 log₂); a real GC-efficiency gradient produced the expected −0.19-log₂ compression. Counting a near-neighbour (</w:t>
      </w:r>
      <w:r>
        <w:rPr>
          <w:i/>
          <w:iCs/>
        </w:rPr>
        <w:t xml:space="preserve">E. coli</w:t>
      </w:r>
      <w:r>
        <w:t xml:space="preserve"> </w:t>
      </w:r>
      <w:r>
        <w:t xml:space="preserve">O157:H7) at mismatch 0/1/2 gave mean biases −0.068/−0.089/−0.080 and showed that the motif-gated enzyme path does not open the sketch mode’s mismatch-rescue channel (</w:t>
      </w:r>
      <w:r>
        <w:rPr>
          <w:rStyle w:val="VerbatimChar"/>
        </w:rPr>
        <w:t xml:space="preserve">data/m1_rerun/sim_unfriendly.tsv</w:t>
      </w:r>
      <w:r>
        <w:t xml:space="preserve">; Methods §6.3). Recall 1.000 therefore still describes an exact-match-favourable grid, but it is no longer supported only by the estimator’s own generative model.</w:t>
      </w:r>
    </w:p>
    <w:bookmarkEnd w:id="55"/>
    <w:bookmarkStart w:id="56" w:name="what-do-the-landmarks-contribute"/>
    <w:p>
      <w:pPr>
        <w:pStyle w:val="Heading3"/>
      </w:pPr>
      <w:r>
        <w:t xml:space="preserve">4. What do the landmarks contribute?</w:t>
      </w:r>
    </w:p>
    <w:p>
      <w:pPr>
        <w:pStyle w:val="FirstParagraph"/>
      </w:pPr>
      <w:r>
        <w:t xml:space="preserve">The coordinate-aware estimator, not the deterministic landmark set, is what</w:t>
      </w:r>
      <w:r>
        <w:t xml:space="preserve"> </w:t>
      </w:r>
      <w:r>
        <w:t xml:space="preserve">carries the low-coverage result; at matched landmark density the two landmark</w:t>
      </w:r>
      <w:r>
        <w:t xml:space="preserve"> </w:t>
      </w:r>
      <w:r>
        <w:t xml:space="preserve">sources are indistinguishable at ≥ 1×, and the panel’s residual advantage below</w:t>
      </w:r>
      <w:r>
        <w:t xml:space="preserve"> </w:t>
      </w:r>
      <w:r>
        <w:t xml:space="preserve">1× comes from multi-strata fusion redundancy, not from landmark determinism. We</w:t>
      </w:r>
      <w:r>
        <w:t xml:space="preserve"> </w:t>
      </w:r>
      <w:r>
        <w:t xml:space="preserve">tested this in three layers on the Zheng</w:t>
      </w:r>
      <w:r>
        <w:t xml:space="preserve"> </w:t>
      </w:r>
      <w:r>
        <w:rPr>
          <w:i/>
          <w:iCs/>
        </w:rPr>
        <w:t xml:space="preserve">E. coli</w:t>
      </w:r>
      <w:r>
        <w:t xml:space="preserve"> </w:t>
      </w:r>
      <w:r>
        <w:t xml:space="preserve">grid (HPC;</w:t>
      </w:r>
      <w:r>
        <w:t xml:space="preserve"> </w:t>
      </w:r>
      <w:r>
        <w:rPr>
          <w:rStyle w:val="VerbatimChar"/>
        </w:rPr>
        <w:t xml:space="preserve">data/f1_sketch/</w:t>
      </w:r>
      <w:r>
        <w:t xml:space="preserve">).</w:t>
      </w:r>
    </w:p>
    <w:p>
      <w:pPr>
        <w:pStyle w:val="BodyText"/>
      </w:pPr>
      <w:r>
        <w:t xml:space="preserve">First, at Pilea’s own operating point (FracMinHash arm E at scale 250, a 2.4×</w:t>
      </w:r>
      <w:r>
        <w:t xml:space="preserve"> </w:t>
      </w:r>
      <w:r>
        <w:t xml:space="preserve">lower landmark density than the panel — the shipped comparison), the</w:t>
      </w:r>
      <w:r>
        <w:t xml:space="preserve"> </w:t>
      </w:r>
      <w:r>
        <w:t xml:space="preserve">2 × 2 attribution (landmark source × estimator) stands as measured at that</w:t>
      </w:r>
      <w:r>
        <w:t xml:space="preserve"> </w:t>
      </w:r>
      <w:r>
        <w:t xml:space="preserve">operating point: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coverage</w:t>
            </w:r>
          </w:p>
        </w:tc>
        <w:tc>
          <w:tcPr/>
          <w:p>
            <w:pPr>
              <w:pStyle w:val="Compact"/>
            </w:pPr>
            <w:r>
              <w:t xml:space="preserve">anchors + V-fit</w:t>
            </w:r>
          </w:p>
        </w:tc>
        <w:tc>
          <w:tcPr/>
          <w:p>
            <w:pPr>
              <w:pStyle w:val="Compact"/>
            </w:pPr>
            <w:r>
              <w:t xml:space="preserve">FracMinHash + V-fit</w:t>
            </w:r>
          </w:p>
        </w:tc>
        <w:tc>
          <w:tcPr/>
          <w:p>
            <w:pPr>
              <w:pStyle w:val="Compact"/>
            </w:pPr>
            <w:r>
              <w:t xml:space="preserve">anchors + rank</w:t>
            </w:r>
          </w:p>
        </w:tc>
        <w:tc>
          <w:tcPr/>
          <w:p>
            <w:pPr>
              <w:pStyle w:val="Compact"/>
            </w:pPr>
            <w:r>
              <w:t xml:space="preserve">FracMinHash + rank (Pilea)</w:t>
            </w:r>
          </w:p>
        </w:tc>
      </w:tr>
      <w:tr>
        <w:tc>
          <w:tcPr/>
          <w:p>
            <w:pPr>
              <w:pStyle w:val="Compact"/>
            </w:pPr>
            <w:r>
              <w:t xml:space="preserve">0.5×</w:t>
            </w:r>
          </w:p>
        </w:tc>
        <w:tc>
          <w:tcPr/>
          <w:p>
            <w:pPr>
              <w:pStyle w:val="Compact"/>
            </w:pPr>
            <w:r>
              <w:rPr>
                <w:b/>
                <w:bCs/>
              </w:rPr>
              <w:t xml:space="preserve">0.923</w:t>
            </w:r>
          </w:p>
        </w:tc>
        <w:tc>
          <w:tcPr/>
          <w:p>
            <w:pPr>
              <w:pStyle w:val="Compact"/>
            </w:pPr>
            <w:r>
              <w:t xml:space="preserve">0.883</w:t>
            </w:r>
          </w:p>
        </w:tc>
        <w:tc>
          <w:tcPr/>
          <w:p>
            <w:pPr>
              <w:pStyle w:val="Compact"/>
            </w:pPr>
            <w:r>
              <w:t xml:space="preserve">0.517</w:t>
            </w:r>
          </w:p>
        </w:tc>
        <w:tc>
          <w:tcPr/>
          <w:p>
            <w:pPr>
              <w:pStyle w:val="Compact"/>
            </w:pPr>
            <w:r>
              <w:t xml:space="preserve">— (degenerate)</w:t>
            </w:r>
          </w:p>
        </w:tc>
      </w:tr>
      <w:tr>
        <w:tc>
          <w:tcPr/>
          <w:p>
            <w:pPr>
              <w:pStyle w:val="Compact"/>
            </w:pPr>
            <w:r>
              <w:t xml:space="preserve">1×</w:t>
            </w:r>
          </w:p>
        </w:tc>
        <w:tc>
          <w:tcPr/>
          <w:p>
            <w:pPr>
              <w:pStyle w:val="Compact"/>
            </w:pPr>
            <w:r>
              <w:t xml:space="preserve">0.912</w:t>
            </w:r>
          </w:p>
        </w:tc>
        <w:tc>
          <w:tcPr/>
          <w:p>
            <w:pPr>
              <w:pStyle w:val="Compact"/>
            </w:pPr>
            <w:r>
              <w:rPr>
                <w:b/>
                <w:bCs/>
              </w:rPr>
              <w:t xml:space="preserve">0.912</w:t>
            </w:r>
          </w:p>
        </w:tc>
        <w:tc>
          <w:tcPr/>
          <w:p>
            <w:pPr>
              <w:pStyle w:val="Compact"/>
            </w:pPr>
            <w:r>
              <w:t xml:space="preserve">0.775</w:t>
            </w:r>
          </w:p>
        </w:tc>
        <w:tc>
          <w:tcPr/>
          <w:p>
            <w:pPr>
              <w:pStyle w:val="Compact"/>
            </w:pPr>
            <w:r>
              <w:t xml:space="preserve">0.778</w:t>
            </w:r>
          </w:p>
        </w:tc>
      </w:tr>
      <w:tr>
        <w:tc>
          <w:tcPr/>
          <w:p>
            <w:pPr>
              <w:pStyle w:val="Compact"/>
            </w:pPr>
            <w:r>
              <w:t xml:space="preserve">2×</w:t>
            </w:r>
          </w:p>
        </w:tc>
        <w:tc>
          <w:tcPr/>
          <w:p>
            <w:pPr>
              <w:pStyle w:val="Compact"/>
            </w:pPr>
            <w:r>
              <w:rPr>
                <w:b/>
                <w:bCs/>
              </w:rPr>
              <w:t xml:space="preserve">0.958</w:t>
            </w:r>
          </w:p>
        </w:tc>
        <w:tc>
          <w:tcPr/>
          <w:p>
            <w:pPr>
              <w:pStyle w:val="Compact"/>
            </w:pPr>
            <w:r>
              <w:t xml:space="preserve">0.958</w:t>
            </w:r>
          </w:p>
        </w:tc>
        <w:tc>
          <w:tcPr/>
          <w:p>
            <w:pPr>
              <w:pStyle w:val="Compact"/>
            </w:pPr>
            <w:r>
              <w:t xml:space="preserve">0.925</w:t>
            </w:r>
          </w:p>
        </w:tc>
        <w:tc>
          <w:tcPr/>
          <w:p>
            <w:pPr>
              <w:pStyle w:val="Compact"/>
            </w:pPr>
            <w:r>
              <w:t xml:space="preserve">0.848</w:t>
            </w:r>
          </w:p>
        </w:tc>
      </w:tr>
      <w:tr>
        <w:tc>
          <w:tcPr/>
          <w:p>
            <w:pPr>
              <w:pStyle w:val="Compact"/>
            </w:pPr>
            <w:r>
              <w:t xml:space="preserve">5×</w:t>
            </w:r>
          </w:p>
        </w:tc>
        <w:tc>
          <w:tcPr/>
          <w:p>
            <w:pPr>
              <w:pStyle w:val="Compact"/>
            </w:pPr>
            <w:r>
              <w:t xml:space="preserve">0.971</w:t>
            </w:r>
          </w:p>
        </w:tc>
        <w:tc>
          <w:tcPr/>
          <w:p>
            <w:pPr>
              <w:pStyle w:val="Compact"/>
            </w:pPr>
            <w:r>
              <w:rPr>
                <w:b/>
                <w:bCs/>
              </w:rPr>
              <w:t xml:space="preserve">0.990</w:t>
            </w:r>
          </w:p>
        </w:tc>
        <w:tc>
          <w:tcPr/>
          <w:p>
            <w:pPr>
              <w:pStyle w:val="Compact"/>
            </w:pPr>
            <w:r>
              <w:t xml:space="preserve">0.947</w:t>
            </w:r>
          </w:p>
        </w:tc>
        <w:tc>
          <w:tcPr/>
          <w:p>
            <w:pPr>
              <w:pStyle w:val="Compact"/>
            </w:pPr>
            <w:r>
              <w:t xml:space="preserve">0.988</w:t>
            </w:r>
          </w:p>
        </w:tc>
      </w:tr>
      <w:tr>
        <w:tc>
          <w:tcPr/>
          <w:p>
            <w:pPr>
              <w:pStyle w:val="Compact"/>
            </w:pPr>
            <w:r>
              <w:t xml:space="preserve">10×</w:t>
            </w:r>
          </w:p>
        </w:tc>
        <w:tc>
          <w:tcPr/>
          <w:p>
            <w:pPr>
              <w:pStyle w:val="Compact"/>
            </w:pPr>
            <w:r>
              <w:t xml:space="preserve">0.970</w:t>
            </w:r>
          </w:p>
        </w:tc>
        <w:tc>
          <w:tcPr/>
          <w:p>
            <w:pPr>
              <w:pStyle w:val="Compact"/>
            </w:pPr>
            <w:r>
              <w:rPr>
                <w:b/>
                <w:bCs/>
              </w:rPr>
              <w:t xml:space="preserve">0.985</w:t>
            </w:r>
          </w:p>
        </w:tc>
        <w:tc>
          <w:tcPr/>
          <w:p>
            <w:pPr>
              <w:pStyle w:val="Compact"/>
            </w:pPr>
            <w:r>
              <w:t xml:space="preserve">0.938</w:t>
            </w:r>
          </w:p>
        </w:tc>
        <w:tc>
          <w:tcPr/>
          <w:p>
            <w:pPr>
              <w:pStyle w:val="Compact"/>
            </w:pPr>
            <w:r>
              <w:t xml:space="preserve">0.973</w:t>
            </w:r>
          </w:p>
        </w:tc>
      </w:tr>
    </w:tbl>
    <w:p>
      <w:pPr>
        <w:pStyle w:val="BodyText"/>
      </w:pPr>
      <w:r>
        <w:t xml:space="preserve">Bold marks the nominal maximum per row; at 5× and 10× the top rows are</w:t>
      </w:r>
      <w:r>
        <w:t xml:space="preserve"> </w:t>
      </w:r>
      <w:r>
        <w:t xml:space="preserve">statistically tied — the bootstrap CIs of all four estimates overlap (Table 2</w:t>
      </w:r>
      <w:r>
        <w:t xml:space="preserve"> </w:t>
      </w:r>
      <w:r>
        <w:t xml:space="preserve">carries the intervals).</w:t>
      </w:r>
    </w:p>
    <w:p>
      <w:pPr>
        <w:pStyle w:val="BodyText"/>
      </w:pPr>
      <w:r>
        <w:t xml:space="preserve">Arm E was constructed by rewriting Pilea’s sketch into sk2bGrow’s count-table</w:t>
      </w:r>
      <w:r>
        <w:t xml:space="preserve"> </w:t>
      </w:r>
      <w:r>
        <w:t xml:space="preserve">format and running the</w:t>
      </w:r>
      <w:r>
        <w:t xml:space="preserve"> </w:t>
      </w:r>
      <w:r>
        <w:rPr>
          <w:i/>
          <w:iCs/>
        </w:rPr>
        <w:t xml:space="preserve">unmodified</w:t>
      </w:r>
      <w:r>
        <w:t xml:space="preserve"> </w:t>
      </w:r>
      <w:r>
        <w:t xml:space="preserve">sk2bGrow estimator, so the only difference</w:t>
      </w:r>
      <w:r>
        <w:t xml:space="preserve"> </w:t>
      </w:r>
      <w:r>
        <w:t xml:space="preserve">from arm A is which loci are counted (Methods §4).</w:t>
      </w:r>
    </w:p>
    <w:p>
      <w:pPr>
        <w:pStyle w:val="BodyText"/>
      </w:pPr>
      <w:r>
        <w:t xml:space="preserve">Second, matching density removes the sketch’s apparent 0.5× deficit: at</w:t>
      </w:r>
      <w:r>
        <w:t xml:space="preserve"> </w:t>
      </w:r>
      <w:r>
        <w:t xml:space="preserve">9,645 (sketch, scale 104) versus 9,422 (panel, k = 16) landmarks/Mb — within</w:t>
      </w:r>
      <w:r>
        <w:t xml:space="preserve"> </w:t>
      </w:r>
      <w:r>
        <w:t xml:space="preserve">2% — the two landmark sources are indistinguishable at 1–10×: a paired media</w:t>
      </w:r>
      <w:r>
        <w:t xml:space="preserve"> </w:t>
      </w:r>
      <w:r>
        <w:t xml:space="preserve">bootstrap (10,000 resamples of the media) bounds the 95% CI of the accuracy</w:t>
      </w:r>
      <w:r>
        <w:t xml:space="preserve"> </w:t>
      </w:r>
      <w:r>
        <w:t xml:space="preserve">difference at ±0.16 r at every depth ≥ 1× (−0.00 [−0.16, +0.12] at 1×;</w:t>
      </w:r>
      <w:r>
        <w:t xml:space="preserve"> </w:t>
      </w:r>
      <w:r>
        <w:t xml:space="preserve">data/ci_bootstrap/f1_ci.tsv). The formal source × estimator interaction,</w:t>
      </w:r>
      <w:r>
        <w:t xml:space="preserve"> </w:t>
      </w:r>
      <w:r>
        <w:t xml:space="preserve">tested on the main grid across three independent subsampling instances (48</w:t>
      </w:r>
      <w:r>
        <w:t xml:space="preserve"> </w:t>
      </w:r>
      <w:r>
        <w:t xml:space="preserve">media × instance units; two additional fixed-seed instances of the full</w:t>
      </w:r>
      <w:r>
        <w:t xml:space="preserve"> </w:t>
      </w:r>
      <w:r>
        <w:t xml:space="preserve">five-arm grid), is significantly</w:t>
      </w:r>
      <w:r>
        <w:t xml:space="preserve"> </w:t>
      </w:r>
      <w:r>
        <w:rPr>
          <w:i/>
          <w:iCs/>
        </w:rPr>
        <w:t xml:space="preserve">negative</w:t>
      </w:r>
      <w:r>
        <w:t xml:space="preserve"> </w:t>
      </w:r>
      <w:r>
        <w:t xml:space="preserve">at 2× (interaction z = −0.49, 95%</w:t>
      </w:r>
      <w:r>
        <w:t xml:space="preserve"> </w:t>
      </w:r>
      <w:r>
        <w:t xml:space="preserve">CI [−0.73, −0.28], negative in all three instances) and null at 1×, 5× and</w:t>
      </w:r>
      <w:r>
        <w:t xml:space="preserve"> </w:t>
      </w:r>
      <w:r>
        <w:t xml:space="preserve">10×; it is untestable at 0.5×, where the gates-off sketch cell is degenerate</w:t>
      </w:r>
      <w:r>
        <w:t xml:space="preserve"> </w:t>
      </w:r>
      <w:r>
        <w:t xml:space="preserve">(data/repro_check/multiseed/INTERACTION_REPORT.md). The 2× sign means the</w:t>
      </w:r>
      <w:r>
        <w:t xml:space="preserve"> </w:t>
      </w:r>
      <w:r>
        <w:t xml:space="preserve">estimator’s edge over sorted-rank is</w:t>
      </w:r>
      <w:r>
        <w:t xml:space="preserve"> </w:t>
      </w:r>
      <w:r>
        <w:rPr>
          <w:i/>
          <w:iCs/>
        </w:rPr>
        <w:t xml:space="preserve">larger</w:t>
      </w:r>
      <w:r>
        <w:t xml:space="preserve"> </w:t>
      </w:r>
      <w:r>
        <w:t xml:space="preserve">on sketch landmarks than on</w:t>
      </w:r>
      <w:r>
        <w:t xml:space="preserve"> </w:t>
      </w:r>
      <w:r>
        <w:t xml:space="preserve">enzyme anchors — there is no evidence the panel amplifies the estimator’s</w:t>
      </w:r>
      <w:r>
        <w:t xml:space="preserve"> </w:t>
      </w:r>
      <w:r>
        <w:t xml:space="preserve">value. Pooling the same 48 units, anchors and matched-density sketch are</w:t>
      </w:r>
      <w:r>
        <w:t xml:space="preserve"> </w:t>
      </w:r>
      <w:r>
        <w:t xml:space="preserve">indistinguishable at every depth, 0.5× included (paired Δz CIs cross zero</w:t>
      </w:r>
      <w:r>
        <w:t xml:space="preserve"> </w:t>
      </w:r>
      <w:r>
        <w:t xml:space="preserve">everywhere). At 0.5× the single-stratum sketch is</w:t>
      </w:r>
      <w:r>
        <w:t xml:space="preserve"> </w:t>
      </w:r>
      <w:r>
        <w:t xml:space="preserve">actually</w:t>
      </w:r>
      <w:r>
        <w:t xml:space="preserve"> </w:t>
      </w:r>
      <w:r>
        <w:rPr>
          <w:i/>
          <w:iCs/>
        </w:rPr>
        <w:t xml:space="preserve">ahead of the panel on surviving cells</w:t>
      </w:r>
      <w:r>
        <w:t xml:space="preserve"> </w:t>
      </w:r>
      <w:r>
        <w:t xml:space="preserve">(r 0.82–0.84, n = 10–11, vs</w:t>
      </w:r>
      <w:r>
        <w:t xml:space="preserve"> </w:t>
      </w:r>
      <w:r>
        <w:t xml:space="preserve">panel r 0.50–0.57, n = 15–16, in the same harness), but it loses 6/17 cells at</w:t>
      </w:r>
      <w:r>
        <w:t xml:space="preserve"> </w:t>
      </w:r>
      <w:r>
        <w:t xml:space="preserve">the</w:t>
      </w:r>
      <w:r>
        <w:t xml:space="preserve"> </w:t>
      </w:r>
      <w:r>
        <w:t xml:space="preserve">“no downhill origin”</w:t>
      </w:r>
      <w:r>
        <w:t xml:space="preserve"> </w:t>
      </w:r>
      <w:r>
        <w:t xml:space="preserve">gate. The sketch’s 0.5× r is computed on those</w:t>
      </w:r>
      <w:r>
        <w:t xml:space="preserve"> </w:t>
      </w:r>
      <w:r>
        <w:t xml:space="preserve">survivors,</w:t>
      </w:r>
      <w:r>
        <w:t xml:space="preserve"> </w:t>
      </w:r>
      <w:r>
        <w:t xml:space="preserve">so the comparison carries a survivor-selection effect; because the dropped</w:t>
      </w:r>
      <w:r>
        <w:t xml:space="preserve"> </w:t>
      </w:r>
      <w:r>
        <w:t xml:space="preserve">cells fail for absence of a fittable gradient — the hard cells, not easy ones —</w:t>
      </w:r>
      <w:r>
        <w:t xml:space="preserve"> </w:t>
      </w:r>
      <w:r>
        <w:t xml:space="preserve">the selection acts conservatively. Two caveats apply, both now measured rather</w:t>
      </w:r>
      <w:r>
        <w:t xml:space="preserve"> </w:t>
      </w:r>
      <w:r>
        <w:t xml:space="preserve">than pending. First, the historical parity-flag asymmetry (A with</w:t>
      </w:r>
      <w:r>
        <w:t xml:space="preserve"> </w:t>
      </w:r>
      <w:r>
        <w:rPr>
          <w:rStyle w:val="VerbatimChar"/>
        </w:rPr>
        <w:t xml:space="preserve">--windows</w:t>
      </w:r>
      <w:r>
        <w:t xml:space="preserve">,</w:t>
      </w:r>
      <w:r>
        <w:t xml:space="preserve"> </w:t>
      </w:r>
      <w:r>
        <w:t xml:space="preserve">E without) is a no-op: the current code parses</w:t>
      </w:r>
      <w:r>
        <w:t xml:space="preserve"> </w:t>
      </w:r>
      <w:r>
        <w:rPr>
          <w:rStyle w:val="VerbatimChar"/>
        </w:rPr>
        <w:t xml:space="preserve">--windows</w:t>
      </w:r>
      <w:r>
        <w:t xml:space="preserve"> </w:t>
      </w:r>
      <w:r>
        <w:t xml:space="preserve">but never consumes</w:t>
      </w:r>
      <w:r>
        <w:t xml:space="preserve"> </w:t>
      </w:r>
      <w:r>
        <w:t xml:space="preserve">it, and a symmetric rerun — both arms with and without the flag — gives</w:t>
      </w:r>
      <w:r>
        <w:t xml:space="preserve"> </w:t>
      </w:r>
      <w:r>
        <w:t xml:space="preserve">byte-identical outputs (255/255 cells;</w:t>
      </w:r>
      <w:r>
        <w:t xml:space="preserve"> </w:t>
      </w:r>
      <w:r>
        <w:rPr>
          <w:rStyle w:val="VerbatimChar"/>
        </w:rPr>
        <w:t xml:space="preserve">data/f1_symm/</w:t>
      </w:r>
      <w:r>
        <w:t xml:space="preserve">), so the harness is</w:t>
      </w:r>
      <w:r>
        <w:t xml:space="preserve"> </w:t>
      </w:r>
      <w:r>
        <w:t xml:space="preserve">symmetric in effect. Second, cross-harness comparisons of absolute r remain</w:t>
      </w:r>
      <w:r>
        <w:t xml:space="preserve"> </w:t>
      </w:r>
      <w:r>
        <w:t xml:space="preserve">invalid, for a measured reason: the F1 harness counted single-end reads only,</w:t>
      </w:r>
      <w:r>
        <w:t xml:space="preserve"> </w:t>
      </w:r>
      <w:r>
        <w:t xml:space="preserve">so its 0.5× arm-A baseline (r = 0.568) carries half the reads of the committed</w:t>
      </w:r>
      <w:r>
        <w:t xml:space="preserve"> </w:t>
      </w:r>
      <w:r>
        <w:t xml:space="preserve">paired-end grid (r = 0.923; Table 2), and the F1 harness at 1× single-end (≈</w:t>
      </w:r>
      <w:r>
        <w:t xml:space="preserve"> </w:t>
      </w:r>
      <w:r>
        <w:t xml:space="preserve">the same read count as 0.5× paired-end) returns r = 0.906 — the driver is read</w:t>
      </w:r>
      <w:r>
        <w:t xml:space="preserve"> </w:t>
      </w:r>
      <w:r>
        <w:t xml:space="preserve">count, not estimator or code drift (count tables recount md5-identical; the</w:t>
      </w:r>
      <w:r>
        <w:t xml:space="preserve"> </w:t>
      </w:r>
      <w:r>
        <w:t xml:space="preserve">grid itself was regenerated end-to-end on the current code,</w:t>
      </w:r>
      <w:r>
        <w:t xml:space="preserve"> </w:t>
      </w:r>
      <w:r>
        <w:rPr>
          <w:rStyle w:val="VerbatimChar"/>
        </w:rPr>
        <w:t xml:space="preserve">data/repro_check/</w:t>
      </w:r>
      <w:r>
        <w:t xml:space="preserve">).</w:t>
      </w:r>
      <w:r>
        <w:t xml:space="preserve"> </w:t>
      </w:r>
      <w:r>
        <w:t xml:space="preserve">Only within-harness A-versus-E contrasts are used here, and the committed grid</w:t>
      </w:r>
      <w:r>
        <w:t xml:space="preserve"> </w:t>
      </w:r>
      <w:r>
        <w:t xml:space="preserve">numbers (Table 2) are produced by the paired-end pipeline of Methods §3.1.</w:t>
      </w:r>
    </w:p>
    <w:p>
      <w:pPr>
        <w:pStyle w:val="BodyText"/>
      </w:pPr>
      <w:r>
        <w:t xml:space="preserve">Third, the mechanism is density, not determinism: per-window observed landmark</w:t>
      </w:r>
      <w:r>
        <w:t xml:space="preserve"> </w:t>
      </w:r>
      <w:r>
        <w:t xml:space="preserve">counts (17.3–17.5 sketch vs 14.1–21.3 panel) and detected fractions (0.175 vs</w:t>
      </w:r>
      <w:r>
        <w:t xml:space="preserve"> </w:t>
      </w:r>
      <w:r>
        <w:t xml:space="preserve">0.185) are near-identical at matched density. The sentence</w:t>
      </w:r>
      <w:r>
        <w:t xml:space="preserve"> </w:t>
      </w:r>
      <w:r>
        <w:t xml:space="preserve">“deterministic</w:t>
      </w:r>
      <w:r>
        <w:t xml:space="preserve"> </w:t>
      </w:r>
      <w:r>
        <w:t xml:space="preserve">anchors are what keeps windows populated at 0.5×”</w:t>
      </w:r>
      <w:r>
        <w:t xml:space="preserve"> </w:t>
      </w:r>
      <w:r>
        <w:t xml:space="preserve">is therefore retired. What</w:t>
      </w:r>
      <w:r>
        <w:t xml:space="preserve"> </w:t>
      </w:r>
      <w:r>
        <w:t xml:space="preserve">actually keeps the panel working at 0.5× is fusion redundancy: a single-stratum</w:t>
      </w:r>
      <w:r>
        <w:t xml:space="preserve"> </w:t>
      </w:r>
      <w:r>
        <w:t xml:space="preserve">sketch that finds no downhill origin has no second stratum to rescue it</w:t>
      </w:r>
      <w:r>
        <w:t xml:space="preserve"> </w:t>
      </w:r>
      <w:r>
        <w:t xml:space="preserve">(6/17 cells), whereas sixteen strata need only a subset of per-enzyme fits to</w:t>
      </w:r>
      <w:r>
        <w:t xml:space="preserve"> </w:t>
      </w:r>
      <w:r>
        <w:t xml:space="preserve">succeed. A property-by-property comparison of the two landmark sources,</w:t>
      </w:r>
      <w:r>
        <w:t xml:space="preserve"> </w:t>
      </w:r>
      <w:r>
        <w:t xml:space="preserve">with each row carrying its evidence, is given in Table 9.</w:t>
      </w:r>
    </w:p>
    <w:p>
      <w:pPr>
        <w:pStyle w:val="BodyText"/>
      </w:pPr>
      <w:r>
        <w:rPr>
          <w:i/>
          <w:iCs/>
        </w:rPr>
        <w:t xml:space="preserve">(Fig. 4)</w:t>
      </w:r>
    </w:p>
    <w:bookmarkEnd w:id="56"/>
    <w:bookmarkStart w:id="57" w:name="X5aa37cfb64c4d815f4fee0e74b644b0546e0c08"/>
    <w:p>
      <w:pPr>
        <w:pStyle w:val="Heading3"/>
      </w:pPr>
      <w:r>
        <w:t xml:space="preserve">5. How many enzymes are needed, and over what GC range?</w:t>
      </w:r>
    </w:p>
    <w:p>
      <w:pPr>
        <w:pStyle w:val="FirstParagraph"/>
      </w:pPr>
      <w:r>
        <w:t xml:space="preserve">Four to eight enzymes, not sixteen, are sufficient; the recommendation holds</w:t>
      </w:r>
      <w:r>
        <w:t xml:space="preserve"> </w:t>
      </w:r>
      <w:r>
        <w:t xml:space="preserve">across the measured GC range of 25.4–72.0%, with a measured instrument</w:t>
      </w:r>
      <w:r>
        <w:t xml:space="preserve"> </w:t>
      </w:r>
      <w:r>
        <w:t xml:space="preserve">boundary at GC ≲ 30% combined with 0.5× depth.</w:t>
      </w:r>
    </w:p>
    <w:p>
      <w:pPr>
        <w:pStyle w:val="BodyText"/>
      </w:pPr>
      <w:r>
        <w:t xml:space="preserve">Ranking the sixteen enzymes by standalone accuracy (each per-enzyme output is</w:t>
      </w:r>
      <w:r>
        <w:t xml:space="preserve"> </w:t>
      </w:r>
      <w:r>
        <w:t xml:space="preserve">already an independent V-shape fit, so the ranking is free), we find it</w:t>
      </w:r>
      <w:r>
        <w:t xml:space="preserve"> </w:t>
      </w:r>
      <w:r>
        <w:t xml:space="preserve">dominated by anchor yield without being dictated by it: the top six by accuracy</w:t>
      </w:r>
      <w:r>
        <w:t xml:space="preserve"> </w:t>
      </w:r>
      <w:r>
        <w:t xml:space="preserve">all carry &gt; 1,900 anchors — BslFI, with 2,501 anchors, is the yield exception</w:t>
      </w:r>
      <w:r>
        <w:t xml:space="preserve"> </w:t>
      </w:r>
      <w:r>
        <w:t xml:space="preserve">outside them at rank nine — and the bottom four by accuracy (FalI, AloI, BplI,</w:t>
      </w:r>
      <w:r>
        <w:t xml:space="preserve"> </w:t>
      </w:r>
      <w:r>
        <w:t xml:space="preserve">PsrI; 687/441/379/419 anchors) are near-zero or negative at 0.5×. The sparsest</w:t>
      </w:r>
      <w:r>
        <w:t xml:space="preserve"> </w:t>
      </w:r>
      <w:r>
        <w:t xml:space="preserve">enzyme of all, PpiI (336 anchors), is the accuracy exception, holding</w:t>
      </w:r>
      <w:r>
        <w:t xml:space="preserve"> </w:t>
      </w:r>
      <w:r>
        <w:t xml:space="preserve">r = 0.61 at 0.5×. Sweeping panel size k ∈ {2, 4, 8, 12, 16} (accuracy averaged</w:t>
      </w:r>
      <w:r>
        <w:t xml:space="preserve"> </w:t>
      </w:r>
      <w:r>
        <w:t xml:space="preserve">over ≤ 2× on the Zheng grid) gives: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enzymes</w:t>
            </w:r>
          </w:p>
        </w:tc>
        <w:tc>
          <w:tcPr/>
          <w:p>
            <w:pPr>
              <w:pStyle w:val="Compact"/>
            </w:pPr>
            <w:r>
              <w:t xml:space="preserve">anchors</w:t>
            </w:r>
          </w:p>
        </w:tc>
        <w:tc>
          <w:tcPr/>
          <w:p>
            <w:pPr>
              <w:pStyle w:val="Compact"/>
            </w:pPr>
            <w:r>
              <w:t xml:space="preserve">r</w:t>
            </w:r>
          </w:p>
        </w:tc>
        <w:tc>
          <w:tcPr/>
          <w:p>
            <w:pPr>
              <w:pStyle w:val="Compact"/>
            </w:pPr>
            <w:r>
              <w:t xml:space="preserve">RMSE</w:t>
            </w:r>
          </w:p>
        </w:tc>
        <w:tc>
          <w:tcPr/>
          <w:p>
            <w:pPr>
              <w:pStyle w:val="Compact"/>
            </w:pPr>
            <w:r>
              <w:t xml:space="preserve">run-out bias</w:t>
            </w:r>
          </w:p>
        </w:tc>
        <w:tc>
          <w:tcPr/>
          <w:p>
            <w:pPr>
              <w:pStyle w:val="Compact"/>
            </w:pPr>
            <w:r>
              <w:t xml:space="preserve">s/sample</w:t>
            </w:r>
          </w:p>
        </w:tc>
      </w:tr>
      <w:tr>
        <w:tc>
          <w:tcPr/>
          <w:p>
            <w:pPr>
              <w:pStyle w:val="Compact"/>
            </w:pPr>
            <w:r>
              <w:t xml:space="preserve">2</w:t>
            </w:r>
          </w:p>
        </w:tc>
        <w:tc>
          <w:tcPr/>
          <w:p>
            <w:pPr>
              <w:pStyle w:val="Compact"/>
            </w:pPr>
            <w:r>
              <w:t xml:space="preserve">17,055</w:t>
            </w:r>
          </w:p>
        </w:tc>
        <w:tc>
          <w:tcPr/>
          <w:p>
            <w:pPr>
              <w:pStyle w:val="Compact"/>
            </w:pPr>
            <w:r>
              <w:t xml:space="preserve">0.951</w:t>
            </w:r>
          </w:p>
        </w:tc>
        <w:tc>
          <w:tcPr/>
          <w:p>
            <w:pPr>
              <w:pStyle w:val="Compact"/>
            </w:pPr>
            <w:r>
              <w:t xml:space="preserve">0.188</w:t>
            </w:r>
          </w:p>
        </w:tc>
        <w:tc>
          <w:tcPr/>
          <w:p>
            <w:pPr>
              <w:pStyle w:val="Compact"/>
            </w:pPr>
            <w:r>
              <w:t xml:space="preserve">0.073</w:t>
            </w:r>
          </w:p>
        </w:tc>
        <w:tc>
          <w:tcPr/>
          <w:p>
            <w:pPr>
              <w:pStyle w:val="Compact"/>
            </w:pPr>
            <w:r>
              <w:t xml:space="preserve">3.2</w:t>
            </w:r>
          </w:p>
        </w:tc>
      </w:tr>
      <w:tr>
        <w:tc>
          <w:tcPr/>
          <w:p>
            <w:pPr>
              <w:pStyle w:val="Compact"/>
            </w:pPr>
            <w:r>
              <w:t xml:space="preserve">4</w:t>
            </w:r>
          </w:p>
        </w:tc>
        <w:tc>
          <w:tcPr/>
          <w:p>
            <w:pPr>
              <w:pStyle w:val="Compact"/>
            </w:pPr>
            <w:r>
              <w:t xml:space="preserve">24,753</w:t>
            </w:r>
          </w:p>
        </w:tc>
        <w:tc>
          <w:tcPr/>
          <w:p>
            <w:pPr>
              <w:pStyle w:val="Compact"/>
            </w:pPr>
            <w:r>
              <w:t xml:space="preserve">0.959</w:t>
            </w:r>
          </w:p>
        </w:tc>
        <w:tc>
          <w:tcPr/>
          <w:p>
            <w:pPr>
              <w:pStyle w:val="Compact"/>
            </w:pPr>
            <w:r>
              <w:rPr>
                <w:b/>
                <w:bCs/>
              </w:rPr>
              <w:t xml:space="preserve">0.165</w:t>
            </w:r>
          </w:p>
        </w:tc>
        <w:tc>
          <w:tcPr/>
          <w:p>
            <w:pPr>
              <w:pStyle w:val="Compact"/>
            </w:pPr>
            <w:r>
              <w:t xml:space="preserve">0.074</w:t>
            </w:r>
          </w:p>
        </w:tc>
        <w:tc>
          <w:tcPr/>
          <w:p>
            <w:pPr>
              <w:pStyle w:val="Compact"/>
            </w:pPr>
            <w:r>
              <w:t xml:space="preserve">4.4</w:t>
            </w:r>
          </w:p>
        </w:tc>
      </w:tr>
      <w:tr>
        <w:tc>
          <w:tcPr/>
          <w:p>
            <w:pPr>
              <w:pStyle w:val="Compact"/>
            </w:pPr>
            <w:r>
              <w:t xml:space="preserve">8</w:t>
            </w:r>
          </w:p>
        </w:tc>
        <w:tc>
          <w:tcPr/>
          <w:p>
            <w:pPr>
              <w:pStyle w:val="Compact"/>
            </w:pPr>
            <w:r>
              <w:t xml:space="preserve">37,232</w:t>
            </w:r>
          </w:p>
        </w:tc>
        <w:tc>
          <w:tcPr/>
          <w:p>
            <w:pPr>
              <w:pStyle w:val="Compact"/>
            </w:pPr>
            <w:r>
              <w:rPr>
                <w:b/>
                <w:bCs/>
              </w:rPr>
              <w:t xml:space="preserve">0.969</w:t>
            </w:r>
          </w:p>
        </w:tc>
        <w:tc>
          <w:tcPr/>
          <w:p>
            <w:pPr>
              <w:pStyle w:val="Compact"/>
            </w:pPr>
            <w:r>
              <w:t xml:space="preserve">0.171</w:t>
            </w:r>
          </w:p>
        </w:tc>
        <w:tc>
          <w:tcPr/>
          <w:p>
            <w:pPr>
              <w:pStyle w:val="Compact"/>
            </w:pPr>
            <w:r>
              <w:t xml:space="preserve">0.123</w:t>
            </w:r>
          </w:p>
        </w:tc>
        <w:tc>
          <w:tcPr/>
          <w:p>
            <w:pPr>
              <w:pStyle w:val="Compact"/>
            </w:pPr>
            <w:r>
              <w:t xml:space="preserve">6.5</w:t>
            </w:r>
          </w:p>
        </w:tc>
      </w:tr>
      <w:tr>
        <w:tc>
          <w:tcPr/>
          <w:p>
            <w:pPr>
              <w:pStyle w:val="Compact"/>
            </w:pPr>
            <w:r>
              <w:t xml:space="preserve">12</w:t>
            </w:r>
          </w:p>
        </w:tc>
        <w:tc>
          <w:tcPr/>
          <w:p>
            <w:pPr>
              <w:pStyle w:val="Compact"/>
            </w:pPr>
            <w:r>
              <w:t xml:space="preserve">41,662</w:t>
            </w:r>
          </w:p>
        </w:tc>
        <w:tc>
          <w:tcPr/>
          <w:p>
            <w:pPr>
              <w:pStyle w:val="Compact"/>
            </w:pPr>
            <w:r>
              <w:t xml:space="preserve">0.969</w:t>
            </w:r>
          </w:p>
        </w:tc>
        <w:tc>
          <w:tcPr/>
          <w:p>
            <w:pPr>
              <w:pStyle w:val="Compact"/>
            </w:pPr>
            <w:r>
              <w:t xml:space="preserve">0.183</w:t>
            </w:r>
          </w:p>
        </w:tc>
        <w:tc>
          <w:tcPr/>
          <w:p>
            <w:pPr>
              <w:pStyle w:val="Compact"/>
            </w:pPr>
            <w:r>
              <w:t xml:space="preserve">0.132</w:t>
            </w:r>
          </w:p>
        </w:tc>
        <w:tc>
          <w:tcPr/>
          <w:p>
            <w:pPr>
              <w:pStyle w:val="Compact"/>
            </w:pPr>
            <w:r>
              <w:t xml:space="preserve">7.8</w:t>
            </w:r>
          </w:p>
        </w:tc>
      </w:tr>
      <w:tr>
        <w:tc>
          <w:tcPr/>
          <w:p>
            <w:pPr>
              <w:pStyle w:val="Compact"/>
            </w:pPr>
            <w:r>
              <w:t xml:space="preserve">16</w:t>
            </w:r>
          </w:p>
        </w:tc>
        <w:tc>
          <w:tcPr/>
          <w:p>
            <w:pPr>
              <w:pStyle w:val="Compact"/>
            </w:pPr>
            <w:r>
              <w:t xml:space="preserve">43,735</w:t>
            </w:r>
          </w:p>
        </w:tc>
        <w:tc>
          <w:tcPr/>
          <w:p>
            <w:pPr>
              <w:pStyle w:val="Compact"/>
            </w:pPr>
            <w:r>
              <w:t xml:space="preserve">0.959</w:t>
            </w:r>
          </w:p>
        </w:tc>
        <w:tc>
          <w:tcPr/>
          <w:p>
            <w:pPr>
              <w:pStyle w:val="Compact"/>
            </w:pPr>
            <w:r>
              <w:t xml:space="preserve">0.196</w:t>
            </w:r>
          </w:p>
        </w:tc>
        <w:tc>
          <w:tcPr/>
          <w:p>
            <w:pPr>
              <w:pStyle w:val="Compact"/>
            </w:pPr>
            <w:r>
              <w:t xml:space="preserve">0.145</w:t>
            </w:r>
          </w:p>
        </w:tc>
        <w:tc>
          <w:tcPr/>
          <w:p>
            <w:pPr>
              <w:pStyle w:val="Compact"/>
            </w:pPr>
            <w:r>
              <w:t xml:space="preserve">8.2</w:t>
            </w:r>
          </w:p>
        </w:tc>
      </w:tr>
    </w:tbl>
    <w:p>
      <w:pPr>
        <w:pStyle w:val="BodyText"/>
      </w:pPr>
      <w:r>
        <w:t xml:space="preserve">accuracy is statistically indistinguishable across 4–12 enzymes (bootstrap</w:t>
      </w:r>
      <w:r>
        <w:t xml:space="preserve"> </w:t>
      </w:r>
      <w:r>
        <w:t xml:space="preserve">95% CIs overlap), with the point estimate peaking at k = 8 and RMSE at k = 4;</w:t>
      </w:r>
      <w:r>
        <w:t xml:space="preserve"> </w:t>
      </w:r>
      <w:r>
        <w:t xml:space="preserve">the four sparsest enzymes add no accuracy and double the run-out bias, while</w:t>
      </w:r>
      <w:r>
        <w:t xml:space="preserve"> </w:t>
      </w:r>
      <w:r>
        <w:t xml:space="preserve">cost is linear in k.</w:t>
      </w:r>
      <w:r>
        <w:t xml:space="preserve"> </w:t>
      </w:r>
      <w:r>
        <w:rPr>
          <w:b/>
          <w:bCs/>
        </w:rPr>
        <w:t xml:space="preserve">The benchmarks in this paper all run the full</w:t>
      </w:r>
      <w:r>
        <w:rPr>
          <w:b/>
          <w:bCs/>
        </w:rPr>
        <w:t xml:space="preserve"> </w:t>
      </w:r>
      <w:r>
        <w:rPr>
          <w:b/>
          <w:bCs/>
        </w:rPr>
        <w:t xml:space="preserve">16-enzyme panel; for routine use we recommend 4–8 enzymes, with k = 8 as the</w:t>
      </w:r>
      <w:r>
        <w:rPr>
          <w:b/>
          <w:bCs/>
        </w:rPr>
        <w:t xml:space="preserve"> </w:t>
      </w:r>
      <w:r>
        <w:rPr>
          <w:b/>
          <w:bCs/>
        </w:rPr>
        <w:t xml:space="preserve">suggested default</w:t>
      </w:r>
      <w:r>
        <w:t xml:space="preserve"> </w:t>
      </w:r>
      <w:r>
        <w:t xml:space="preserve">(point-estimate peak, statistically tied with 4–12; the</w:t>
      </w:r>
      <w:r>
        <w:t xml:space="preserve"> </w:t>
      </w:r>
      <w:r>
        <w:t xml:space="preserve">16-enzyme panel remains the right choice only where maximum anchor density at</w:t>
      </w:r>
      <w:r>
        <w:t xml:space="preserve"> </w:t>
      </w:r>
      <w:r>
        <w:t xml:space="preserve">extreme GC is the binding constraint, Results §5 GC sweep). A two-enzyme panel still</w:t>
      </w:r>
      <w:r>
        <w:t xml:space="preserve"> </w:t>
      </w:r>
      <w:r>
        <w:t xml:space="preserve">carries 17,055 anchors — comparable to Pilea’s 18,261 sketch k-mers, the</w:t>
      </w:r>
      <w:r>
        <w:t xml:space="preserve"> </w:t>
      </w:r>
      <w:r>
        <w:t xml:space="preserve">like-for-like sketch-size comparison — and delivers r = 0.960 at 1×, where</w:t>
      </w:r>
      <w:r>
        <w:t xml:space="preserve"> </w:t>
      </w:r>
      <w:r>
        <w:t xml:space="preserve">Pilea’s shipped gates report nothing. We report this as an empirical result,</w:t>
      </w:r>
      <w:r>
        <w:t xml:space="preserve"> </w:t>
      </w:r>
      <w:r>
        <w:t xml:space="preserve">not a mechanism: sparse enzymes are not more biased than dense ones (mean bias</w:t>
      </w:r>
      <w:r>
        <w:t xml:space="preserve"> </w:t>
      </w:r>
      <w:r>
        <w:t xml:space="preserve">at 0.5×, −0.319 vs −0.312), and forcing fixed-effect fusion weights does not</w:t>
      </w:r>
      <w:r>
        <w:t xml:space="preserve"> </w:t>
      </w:r>
      <w:r>
        <w:t xml:space="preserve">recover the loss (RMSE 0.581 vs 0.506 at 0.5×). A leave-one-medium-out check at 1× gives held-out r = 0.981 for k = 4 and 0.983 for k = 8, against same-set values of 0.983 for both (</w:t>
      </w:r>
      <w:r>
        <w:rPr>
          <w:rStyle w:val="VerbatimChar"/>
        </w:rPr>
        <w:t xml:space="preserve">data/review_response/lomo_kscan.tsv</w:t>
      </w:r>
      <w:r>
        <w:t xml:space="preserve">); selection optimism is therefore negligible here, although the enzyme ordering remains a panel-specific observation. This analysis is also what</w:t>
      </w:r>
      <w:r>
        <w:t xml:space="preserve"> </w:t>
      </w:r>
      <w:r>
        <w:t xml:space="preserve">exposed a double-counting bug (Bsp24I corrupting CjePI at k ≥ 8; Methods</w:t>
      </w:r>
      <w:r>
        <w:t xml:space="preserve"> </w:t>
      </w:r>
      <w:r>
        <w:t xml:space="preserve">§1.2); the sweep was repeated with the corrected ranking.</w:t>
      </w:r>
    </w:p>
    <w:p>
      <w:pPr>
        <w:pStyle w:val="BodyText"/>
      </w:pPr>
      <w:r>
        <w:t xml:space="preserve">We then asked whether the 8-enzyme recommendation, derived at</w:t>
      </w:r>
      <w:r>
        <w:t xml:space="preserve"> </w:t>
      </w:r>
      <w:r>
        <w:rPr>
          <w:i/>
          <w:iCs/>
        </w:rPr>
        <w:t xml:space="preserve">E. coli</w:t>
      </w:r>
      <w:r>
        <w:t xml:space="preserve"> </w:t>
      </w:r>
      <w:r>
        <w:t xml:space="preserve">GC</w:t>
      </w:r>
      <w:r>
        <w:t xml:space="preserve"> </w:t>
      </w:r>
      <w:r>
        <w:t xml:space="preserve">(50.8%), holds across genomes. On 18 near-complete genomes spanning GC</w:t>
      </w:r>
      <w:r>
        <w:t xml:space="preserve"> </w:t>
      </w:r>
      <w:r>
        <w:t xml:space="preserve">25.4–72.0% (GTDB R232 metadata standing in for the planned R226 release; reads</w:t>
      </w:r>
      <w:r>
        <w:t xml:space="preserve"> </w:t>
      </w:r>
      <w:r>
        <w:t xml:space="preserve">were simulated with planted replication gradients, n = 8 per cell), three</w:t>
      </w:r>
      <w:r>
        <w:t xml:space="preserve"> </w:t>
      </w:r>
      <w:r>
        <w:t xml:space="preserve">results emerged. (i) Panel density rises</w:t>
      </w:r>
      <w:r>
        <w:t xml:space="preserve"> </w:t>
      </w:r>
      <w:r>
        <w:rPr>
          <w:i/>
          <w:iCs/>
        </w:rPr>
        <w:t xml:space="preserve">monotonically</w:t>
      </w:r>
      <w:r>
        <w:t xml:space="preserve"> </w:t>
      </w:r>
      <w:r>
        <w:t xml:space="preserve">with GC — ~4.5k</w:t>
      </w:r>
      <w:r>
        <w:t xml:space="preserve"> </w:t>
      </w:r>
      <w:r>
        <w:t xml:space="preserve">landmarks/Mb at 26% GC, ~9.4k at 50.8%, ~12.4k/Mb at 72% — with depression</w:t>
      </w:r>
      <w:r>
        <w:t xml:space="preserve"> </w:t>
      </w:r>
      <w:r>
        <w:t xml:space="preserve">only at the low-GC end; the both-ends-fall expectation and Syn2b’s</w:t>
      </w:r>
      <w:r>
        <w:t xml:space="preserve"> </w:t>
      </w:r>
      <w:r>
        <w:t xml:space="preserve">non-monotonic peak were not observed. (ii) The recommendation holds at ≥ 1×: k8 and</w:t>
      </w:r>
      <w:r>
        <w:t xml:space="preserve"> </w:t>
      </w:r>
      <w:r>
        <w:t xml:space="preserve">k16 accuracy differ by &lt; 0.07 r across the whole GC range at 1× and deeper,</w:t>
      </w:r>
      <w:r>
        <w:t xml:space="preserve"> </w:t>
      </w:r>
      <w:r>
        <w:t xml:space="preserve">and even at 72% GC — where k8 density falls to 0.64× k16 — accuracy is</w:t>
      </w:r>
      <w:r>
        <w:t xml:space="preserve"> </w:t>
      </w:r>
      <w:r>
        <w:t xml:space="preserve">unharmed (r 0.98–0.99 for both). At 0.5× the k8–k16 gap grows toward the</w:t>
      </w:r>
      <w:r>
        <w:t xml:space="preserve"> </w:t>
      </w:r>
      <w:r>
        <w:t xml:space="preserve">low-GC boundary (Δr 0.12 at 33.0% GC, 0.21 at 30.6% GC), an explicit caveat</w:t>
      </w:r>
      <w:r>
        <w:t xml:space="preserve"> </w:t>
      </w:r>
      <w:r>
        <w:t xml:space="preserve">for the shallowest depth near the boundary. (iii) At matched density (≤ 4% difference, recomputed per</w:t>
      </w:r>
      <w:r>
        <w:t xml:space="preserve"> </w:t>
      </w:r>
      <w:r>
        <w:t xml:space="preserve">genome) FracMinHash is flat across GC and ties the panel everywhere, so the F1</w:t>
      </w:r>
      <w:r>
        <w:t xml:space="preserve"> </w:t>
      </w:r>
      <w:r>
        <w:t xml:space="preserve">verdict generalises out of</w:t>
      </w:r>
      <w:r>
        <w:t xml:space="preserve"> </w:t>
      </w:r>
      <w:r>
        <w:rPr>
          <w:i/>
          <w:iCs/>
        </w:rPr>
        <w:t xml:space="preserve">E. coli</w:t>
      </w:r>
      <w:r>
        <w:t xml:space="preserve">. The instrument boundary is measured, not</w:t>
      </w:r>
      <w:r>
        <w:t xml:space="preserve"> </w:t>
      </w:r>
      <w:r>
        <w:t xml:space="preserve">assumed: at GC ≤ 30%</w:t>
      </w:r>
      <w:r>
        <w:t xml:space="preserve"> </w:t>
      </w:r>
      <w:r>
        <w:rPr>
          <w:i/>
          <w:iCs/>
        </w:rPr>
        <w:t xml:space="preserve">and</w:t>
      </w:r>
      <w:r>
        <w:t xml:space="preserve"> </w:t>
      </w:r>
      <w:r>
        <w:t xml:space="preserve">0.5× depth both modes fail (r −0.5–0.7, RMSE</w:t>
      </w:r>
      <w:r>
        <w:t xml:space="preserve"> </w:t>
      </w:r>
      <w:r>
        <w:t xml:space="preserve">0.6–0.9); the two failing genomes are 0.65 Mb</w:t>
      </w:r>
      <w:r>
        <w:t xml:space="preserve"> </w:t>
      </w:r>
      <w:r>
        <w:rPr>
          <w:i/>
          <w:iCs/>
        </w:rPr>
        <w:t xml:space="preserve">Buchnera</w:t>
      </w:r>
      <w:r>
        <w:t xml:space="preserve">, so the boundary is</w:t>
      </w:r>
      <w:r>
        <w:t xml:space="preserve"> </w:t>
      </w:r>
      <w:r>
        <w:t xml:space="preserve">confounded with genome size and is flagged, not resolved. The stated operating</w:t>
      </w:r>
      <w:r>
        <w:t xml:space="preserve"> </w:t>
      </w:r>
      <w:r>
        <w:t xml:space="preserve">range is GC ≳ 30% at depth ≳ 1× (all cells at GC ≥ 30% and depth ≥ 1× give r ≥ 0.85; at 2×/5×</w:t>
      </w:r>
      <w:r>
        <w:t xml:space="preserve"> </w:t>
      </w:r>
      <w:r>
        <w:t xml:space="preserve">r ≥ 0.95/0.98).</w:t>
      </w:r>
    </w:p>
    <w:p>
      <w:pPr>
        <w:pStyle w:val="BodyText"/>
      </w:pPr>
      <w:r>
        <w:rPr>
          <w:i/>
          <w:iCs/>
        </w:rPr>
        <w:t xml:space="preserve">(Fig. 5)</w:t>
      </w:r>
    </w:p>
    <w:bookmarkEnd w:id="57"/>
    <w:bookmarkStart w:id="61" w:name="fragmented-references-and-mags"/>
    <w:p>
      <w:pPr>
        <w:pStyle w:val="Heading3"/>
      </w:pPr>
      <w:r>
        <w:t xml:space="preserve">6. Fragmented references and MAGs</w:t>
      </w:r>
    </w:p>
    <w:bookmarkStart w:id="58" w:name="X023c9de081127f5a9ee34128d04d5cd51d91210"/>
    <w:p>
      <w:pPr>
        <w:pStyle w:val="Heading4"/>
      </w:pPr>
      <w:r>
        <w:t xml:space="preserve">6.1 Fragmentation removes the coordinate, and the collapse is landmark-agnostic</w:t>
      </w:r>
    </w:p>
    <w:p>
      <w:pPr>
        <w:pStyle w:val="FirstParagraph"/>
      </w:pPr>
      <w:r>
        <w:t xml:space="preserve">Shuffling a closed chromosome into 100 lognormal contigs does not add noise to</w:t>
      </w:r>
      <w:r>
        <w:t xml:space="preserve"> </w:t>
      </w:r>
      <w:r>
        <w:t xml:space="preserve">the estimate; it removes the coordinate signal, and it does so identically for</w:t>
      </w:r>
      <w:r>
        <w:t xml:space="preserve"> </w:t>
      </w:r>
      <w:r>
        <w:t xml:space="preserve">enzyme and FracMinHash landmarks. On the Zheng protocol (complete chromosome vs</w:t>
      </w:r>
      <w:r>
        <w:t xml:space="preserve"> </w:t>
      </w:r>
      <w:r>
        <w:t xml:space="preserve">100 shuffled contigs vs scaffolded contigs; n = 16 media per cell, identical</w:t>
      </w:r>
      <w:r>
        <w:t xml:space="preserve"> </w:t>
      </w:r>
      <w:r>
        <w:t xml:space="preserve">reads throughout, 43,707 of 43,735 anchors surviving the cut so that only the</w:t>
      </w:r>
      <w:r>
        <w:t xml:space="preserve"> </w:t>
      </w:r>
      <w:r>
        <w:t xml:space="preserve">coordinate changes), fragmented references give r = 0.550 and slope 0.103 at</w:t>
      </w:r>
      <w:r>
        <w:t xml:space="preserve"> </w:t>
      </w:r>
      <w:r>
        <w:t xml:space="preserve">1× (complete: r 0.981, slope 0.779): every estimate lands at about a fifth of</w:t>
      </w:r>
      <w:r>
        <w:t xml:space="preserve"> </w:t>
      </w:r>
      <w:r>
        <w:t xml:space="preserve">truth, and the r = 0.859 at 10× (slope 0.210) makes the failure look far more</w:t>
      </w:r>
      <w:r>
        <w:t xml:space="preserve"> </w:t>
      </w:r>
      <w:r>
        <w:t xml:space="preserve">survivable than it is — the clearest case in the paper for reporting slope</w:t>
      </w:r>
      <w:r>
        <w:t xml:space="preserve"> </w:t>
      </w:r>
      <w:r>
        <w:t xml:space="preserve">beside correlation. Pilea, by contrast, wins outright on unscaffolded contigs</w:t>
      </w:r>
      <w:r>
        <w:t xml:space="preserve"> </w:t>
      </w:r>
      <w:r>
        <w:t xml:space="preserve">(r 0.827 vs 0.550 at 1×; its rank regression loses almost nothing,</w:t>
      </w:r>
      <w:r>
        <w:t xml:space="preserve"> </w:t>
      </w:r>
      <w:r>
        <w:t xml:space="preserve">0.889 → 0.827): a genuine architectural advantage of the sorted estimator that</w:t>
      </w:r>
      <w:r>
        <w:t xml:space="preserve"> </w:t>
      </w:r>
      <w:r>
        <w:t xml:space="preserve">we report as such. Re-running the protocol with matched-density FracMinHash</w:t>
      </w:r>
      <w:r>
        <w:t xml:space="preserve"> </w:t>
      </w:r>
      <w:r>
        <w:t xml:space="preserve">landmarks (</w:t>
      </w:r>
      <w:r>
        <w:rPr>
          <w:rStyle w:val="VerbatimChar"/>
        </w:rPr>
        <w:t xml:space="preserve">data/f4_fragment_sketch/</w:t>
      </w:r>
      <w:r>
        <w:t xml:space="preserve">) gave an</w:t>
      </w:r>
      <w:r>
        <w:t xml:space="preserve"> </w:t>
      </w:r>
      <w:r>
        <w:rPr>
          <w:i/>
          <w:iCs/>
        </w:rPr>
        <w:t xml:space="preserve">identical</w:t>
      </w:r>
      <w:r>
        <w:t xml:space="preserve"> </w:t>
      </w:r>
      <w:r>
        <w:t xml:space="preserve">collapse — slope</w:t>
      </w:r>
      <w:r>
        <w:t xml:space="preserve"> </w:t>
      </w:r>
      <w:r>
        <w:t xml:space="preserve">≈ 1.0 → 0.26–0.38 and RMSE 0.02 → 0.84–0.87 at 5× in both arms — so the</w:t>
      </w:r>
      <w:r>
        <w:t xml:space="preserve"> </w:t>
      </w:r>
      <w:r>
        <w:t xml:space="preserve">mechanism is coordinate loss, full stop. Moreover, a permutation test (200</w:t>
      </w:r>
      <w:r>
        <w:t xml:space="preserve"> </w:t>
      </w:r>
      <w:r>
        <w:t xml:space="preserve">shuffled-coordinate refits) shows the residual high r on fragmented references</w:t>
      </w:r>
      <w:r>
        <w:t xml:space="preserve"> </w:t>
      </w:r>
      <w:r>
        <w:t xml:space="preserve">is partly a search artifact: the origin grid search fits a fake V to a flat</w:t>
      </w:r>
      <w:r>
        <w:t xml:space="preserve"> </w:t>
      </w:r>
      <w:r>
        <w:t xml:space="preserve">profile, and shuffled profiles return the same estimates, scaled with the</w:t>
      </w:r>
      <w:r>
        <w:t xml:space="preserve"> </w:t>
      </w:r>
      <w:r>
        <w:t xml:space="preserve">planted value. Slope and RMSE against truth are the honest metrics on</w:t>
      </w:r>
      <w:r>
        <w:t xml:space="preserve"> </w:t>
      </w:r>
      <w:r>
        <w:t xml:space="preserve">fragmented references; the r column of the original experiment was itself</w:t>
      </w:r>
      <w:r>
        <w:t xml:space="preserve"> </w:t>
      </w:r>
      <w:r>
        <w:t xml:space="preserve">inflated by this artifact. There is no safe contig count, and r cannot find</w:t>
      </w:r>
      <w:r>
        <w:t xml:space="preserve"> </w:t>
      </w:r>
      <w:r>
        <w:t xml:space="preserve">one: across 1–100 contigs at 10×, r stays 0.86–0.97 while the slope falls</w:t>
      </w:r>
      <w:r>
        <w:t xml:space="preserve"> </w:t>
      </w:r>
      <w:r>
        <w:t xml:space="preserve">0.95 → 0.21 and bias grows to −0.81; at 50 contigs (N50 156 kb, a good draft)</w:t>
      </w:r>
      <w:r>
        <w:t xml:space="preserve"> </w:t>
      </w:r>
      <w:r>
        <w:t xml:space="preserve">r reads 0.96 while every estimate is 44% of truth. Degradation is smooth and</w:t>
      </w:r>
      <w:r>
        <w:t xml:space="preserve"> </w:t>
      </w:r>
      <w:r>
        <w:t xml:space="preserve">monotone, so the rule is</w:t>
      </w:r>
      <w:r>
        <w:t xml:space="preserve"> </w:t>
      </w:r>
      <w:r>
        <w:t xml:space="preserve">“scaffold anything not closed”</w:t>
      </w:r>
      <w:r>
        <w:t xml:space="preserve"> </w:t>
      </w:r>
      <w:r>
        <w:t xml:space="preserve">(Fig. 6).</w:t>
      </w:r>
    </w:p>
    <w:p>
      <w:pPr>
        <w:pStyle w:val="BodyText"/>
      </w:pPr>
      <w:r>
        <w:rPr>
          <w:b/>
          <w:bCs/>
        </w:rPr>
        <w:t xml:space="preserve">Table 8 (inline).</w:t>
      </w:r>
      <w:r>
        <w:t xml:space="preserve"> </w:t>
      </w:r>
      <w:r>
        <w:t xml:space="preserve">Fragmentation experiment on the Zheng protocol (n = 16 media per cell, identical reads throughout; 43,707 of 43,735 anchors survive the cut, so only the coordinate changes). Provenance: the complete-reference column is from the earlier laptop-side analysis instance and therefore differs at 1× from the regenerated paired-end grid of Table 2 (r 0.981 vs 0.912); the fragmentation protocol is on the re-run queue behind the estimator decision (Methods §6 provenance note). The load-bearing contrasts in this section are within-experiment — complete vs fragmented vs scaffolded on identical reads — and do not depend on which instance the complete column came from.</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coverage</w:t>
            </w:r>
          </w:p>
        </w:tc>
        <w:tc>
          <w:tcPr/>
          <w:p>
            <w:pPr>
              <w:pStyle w:val="Compact"/>
            </w:pPr>
          </w:p>
        </w:tc>
        <w:tc>
          <w:tcPr/>
          <w:p>
            <w:pPr>
              <w:pStyle w:val="Compact"/>
              <w:jc w:val="right"/>
            </w:pPr>
            <w:r>
              <w:t xml:space="preserve">complete</w:t>
            </w:r>
          </w:p>
        </w:tc>
        <w:tc>
          <w:tcPr/>
          <w:p>
            <w:pPr>
              <w:pStyle w:val="Compact"/>
              <w:jc w:val="right"/>
            </w:pPr>
            <w:r>
              <w:t xml:space="preserve">100 contigs</w:t>
            </w:r>
          </w:p>
        </w:tc>
        <w:tc>
          <w:tcPr/>
          <w:p>
            <w:pPr>
              <w:pStyle w:val="Compact"/>
              <w:jc w:val="right"/>
            </w:pPr>
            <w:r>
              <w:t xml:space="preserve">scaffolded vs O157:H7</w:t>
            </w:r>
          </w:p>
        </w:tc>
        <w:tc>
          <w:tcPr/>
          <w:p>
            <w:pPr>
              <w:pStyle w:val="Compact"/>
              <w:jc w:val="right"/>
            </w:pPr>
            <w:r>
              <w:t xml:space="preserve">Pilea on 100 contigs</w:t>
            </w:r>
          </w:p>
        </w:tc>
      </w:tr>
      <w:tr>
        <w:tc>
          <w:tcPr/>
          <w:p>
            <w:pPr>
              <w:pStyle w:val="Compact"/>
            </w:pPr>
            <w:r>
              <w:t xml:space="preserve">1×</w:t>
            </w:r>
          </w:p>
        </w:tc>
        <w:tc>
          <w:tcPr/>
          <w:p>
            <w:pPr>
              <w:pStyle w:val="Compact"/>
            </w:pPr>
            <w:r>
              <w:t xml:space="preserve">r</w:t>
            </w:r>
          </w:p>
        </w:tc>
        <w:tc>
          <w:tcPr/>
          <w:p>
            <w:pPr>
              <w:pStyle w:val="Compact"/>
              <w:jc w:val="right"/>
            </w:pPr>
            <w:r>
              <w:t xml:space="preserve">0.981</w:t>
            </w:r>
          </w:p>
        </w:tc>
        <w:tc>
          <w:tcPr/>
          <w:p>
            <w:pPr>
              <w:pStyle w:val="Compact"/>
              <w:jc w:val="right"/>
            </w:pPr>
            <w:r>
              <w:t xml:space="preserve">0.550</w:t>
            </w:r>
          </w:p>
        </w:tc>
        <w:tc>
          <w:tcPr/>
          <w:p>
            <w:pPr>
              <w:pStyle w:val="Compact"/>
              <w:jc w:val="right"/>
            </w:pPr>
            <w:r>
              <w:t xml:space="preserve">0.977</w:t>
            </w:r>
          </w:p>
        </w:tc>
        <w:tc>
          <w:tcPr/>
          <w:p>
            <w:pPr>
              <w:pStyle w:val="Compact"/>
              <w:jc w:val="right"/>
            </w:pPr>
            <w:r>
              <w:t xml:space="preserve">0.827</w:t>
            </w:r>
          </w:p>
        </w:tc>
      </w:tr>
      <w:tr>
        <w:tc>
          <w:tcPr/>
          <w:p>
            <w:pPr>
              <w:pStyle w:val="Compact"/>
            </w:pPr>
          </w:p>
        </w:tc>
        <w:tc>
          <w:tcPr/>
          <w:p>
            <w:pPr>
              <w:pStyle w:val="Compact"/>
            </w:pPr>
            <w:r>
              <w:t xml:space="preserve">slope</w:t>
            </w:r>
          </w:p>
        </w:tc>
        <w:tc>
          <w:tcPr/>
          <w:p>
            <w:pPr>
              <w:pStyle w:val="Compact"/>
              <w:jc w:val="right"/>
            </w:pPr>
            <w:r>
              <w:t xml:space="preserve">0.779</w:t>
            </w:r>
          </w:p>
        </w:tc>
        <w:tc>
          <w:tcPr/>
          <w:p>
            <w:pPr>
              <w:pStyle w:val="Compact"/>
              <w:jc w:val="right"/>
            </w:pPr>
            <w:r>
              <w:t xml:space="preserve">0.103</w:t>
            </w:r>
          </w:p>
        </w:tc>
        <w:tc>
          <w:tcPr/>
          <w:p>
            <w:pPr>
              <w:pStyle w:val="Compact"/>
              <w:jc w:val="right"/>
            </w:pPr>
            <w:r>
              <w:t xml:space="preserve">0.755</w:t>
            </w:r>
          </w:p>
        </w:tc>
        <w:tc>
          <w:tcPr/>
          <w:p>
            <w:pPr>
              <w:pStyle w:val="Compact"/>
              <w:jc w:val="right"/>
            </w:pPr>
            <w:r>
              <w:t xml:space="preserve">0.628</w:t>
            </w:r>
          </w:p>
        </w:tc>
      </w:tr>
      <w:tr>
        <w:tc>
          <w:tcPr/>
          <w:p>
            <w:pPr>
              <w:pStyle w:val="Compact"/>
            </w:pPr>
            <w:r>
              <w:t xml:space="preserve">10×</w:t>
            </w:r>
          </w:p>
        </w:tc>
        <w:tc>
          <w:tcPr/>
          <w:p>
            <w:pPr>
              <w:pStyle w:val="Compact"/>
            </w:pPr>
            <w:r>
              <w:t xml:space="preserve">r</w:t>
            </w:r>
          </w:p>
        </w:tc>
        <w:tc>
          <w:tcPr/>
          <w:p>
            <w:pPr>
              <w:pStyle w:val="Compact"/>
              <w:jc w:val="right"/>
            </w:pPr>
            <w:r>
              <w:t xml:space="preserve">0.968</w:t>
            </w:r>
          </w:p>
        </w:tc>
        <w:tc>
          <w:tcPr/>
          <w:p>
            <w:pPr>
              <w:pStyle w:val="Compact"/>
              <w:jc w:val="right"/>
            </w:pPr>
            <w:r>
              <w:t xml:space="preserve">0.859</w:t>
            </w:r>
          </w:p>
        </w:tc>
        <w:tc>
          <w:tcPr/>
          <w:p>
            <w:pPr>
              <w:pStyle w:val="Compact"/>
              <w:jc w:val="right"/>
            </w:pPr>
            <w:r>
              <w:t xml:space="preserve">0.967</w:t>
            </w:r>
          </w:p>
        </w:tc>
        <w:tc>
          <w:tcPr/>
          <w:p>
            <w:pPr>
              <w:pStyle w:val="Compact"/>
              <w:jc w:val="right"/>
            </w:pPr>
            <w:r>
              <w:t xml:space="preserve">0.960</w:t>
            </w:r>
          </w:p>
        </w:tc>
      </w:tr>
      <w:tr>
        <w:tc>
          <w:tcPr/>
          <w:p>
            <w:pPr>
              <w:pStyle w:val="Compact"/>
            </w:pPr>
          </w:p>
        </w:tc>
        <w:tc>
          <w:tcPr/>
          <w:p>
            <w:pPr>
              <w:pStyle w:val="Compact"/>
            </w:pPr>
            <w:r>
              <w:t xml:space="preserve">RMSE</w:t>
            </w:r>
          </w:p>
        </w:tc>
        <w:tc>
          <w:tcPr/>
          <w:p>
            <w:pPr>
              <w:pStyle w:val="Compact"/>
              <w:jc w:val="right"/>
            </w:pPr>
            <w:r>
              <w:t xml:space="preserve">0.063</w:t>
            </w:r>
          </w:p>
        </w:tc>
        <w:tc>
          <w:tcPr/>
          <w:p>
            <w:pPr>
              <w:pStyle w:val="Compact"/>
              <w:jc w:val="right"/>
            </w:pPr>
            <w:r>
              <w:t xml:space="preserve">0.862</w:t>
            </w:r>
          </w:p>
        </w:tc>
        <w:tc>
          <w:tcPr/>
          <w:p>
            <w:pPr>
              <w:pStyle w:val="Compact"/>
              <w:jc w:val="right"/>
            </w:pPr>
            <w:r>
              <w:t xml:space="preserve">0.086</w:t>
            </w:r>
          </w:p>
        </w:tc>
        <w:tc>
          <w:tcPr/>
          <w:p>
            <w:pPr>
              <w:pStyle w:val="Compact"/>
              <w:jc w:val="right"/>
            </w:pPr>
            <w:r>
              <w:t xml:space="preserve">0.077</w:t>
            </w:r>
          </w:p>
        </w:tc>
      </w:tr>
      <w:tr>
        <w:tc>
          <w:tcPr/>
          <w:p>
            <w:pPr>
              <w:pStyle w:val="Compact"/>
            </w:pPr>
          </w:p>
        </w:tc>
        <w:tc>
          <w:tcPr/>
          <w:p>
            <w:pPr>
              <w:pStyle w:val="Compact"/>
            </w:pPr>
            <w:r>
              <w:t xml:space="preserve">slope</w:t>
            </w:r>
          </w:p>
        </w:tc>
        <w:tc>
          <w:tcPr/>
          <w:p>
            <w:pPr>
              <w:pStyle w:val="Compact"/>
              <w:jc w:val="right"/>
            </w:pPr>
            <w:r>
              <w:t xml:space="preserve">0.951</w:t>
            </w:r>
          </w:p>
        </w:tc>
        <w:tc>
          <w:tcPr/>
          <w:p>
            <w:pPr>
              <w:pStyle w:val="Compact"/>
              <w:jc w:val="right"/>
            </w:pPr>
            <w:r>
              <w:t xml:space="preserve">0.210</w:t>
            </w:r>
          </w:p>
        </w:tc>
        <w:tc>
          <w:tcPr/>
          <w:p>
            <w:pPr>
              <w:pStyle w:val="Compact"/>
              <w:jc w:val="right"/>
            </w:pPr>
            <w:r>
              <w:t xml:space="preserve">0.984</w:t>
            </w:r>
          </w:p>
        </w:tc>
        <w:tc>
          <w:tcPr/>
          <w:p>
            <w:pPr>
              <w:pStyle w:val="Compact"/>
              <w:jc w:val="right"/>
            </w:pPr>
            <w:r>
              <w:t xml:space="preserve">0.820</w:t>
            </w:r>
          </w:p>
        </w:tc>
      </w:tr>
      <w:tr>
        <w:tc>
          <w:tcPr/>
          <w:p>
            <w:pPr>
              <w:pStyle w:val="Compact"/>
            </w:pPr>
          </w:p>
        </w:tc>
        <w:tc>
          <w:tcPr/>
          <w:p>
            <w:pPr>
              <w:pStyle w:val="Compact"/>
            </w:pPr>
            <w:r>
              <w:t xml:space="preserve">QC pass</w:t>
            </w:r>
          </w:p>
        </w:tc>
        <w:tc>
          <w:tcPr/>
          <w:p>
            <w:pPr>
              <w:pStyle w:val="Compact"/>
              <w:jc w:val="right"/>
            </w:pPr>
            <w:r>
              <w:t xml:space="preserve">75%</w:t>
            </w:r>
          </w:p>
        </w:tc>
        <w:tc>
          <w:tcPr/>
          <w:p>
            <w:pPr>
              <w:pStyle w:val="Compact"/>
              <w:jc w:val="right"/>
            </w:pPr>
            <w:r>
              <w:rPr>
                <w:b/>
                <w:bCs/>
              </w:rPr>
              <w:t xml:space="preserve">100%</w:t>
            </w:r>
          </w:p>
        </w:tc>
        <w:tc>
          <w:tcPr/>
          <w:p>
            <w:pPr>
              <w:pStyle w:val="Compact"/>
              <w:jc w:val="right"/>
            </w:pPr>
            <w:r>
              <w:t xml:space="preserve">88%</w:t>
            </w:r>
          </w:p>
        </w:tc>
        <w:tc>
          <w:tcPr/>
          <w:p>
            <w:pPr>
              <w:pStyle w:val="Compact"/>
              <w:jc w:val="right"/>
            </w:pPr>
            <w:r>
              <w:t xml:space="preserve">—</w:t>
            </w:r>
          </w:p>
        </w:tc>
      </w:tr>
    </w:tbl>
    <w:bookmarkEnd w:id="58"/>
    <w:bookmarkStart w:id="59" w:name="X6e8375112356a1e59f6c25ab9a7ae77408f4219"/>
    <w:p>
      <w:pPr>
        <w:pStyle w:val="Heading4"/>
      </w:pPr>
      <w:r>
        <w:t xml:space="preserve">6.2</w:t>
      </w:r>
      <w:r>
        <w:t xml:space="preserve"> </w:t>
      </w:r>
      <w:r>
        <w:rPr>
          <w:rStyle w:val="VerbatimChar"/>
        </w:rPr>
        <w:t xml:space="preserve">scaffold</w:t>
      </w:r>
      <w:r>
        <w:t xml:space="preserve"> </w:t>
      </w:r>
      <w:r>
        <w:t xml:space="preserve">restores the complete-reference result, with either landmark source</w:t>
      </w:r>
    </w:p>
    <w:p>
      <w:pPr>
        <w:pStyle w:val="FirstParagraph"/>
      </w:pPr>
      <w:r>
        <w:rPr>
          <w:rStyle w:val="VerbatimChar"/>
        </w:rPr>
        <w:t xml:space="preserve">sk2bGrow scaffold</w:t>
      </w:r>
      <w:r>
        <w:t xml:space="preserve"> </w:t>
      </w:r>
      <w:r>
        <w:t xml:space="preserve">recovers the complete-reference accuracy essentially</w:t>
      </w:r>
      <w:r>
        <w:t xml:space="preserve"> </w:t>
      </w:r>
      <w:r>
        <w:t xml:space="preserve">exactly: contig order returns with Spearman 1.0000 against the</w:t>
      </w:r>
      <w:r>
        <w:t xml:space="preserve"> </w:t>
      </w:r>
      <w:r>
        <w:rPr>
          <w:i/>
          <w:iCs/>
        </w:rPr>
        <w:t xml:space="preserve">E. coli</w:t>
      </w:r>
      <w:r>
        <w:t xml:space="preserve"> </w:t>
      </w:r>
      <w:r>
        <w:t xml:space="preserve">O157:H7 reference, orientation is 99/99 correct, and the 712 kb raw placement</w:t>
      </w:r>
      <w:r>
        <w:t xml:space="preserve"> </w:t>
      </w:r>
      <w:r>
        <w:t xml:space="preserve">error is a rigid rotation, invisible to a fit that searches for the origin</w:t>
      </w:r>
      <w:r>
        <w:t xml:space="preserve"> </w:t>
      </w:r>
      <w:r>
        <w:t xml:space="preserve">rather than assuming it (scaffolded vs complete: r 0.977 vs 0.981, slope 0.755</w:t>
      </w:r>
      <w:r>
        <w:t xml:space="preserve"> </w:t>
      </w:r>
      <w:r>
        <w:t xml:space="preserve">vs 0.779 at 1×; RMSE 0.086 vs 0.063 at 10×). The method is therefore not</w:t>
      </w:r>
      <w:r>
        <w:t xml:space="preserve"> </w:t>
      </w:r>
      <w:r>
        <w:t xml:space="preserve">restricted to closed genomes. The F4 experiment shows scaffolding is also</w:t>
      </w:r>
      <w:r>
        <w:t xml:space="preserve"> </w:t>
      </w:r>
      <w:r>
        <w:t xml:space="preserve">landmark-source-agnostic: with FracMinHash landmarks, self-scaffolding ties the</w:t>
      </w:r>
      <w:r>
        <w:t xml:space="preserve"> </w:t>
      </w:r>
      <w:r>
        <w:t xml:space="preserve">enzyme arm item-for-item (98–100/100 contigs placed, Spearman 1.0000, 5× RMSE</w:t>
      </w:r>
      <w:r>
        <w:t xml:space="preserve"> </w:t>
      </w:r>
      <w:r>
        <w:t xml:space="preserve">0.017–0.033 vs 0.017–0.030), and scaffolding against a 0.1%-divergence relative</w:t>
      </w:r>
      <w:r>
        <w:t xml:space="preserve"> </w:t>
      </w:r>
      <w:r>
        <w:t xml:space="preserve">places 100/100 with full PTR recovery in both arms. Against genuinely divergent</w:t>
      </w:r>
      <w:r>
        <w:t xml:space="preserve"> </w:t>
      </w:r>
      <w:r>
        <w:t xml:space="preserve">relatives, placement partially succeeds and the sketch arm is slightly</w:t>
      </w:r>
      <w:r>
        <w:t xml:space="preserve"> </w:t>
      </w:r>
      <w:r>
        <w:rPr>
          <w:i/>
          <w:iCs/>
        </w:rPr>
        <w:t xml:space="preserve">better</w:t>
      </w:r>
      <w:r>
        <w:t xml:space="preserve"> </w:t>
      </w:r>
      <w:r>
        <w:t xml:space="preserve">than the enzyme arm (5× RMSE 0.223 vs 0.644 on</w:t>
      </w:r>
      <w:r>
        <w:t xml:space="preserve"> </w:t>
      </w:r>
      <w:r>
        <w:rPr>
          <w:i/>
          <w:iCs/>
        </w:rPr>
        <w:t xml:space="preserve">Bacillus</w:t>
      </w:r>
      <w:r>
        <w:t xml:space="preserve">; directional only,</w:t>
      </w:r>
      <w:r>
        <w:t xml:space="preserve"> </w:t>
      </w:r>
      <w:r>
        <w:t xml:space="preserve">n = 6) — so</w:t>
      </w:r>
      <w:r>
        <w:t xml:space="preserve"> </w:t>
      </w:r>
      <w:r>
        <w:t xml:space="preserve">“scaffolding needs the enzyme panel”</w:t>
      </w:r>
      <w:r>
        <w:t xml:space="preserve"> </w:t>
      </w:r>
      <w:r>
        <w:t xml:space="preserve">is dropped as an argument for</w:t>
      </w:r>
      <w:r>
        <w:t xml:space="preserve"> </w:t>
      </w:r>
      <w:r>
        <w:t xml:space="preserve">the panel in the all-computational route; it remains a capability unique to the</w:t>
      </w:r>
      <w:r>
        <w:t xml:space="preserve"> </w:t>
      </w:r>
      <w:r>
        <w:t xml:space="preserve">enzyme route when only 2bRAD data exist. One caveat: the shipped</w:t>
      </w:r>
      <w:r>
        <w:t xml:space="preserve"> </w:t>
      </w:r>
      <w:r>
        <w:rPr>
          <w:rStyle w:val="VerbatimChar"/>
        </w:rPr>
        <w:t xml:space="preserve">scaffold</w:t>
      </w:r>
      <w:r>
        <w:t xml:space="preserve"> </w:t>
      </w:r>
      <w:r>
        <w:t xml:space="preserve">CLI digests enzyme tags only; the FracMinHash placement used a 1:1 Python port</w:t>
      </w:r>
      <w:r>
        <w:t xml:space="preserve"> </w:t>
      </w:r>
      <w:r>
        <w:t xml:space="preserve">of the Rust placement algorithm, validated by the near-perfect self-arm, so</w:t>
      </w:r>
      <w:r>
        <w:t xml:space="preserve"> </w:t>
      </w:r>
      <w:r>
        <w:t xml:space="preserve">sketch scaffolding is demonstrated, not shipped (Fig. 6).</w:t>
      </w:r>
    </w:p>
    <w:bookmarkEnd w:id="59"/>
    <w:bookmarkStart w:id="60" w:name="X72de53e76597c7041bc0c2cfdd503c5ddd9d60b"/>
    <w:p>
      <w:pPr>
        <w:pStyle w:val="Heading4"/>
      </w:pPr>
      <w:r>
        <w:t xml:space="preserve">6.3 The coordinate is sufficient for our estimator, not necessary in principle — and the QC cannot see this failure</w:t>
      </w:r>
    </w:p>
    <w:p>
      <w:pPr>
        <w:pStyle w:val="FirstParagraph"/>
      </w:pPr>
      <w:r>
        <w:t xml:space="preserve">A spread-fit prototype recovers PTR from fragmented references without any</w:t>
      </w:r>
      <w:r>
        <w:t xml:space="preserve"> </w:t>
      </w:r>
      <w:r>
        <w:t xml:space="preserve">coordinate: because log₂ coverage is uniform across the genome with width</w:t>
      </w:r>
      <w:r>
        <w:t xml:space="preserve"> </w:t>
      </w:r>
      <w:r>
        <w:t xml:space="preserve">log₂(PTR), the spread alone determines the value, and fitting that distribution</w:t>
      </w:r>
      <w:r>
        <w:t xml:space="preserve"> </w:t>
      </w:r>
      <w:r>
        <w:t xml:space="preserve">with the per-window standard error in the model takes RMSE on contigs from</w:t>
      </w:r>
      <w:r>
        <w:t xml:space="preserve"> </w:t>
      </w:r>
      <w:r>
        <w:t xml:space="preserve">0.87 to 0.14 at 5×, returning 0.000 (rather than Pilea’s 1.153) on the</w:t>
      </w:r>
      <w:r>
        <w:t xml:space="preserve"> </w:t>
      </w:r>
      <w:r>
        <w:t xml:space="preserve">stationary control at 1×. Below 5× it carries too little information</w:t>
      </w:r>
      <w:r>
        <w:t xml:space="preserve"> </w:t>
      </w:r>
      <w:r>
        <w:t xml:space="preserve">(bias −0.98 at 1×) and it does not match Pilea at depth (RMSE 0.227 vs 0.077</w:t>
      </w:r>
      <w:r>
        <w:t xml:space="preserve"> </w:t>
      </w:r>
      <w:r>
        <w:t xml:space="preserve">at 10×); we report it as a prototype whose main argument is architectural —</w:t>
      </w:r>
      <w:r>
        <w:t xml:space="preserve"> </w:t>
      </w:r>
      <w:r>
        <w:t xml:space="preserve">two estimators chosen by whether a coordinate exists. The fragmentation failure</w:t>
      </w:r>
      <w:r>
        <w:t xml:space="preserve"> </w:t>
      </w:r>
      <w:r>
        <w:t xml:space="preserve">also exposes a blind spot in the enzyme-consistency QC: 100% of fragmented</w:t>
      </w:r>
      <w:r>
        <w:t xml:space="preserve"> </w:t>
      </w:r>
      <w:r>
        <w:t xml:space="preserve">estimates pass at 5–10×, against 75% of correct complete-reference ones.</w:t>
      </w:r>
      <w:r>
        <w:t xml:space="preserve"> </w:t>
      </w:r>
      <w:r>
        <w:t xml:space="preserve">Cochran’s Q asks whether the enzymes agree, and a destroyed coordinate makes</w:t>
      </w:r>
      <w:r>
        <w:t xml:space="preserve"> </w:t>
      </w:r>
      <w:r>
        <w:t xml:space="preserve">all sixteen agree that there is no gradient. The default now refuses a</w:t>
      </w:r>
      <w:r>
        <w:t xml:space="preserve"> </w:t>
      </w:r>
      <w:r>
        <w:t xml:space="preserve">multi-contig manifest rather than silently falling back to sorted regression;</w:t>
      </w:r>
      <w:r>
        <w:t xml:space="preserve"> </w:t>
      </w:r>
      <w:r>
        <w:t xml:space="preserve">explicit</w:t>
      </w:r>
      <w:r>
        <w:t xml:space="preserve"> </w:t>
      </w:r>
      <w:r>
        <w:rPr>
          <w:rStyle w:val="VerbatimChar"/>
        </w:rPr>
        <w:t xml:space="preserve">--method sorted</w:t>
      </w:r>
      <w:r>
        <w:t xml:space="preserve"> </w:t>
      </w:r>
      <w:r>
        <w:t xml:space="preserve">remains available.</w:t>
      </w:r>
    </w:p>
    <w:p>
      <w:pPr>
        <w:pStyle w:val="BodyText"/>
      </w:pPr>
      <w:r>
        <w:rPr>
          <w:i/>
          <w:iCs/>
        </w:rPr>
        <w:t xml:space="preserve">(Fig. 6; Table 8)</w:t>
      </w:r>
    </w:p>
    <w:bookmarkEnd w:id="60"/>
    <w:bookmarkEnd w:id="61"/>
    <w:bookmarkStart w:id="65" w:name="real-metagenomes"/>
    <w:p>
      <w:pPr>
        <w:pStyle w:val="Heading3"/>
      </w:pPr>
      <w:r>
        <w:t xml:space="preserve">7. Real metagenomes</w:t>
      </w:r>
    </w:p>
    <w:bookmarkStart w:id="62" w:name="X1ac24289c0a6b34d66188d6319131a2e330c07c"/>
    <w:p>
      <w:pPr>
        <w:pStyle w:val="Heading4"/>
      </w:pPr>
      <w:r>
        <w:t xml:space="preserve">7a. Cross-method concordance in a fecal cohort</w:t>
      </w:r>
    </w:p>
    <w:p>
      <w:pPr>
        <w:pStyle w:val="FirstParagraph"/>
      </w:pPr>
      <w:r>
        <w:t xml:space="preserve">Two independently implemented methods agree on species-level growth rates in a</w:t>
      </w:r>
      <w:r>
        <w:t xml:space="preserve"> </w:t>
      </w:r>
      <w:r>
        <w:t xml:space="preserve">real community. On three fecal samples from Sun et al. (PRJNA689204; 125–135 Gb</w:t>
      </w:r>
      <w:r>
        <w:t xml:space="preserve"> </w:t>
      </w:r>
      <w:r>
        <w:t xml:space="preserve">per sample), comparing sk2bGrow (WGS) against Pilea at its shipped defaults on</w:t>
      </w:r>
      <w:r>
        <w:t xml:space="preserve"> </w:t>
      </w:r>
      <w:r>
        <w:t xml:space="preserve">common-denominator species × sample pairs (n = 58/68/78 per sample), the bias</w:t>
      </w:r>
      <w:r>
        <w:t xml:space="preserve"> </w:t>
      </w:r>
      <w:r>
        <w:t xml:space="preserve">is stable at +0.22–+0.25 log₂ (Pilea higher by ~17%) with limits of agreement</w:t>
      </w:r>
      <w:r>
        <w:t xml:space="preserve"> </w:t>
      </w:r>
      <w:r>
        <w:t xml:space="preserve">±0.4–0.9, r 0.34–0.51, and CCC 0.25–0.37. The low CCC is deflation from a</w:t>
      </w:r>
      <w:r>
        <w:t xml:space="preserve"> </w:t>
      </w:r>
      <w:r>
        <w:t xml:space="preserve">narrow observed dynamic range (span ~1.4 log₂ in both methods), not broken</w:t>
      </w:r>
      <w:r>
        <w:t xml:space="preserve"> </w:t>
      </w:r>
      <w:r>
        <w:t xml:space="preserve">agreement — every coefficient is printed beside its observed range. A gates-off</w:t>
      </w:r>
      <w:r>
        <w:t xml:space="preserve"> </w:t>
      </w:r>
      <w:r>
        <w:t xml:space="preserve">control arm shows Pilea’s gate does real work: with its thresholds removed,</w:t>
      </w:r>
      <w:r>
        <w:t xml:space="preserve"> </w:t>
      </w:r>
      <w:r>
        <w:t xml:space="preserve">Pilea’s outputs against sk2bGrow decorrelate entirely (r 0.00–0.10, LoA ±6),</w:t>
      </w:r>
      <w:r>
        <w:t xml:space="preserve"> </w:t>
      </w:r>
      <w:r>
        <w:t xml:space="preserve">symmetrically confirming on an independent dataset the recall caveat of Results §7c.</w:t>
      </w:r>
    </w:p>
    <w:p>
      <w:pPr>
        <w:pStyle w:val="BodyText"/>
      </w:pPr>
      <w:r>
        <w:t xml:space="preserve">Subsampling the same WGS libraries to 5 and 10 Gb (~4% and ~8% of the original</w:t>
      </w:r>
      <w:r>
        <w:t xml:space="preserve"> </w:t>
      </w:r>
      <w:r>
        <w:t xml:space="preserve">depth; fixed-seed</w:t>
      </w:r>
      <w:r>
        <w:t xml:space="preserve"> </w:t>
      </w:r>
      <w:r>
        <w:rPr>
          <w:rStyle w:val="VerbatimChar"/>
        </w:rPr>
        <w:t xml:space="preserve">seqtk</w:t>
      </w:r>
      <w:r>
        <w:t xml:space="preserve">, exact read counts recorded, Methods §3.5) tests the</w:t>
      </w:r>
      <w:r>
        <w:t xml:space="preserve"> </w:t>
      </w:r>
      <w:r>
        <w:t xml:space="preserve">use case the paper exists for, on real error and a real strain mixture — and</w:t>
      </w:r>
      <w:r>
        <w:t xml:space="preserve"> </w:t>
      </w:r>
      <w:r>
        <w:t xml:space="preserve">the concordance survives: pooled over the three samples, 5 Gb gives n = 41</w:t>
      </w:r>
      <w:r>
        <w:t xml:space="preserve"> </w:t>
      </w:r>
      <w:r>
        <w:t xml:space="preserve">common-denominator species with r = 0.504 (CCC 0.364, bias +0.136) and 10 Gb</w:t>
      </w:r>
      <w:r>
        <w:t xml:space="preserve"> </w:t>
      </w:r>
      <w:r>
        <w:t xml:space="preserve">gives n = 59 with r = 0.363 (CCC 0.278, bias +0.201), the same magnitude as at</w:t>
      </w:r>
      <w:r>
        <w:t xml:space="preserve"> </w:t>
      </w:r>
      <w:r>
        <w:t xml:space="preserve">full depth (r 0.34–0.51, bias +0.22–+0.25), with the gates-off arm still</w:t>
      </w:r>
      <w:r>
        <w:t xml:space="preserve"> </w:t>
      </w:r>
      <w:r>
        <w:t xml:space="preserve">decorrelated (r ≈ 0). What breaks at shallow depth is the gate, not the</w:t>
      </w:r>
      <w:r>
        <w:t xml:space="preserve"> </w:t>
      </w:r>
      <w:r>
        <w:t xml:space="preserve">estimator: the common denominator collapses (6–21 species at 5 Gb, 11–28 at</w:t>
      </w:r>
      <w:r>
        <w:t xml:space="preserve"> </w:t>
      </w:r>
      <w:r>
        <w:t xml:space="preserve">10 Gb, against 58–78 at full depth) because Pilea’s shipped gate rejects most</w:t>
      </w:r>
      <w:r>
        <w:t xml:space="preserve"> </w:t>
      </w:r>
      <w:r>
        <w:t xml:space="preserve">species, whereas sk2bGrow retains usable estimates for 3–4× as many species</w:t>
      </w:r>
      <w:r>
        <w:t xml:space="preserve"> </w:t>
      </w:r>
      <w:r>
        <w:t xml:space="preserve">(QC-pass 38–68 vs Pilea’s 8–22 at 5 Gb; 63–84 vs 15–32 at 10 Gb). At full</w:t>
      </w:r>
      <w:r>
        <w:t xml:space="preserve"> </w:t>
      </w:r>
      <w:r>
        <w:t xml:space="preserve">depth we frame the three-sample comparison as concordance validation, not a</w:t>
      </w:r>
      <w:r>
        <w:t xml:space="preserve"> </w:t>
      </w:r>
      <w:r>
        <w:t xml:space="preserve">biological discovery; the shallow-depth arm upgrades it to a use-case</w:t>
      </w:r>
      <w:r>
        <w:t xml:space="preserve"> </w:t>
      </w:r>
      <w:r>
        <w:t xml:space="preserve">demonstration (Fig. 7; Table 10;</w:t>
      </w:r>
      <w:r>
        <w:t xml:space="preserve"> </w:t>
      </w:r>
      <w:r>
        <w:rPr>
          <w:rStyle w:val="VerbatimChar"/>
        </w:rPr>
        <w:t xml:space="preserve">data/sun_shallow/</w:t>
      </w:r>
      <w:r>
        <w:t xml:space="preserve">).</w:t>
      </w:r>
    </w:p>
    <w:bookmarkEnd w:id="62"/>
    <w:bookmarkStart w:id="63" w:name="Xc081266583f5878e429dba77e287ecfb4e84c13"/>
    <w:p>
      <w:pPr>
        <w:pStyle w:val="Heading4"/>
      </w:pPr>
      <w:r>
        <w:t xml:space="preserve">7b. Real 2bRAD libraries: exact deduplication destroys the PTR signal</w:t>
      </w:r>
    </w:p>
    <w:p>
      <w:pPr>
        <w:pStyle w:val="FirstParagraph"/>
      </w:pPr>
      <w:r>
        <w:t xml:space="preserve">On the same cohort, comparing in-silico WGS against the real 2bRAD libraries</w:t>
      </w:r>
      <w:r>
        <w:t xml:space="preserve"> </w:t>
      </w:r>
      <w:r>
        <w:t xml:space="preserve">(same estimator, two preparations; BcgI only, so the single-stratum data</w:t>
      </w:r>
      <w:r>
        <w:t xml:space="preserve"> </w:t>
      </w:r>
      <w:r>
        <w:t xml:space="preserve">cannot exercise cross-enzyme fusion or the Q-based QC), exact deduplication</w:t>
      </w:r>
      <w:r>
        <w:t xml:space="preserve"> </w:t>
      </w:r>
      <w:r>
        <w:t xml:space="preserve">before counting destroys the PTR signal. Raw counts against the WGS arm reach</w:t>
      </w:r>
      <w:r>
        <w:t xml:space="preserve"> </w:t>
      </w:r>
      <w:r>
        <w:t xml:space="preserve">r = 0.797 (CCC 0.728, bias +0.60) in the best sample, while awk-exact dedup —</w:t>
      </w:r>
      <w:r>
        <w:t xml:space="preserve"> </w:t>
      </w:r>
      <w:r>
        <w:t xml:space="preserve">which collapses 95.7% of reads to unique sequences — drops agreement to</w:t>
      </w:r>
      <w:r>
        <w:t xml:space="preserve"> </w:t>
      </w:r>
      <w:r>
        <w:t xml:space="preserve">r 0.30–0.60 with bias −0.6 to −1.2 and flattens the dynamic range. A cap-dedup</w:t>
      </w:r>
      <w:r>
        <w:t xml:space="preserve"> </w:t>
      </w:r>
      <w:r>
        <w:t xml:space="preserve">sensitivity scan (cap ∈ {1, 2, 3, 5, ∞}) finds no robust intermediate: cap 2 is</w:t>
      </w:r>
      <w:r>
        <w:t xml:space="preserve"> </w:t>
      </w:r>
      <w:r>
        <w:t xml:space="preserve">the best deduplicating condition in one sample (r 0.831) and the worst in</w:t>
      </w:r>
      <w:r>
        <w:t xml:space="preserve"> </w:t>
      </w:r>
      <w:r>
        <w:t xml:space="preserve">another (r 0.205). The process recommendation is therefore to</w:t>
      </w:r>
      <w:r>
        <w:t xml:space="preserve"> </w:t>
      </w:r>
      <w:r>
        <w:rPr>
          <w:i/>
          <w:iCs/>
        </w:rPr>
        <w:t xml:space="preserve">not</w:t>
      </w:r>
      <w:r>
        <w:t xml:space="preserve"> </w:t>
      </w:r>
      <w:r>
        <w:t xml:space="preserve">exactly</w:t>
      </w:r>
      <w:r>
        <w:t xml:space="preserve"> </w:t>
      </w:r>
      <w:r>
        <w:t xml:space="preserve">deduplicate 2bRAD libraries before counting — and the mechanism is now measured</w:t>
      </w:r>
      <w:r>
        <w:t xml:space="preserve"> </w:t>
      </w:r>
      <w:r>
        <w:t xml:space="preserve">rather than inferred: per-anchor duplication fraction (1 − dedup/raw) declines</w:t>
      </w:r>
      <w:r>
        <w:t xml:space="preserve"> </w:t>
      </w:r>
      <w:r>
        <w:t xml:space="preserve">with circular distance from the origin in exactly the direction PCR copy-number</w:t>
      </w:r>
      <w:r>
        <w:t xml:space="preserve"> </w:t>
      </w:r>
      <w:r>
        <w:t xml:space="preserve">bias predicts, in 64–71% of species per library (188/263, 216/336, 206/311);</w:t>
      </w:r>
      <w:r>
        <w:t xml:space="preserve"> </w:t>
      </w:r>
      <w:r>
        <w:t xml:space="preserve">among the 125 species shared across all three libraries, 42 carry the</w:t>
      </w:r>
      <w:r>
        <w:t xml:space="preserve"> </w:t>
      </w:r>
      <w:r>
        <w:t xml:space="preserve">predicted sign in every sample against 5 with the opposite sign in all three.</w:t>
      </w:r>
      <w:r>
        <w:t xml:space="preserve"> </w:t>
      </w:r>
      <w:r>
        <w:t xml:space="preserve">Near-ori anchors approach duplication fraction ≈ 1 (nearly every read a</w:t>
      </w:r>
      <w:r>
        <w:t xml:space="preserve"> </w:t>
      </w:r>
      <w:r>
        <w:t xml:space="preserve">duplicate, because origin-proximal sequence is multi-copy in a replicating</w:t>
      </w:r>
      <w:r>
        <w:t xml:space="preserve"> </w:t>
      </w:r>
      <w:r>
        <w:t xml:space="preserve">population) while terminus-proximal anchors approach 0 — so exact dedup divides</w:t>
      </w:r>
      <w:r>
        <w:t xml:space="preserve"> </w:t>
      </w:r>
      <w:r>
        <w:t xml:space="preserve">out exactly the gradient being measured. The per-anchor R² is small (median</w:t>
      </w:r>
      <w:r>
        <w:t xml:space="preserve"> </w:t>
      </w:r>
      <w:r>
        <w:t xml:space="preserve">~0.004): the conclusion rests on sign consistency across ~300 species × 3</w:t>
      </w:r>
      <w:r>
        <w:t xml:space="preserve"> </w:t>
      </w:r>
      <w:r>
        <w:t xml:space="preserve">libraries, not on individual fits. Boundary conditions stand (one enzyme, one</w:t>
      </w:r>
      <w:r>
        <w:t xml:space="preserve"> </w:t>
      </w:r>
      <w:r>
        <w:t xml:space="preserve">centre, one library-prep history; transferability to other 2bRAD protocols is</w:t>
      </w:r>
      <w:r>
        <w:t xml:space="preserve"> </w:t>
      </w:r>
      <w:r>
        <w:t xml:space="preserve">stated future work, with an independent batch in preparation), but the</w:t>
      </w:r>
      <w:r>
        <w:t xml:space="preserve"> </w:t>
      </w:r>
      <w:r>
        <w:t xml:space="preserve">recommendation now carries a mechanism and a testable boundary. The same paired</w:t>
      </w:r>
      <w:r>
        <w:t xml:space="preserve"> </w:t>
      </w:r>
      <w:r>
        <w:t xml:space="preserve">data yield the</w:t>
      </w:r>
      <w:r>
        <w:t xml:space="preserve"> </w:t>
      </w:r>
      <w:r>
        <w:t xml:space="preserve">first measurement of per-anchor capture-efficiency dispersion in 2bRAD:</w:t>
      </w:r>
      <w:r>
        <w:t xml:space="preserve"> </w:t>
      </w:r>
      <w:r>
        <w:t xml:space="preserve">σ_eff ≈ 1.53 (Pilea cannot produce this quantity; it requires paired 2bRAD and</w:t>
      </w:r>
      <w:r>
        <w:t xml:space="preserve"> </w:t>
      </w:r>
      <w:r>
        <w:t xml:space="preserve">WGS). An ICC decomposition attributes a median 74.8% of the dispersion to</w:t>
      </w:r>
      <w:r>
        <w:t xml:space="preserve"> </w:t>
      </w:r>
      <w:r>
        <w:t xml:space="preserve">correctable within-batch effects; the residual (~0.7) is diluted by √99 window</w:t>
      </w:r>
      <w:r>
        <w:t xml:space="preserve"> </w:t>
      </w:r>
      <w:r>
        <w:t xml:space="preserve">averaging to ~0.07–0.10 against gradients of 1.0–1.7 — measured, correctable,</w:t>
      </w:r>
      <w:r>
        <w:t xml:space="preserve"> </w:t>
      </w:r>
      <w:r>
        <w:t xml:space="preserve">and negligible after correction, but so far</w:t>
      </w:r>
      <w:r>
        <w:t xml:space="preserve"> </w:t>
      </w:r>
      <w:r>
        <w:rPr>
          <w:i/>
          <w:iCs/>
        </w:rPr>
        <w:t xml:space="preserve">within-batch reproducible</w:t>
      </w:r>
      <w:r>
        <w:t xml:space="preserve"> </w:t>
      </w:r>
      <w:r>
        <w:t xml:space="preserve">only:</w:t>
      </w:r>
      <w:r>
        <w:t xml:space="preserve"> </w:t>
      </w:r>
      <w:r>
        <w:t xml:space="preserve">cross-laboratory transferability awaits an independent batch (Hou, in</w:t>
      </w:r>
      <w:r>
        <w:t xml:space="preserve"> </w:t>
      </w:r>
      <w:r>
        <w:t xml:space="preserve">preparation) (Fig. 7).</w:t>
      </w:r>
    </w:p>
    <w:bookmarkEnd w:id="63"/>
    <w:bookmarkStart w:id="64" w:name="X855dfea45c8027e3834f5e0c80b8fc9c7aa81b5"/>
    <w:p>
      <w:pPr>
        <w:pStyle w:val="Heading4"/>
      </w:pPr>
      <w:r>
        <w:t xml:space="preserve">7c. MAG-scale application: cost at scale and a policy-dependent QC recall</w:t>
      </w:r>
    </w:p>
    <w:p>
      <w:pPr>
        <w:pStyle w:val="FirstParagraph"/>
      </w:pPr>
      <w:r>
        <w:t xml:space="preserve">The original RBC counting and cost measurements remain informative, but their</w:t>
      </w:r>
      <w:r>
        <w:t xml:space="preserve"> </w:t>
      </w:r>
      <w:r>
        <w:t xml:space="preserve">statistics layer predates the current signed fixed-origin and fragmented-</w:t>
      </w:r>
      <w:r>
        <w:t xml:space="preserve"> </w:t>
      </w:r>
      <w:r>
        <w:t xml:space="preserve">reference policy, so the QC recall arm is explicitly split by code state. In</w:t>
      </w:r>
      <w:r>
        <w:t xml:space="preserve"> </w:t>
      </w:r>
      <w:r>
        <w:t xml:space="preserve">the</w:t>
      </w:r>
      <w:r>
        <w:t xml:space="preserve"> </w:t>
      </w:r>
      <w:r>
        <w:rPr>
          <w:b/>
          <w:bCs/>
        </w:rPr>
        <w:t xml:space="preserve">legacy C5 statistics</w:t>
      </w:r>
      <w:r>
        <w:t xml:space="preserve">, sk2bGrow QC-pass recall and Pilea’s reported</w:t>
      </w:r>
      <w:r>
        <w:t xml:space="preserve"> </w:t>
      </w:r>
      <w:r>
        <w:t xml:space="preserve">recall overlap: 3.8–13.8% (20–72 of 522 MAGs) versus Pilea 5.0–11.1%</w:t>
      </w:r>
      <w:r>
        <w:t xml:space="preserve"> </w:t>
      </w:r>
      <w:r>
        <w:t xml:space="preserve">(26–58 of 522). The headline 522/522 reported fraction is a denominator</w:t>
      </w:r>
      <w:r>
        <w:t xml:space="preserve"> </w:t>
      </w:r>
      <w:r>
        <w:t xml:space="preserve">artefact — this path has no output gate — and high yield includes wrong</w:t>
      </w:r>
      <w:r>
        <w:t xml:space="preserve"> </w:t>
      </w:r>
      <w:r>
        <w:t xml:space="preserve">answers shipped. In that legacy arm, QC pass rate anti-correlates with MAG</w:t>
      </w:r>
      <w:r>
        <w:t xml:space="preserve"> </w:t>
      </w:r>
      <w:r>
        <w:t xml:space="preserve">contig count (ρ = −0.41; ρ = −0.34 controlling mean coverage), with coverage</w:t>
      </w:r>
      <w:r>
        <w:t xml:space="preserve"> </w:t>
      </w:r>
      <w:r>
        <w:t xml:space="preserve">itself the strongest single predictor (ρ = +0.516). We therefore retain these</w:t>
      </w:r>
      <w:r>
        <w:t xml:space="preserve"> </w:t>
      </w:r>
      <w:r>
        <w:t xml:space="preserve">rows only as a historical sensitivity to the former sorted-rank fallback, not</w:t>
      </w:r>
      <w:r>
        <w:t xml:space="preserve"> </w:t>
      </w:r>
      <w:r>
        <w:t xml:space="preserve">as current-default behaviour.</w:t>
      </w:r>
    </w:p>
    <w:p>
      <w:pPr>
        <w:pStyle w:val="BodyText"/>
      </w:pPr>
      <w:r>
        <w:t xml:space="preserve">Re-fitting the retained window rates under the</w:t>
      </w:r>
      <w:r>
        <w:t xml:space="preserve"> </w:t>
      </w:r>
      <w:r>
        <w:rPr>
          <w:b/>
          <w:bCs/>
        </w:rPr>
        <w:t xml:space="preserve">current policy</w:t>
      </w:r>
      <w:r>
        <w:t xml:space="preserve"> </w:t>
      </w:r>
      <w:r>
        <w:t xml:space="preserve">changes the</w:t>
      </w:r>
      <w:r>
        <w:t xml:space="preserve"> </w:t>
      </w:r>
      <w:r>
        <w:t xml:space="preserve">QC picture. The</w:t>
      </w:r>
      <w:r>
        <w:t xml:space="preserve"> </w:t>
      </w:r>
      <w:r>
        <w:rPr>
          <w:rStyle w:val="VerbatimChar"/>
        </w:rPr>
        <w:t xml:space="preserve">auto</w:t>
      </w:r>
      <w:r>
        <w:t xml:space="preserve"> </w:t>
      </w:r>
      <w:r>
        <w:t xml:space="preserve">statistics now refuse an unsafe sorted-rank fallback on</w:t>
      </w:r>
      <w:r>
        <w:t xml:space="preserve"> </w:t>
      </w:r>
      <w:r>
        <w:t xml:space="preserve">fragmented references rather than silently rescuing a coordinate that is no</w:t>
      </w:r>
      <w:r>
        <w:t xml:space="preserve"> </w:t>
      </w:r>
      <w:r>
        <w:t xml:space="preserve">longer present. Across all 522 MAGs × 9 samples, only 26 observations pass QC</w:t>
      </w:r>
      <w:r>
        <w:t xml:space="preserve"> </w:t>
      </w:r>
      <w:r>
        <w:t xml:space="preserve">(1–6 per sample; 0.55% of 4,698 genome×sample rows), against 484 in the legacy</w:t>
      </w:r>
      <w:r>
        <w:t xml:space="preserve"> </w:t>
      </w:r>
      <w:r>
        <w:t xml:space="preserve">arm. This is not a compute failure but the intended conservative consequence</w:t>
      </w:r>
      <w:r>
        <w:t xml:space="preserve"> </w:t>
      </w:r>
      <w:r>
        <w:t xml:space="preserve">of refusing the fallback. The old fragmentation/QC association is correspondingly</w:t>
      </w:r>
      <w:r>
        <w:t xml:space="preserve"> </w:t>
      </w:r>
      <w:r>
        <w:t xml:space="preserve">attenuated (raw/partial ρ for contig count: −0.21/−0.19; completeness:</w:t>
      </w:r>
      <w:r>
        <w:t xml:space="preserve"> </w:t>
      </w:r>
      <w:r>
        <w:t xml:space="preserve">+0.16/+0.12) and only eight MAGs pass QC in at least one sample, so the current</w:t>
      </w:r>
      <w:r>
        <w:t xml:space="preserve"> </w:t>
      </w:r>
      <w:r>
        <w:t xml:space="preserve">run does not support the former</w:t>
      </w:r>
      <w:r>
        <w:t xml:space="preserve"> </w:t>
      </w:r>
      <w:r>
        <w:t xml:space="preserve">“QC demonstrably works on real MAGs”</w:t>
      </w:r>
      <w:r>
        <w:t xml:space="preserve"> </w:t>
      </w:r>
      <w:r>
        <w:t xml:space="preserve">claim</w:t>
      </w:r>
      <w:r>
        <w:t xml:space="preserve"> </w:t>
      </w:r>
      <w:r>
        <w:t xml:space="preserve">without further validation. Cost is unaffected by the refusion-only experiment.</w:t>
      </w:r>
      <w:r>
        <w:t xml:space="preserve"> </w:t>
      </w:r>
      <w:r>
        <w:t xml:space="preserve">An explicit sorted arm under current code raises QC passes to 108 of 4,698</w:t>
      </w:r>
      <w:r>
        <w:t xml:space="preserve"> </w:t>
      </w:r>
      <w:r>
        <w:t xml:space="preserve">(2–30 per sample), still far below the legacy 484; it also does not reproduce the legacy</w:t>
      </w:r>
      <w:r>
        <w:t xml:space="preserve"> </w:t>
      </w:r>
      <w:r>
        <w:t xml:space="preserve">fragmentation association (contigs raw/partial ρ = +0.04/+0.08). As intended,</w:t>
      </w:r>
      <w:r>
        <w:t xml:space="preserve"> </w:t>
      </w:r>
      <w:r>
        <w:t xml:space="preserve">this is a policy sensitivity rather than a reconstruction of the legacy run:</w:t>
      </w:r>
      <w:r>
        <w:t xml:space="preserve"> </w:t>
      </w:r>
      <w:r>
        <w:t xml:space="preserve">relative to legacy C5, its median absolute change in log₂PTR is 1.70 and 514 of</w:t>
      </w:r>
      <w:r>
        <w:t xml:space="preserve"> </w:t>
      </w:r>
      <w:r>
        <w:t xml:space="preserve">4,698 QC decisions change. Cost, however, flips at this scale: sk2bGrow is 89.5–240.8× slower</w:t>
      </w:r>
      <w:r>
        <w:t xml:space="preserve"> </w:t>
      </w:r>
      <w:r>
        <w:t xml:space="preserve">per sample than Pilea at default on these deep samples (measured per sample,</w:t>
      </w:r>
      <w:r>
        <w:t xml:space="preserve"> </w:t>
      </w:r>
      <w:r>
        <w:rPr>
          <w:rStyle w:val="VerbatimChar"/>
        </w:rPr>
        <w:t xml:space="preserve">c5_cost_per_sample.tsv</w:t>
      </w:r>
      <w:r>
        <w:t xml:space="preserve">), because the anchor-matching phase is 89.6% of count</w:t>
      </w:r>
      <w:r>
        <w:t xml:space="preserve"> </w:t>
      </w:r>
      <w:r>
        <w:t xml:space="preserve">time and scales as reads × reference anchors — both factors two orders of</w:t>
      </w:r>
      <w:r>
        <w:t xml:space="preserve"> </w:t>
      </w:r>
      <w:r>
        <w:t xml:space="preserve">magnitude larger than the isolate benchmark. Setting</w:t>
      </w:r>
      <w:r>
        <w:t xml:space="preserve"> </w:t>
      </w:r>
      <w:r>
        <w:rPr>
          <w:rStyle w:val="VerbatimChar"/>
        </w:rPr>
        <w:t xml:space="preserve">--max-mismatch 1</w:t>
      </w:r>
      <w:r>
        <w:t xml:space="preserve"> </w:t>
      </w:r>
      <w:r>
        <w:t xml:space="preserve">narrows the gap, measured end-to-end on all nine</w:t>
      </w:r>
      <w:r>
        <w:t xml:space="preserve"> </w:t>
      </w:r>
      <w:r>
        <w:t xml:space="preserve">samples (Methods §3.6): the counting stage runs 20.5–38.8× faster than the</w:t>
      </w:r>
      <w:r>
        <w:t xml:space="preserve"> </w:t>
      </w:r>
      <w:r>
        <w:t xml:space="preserve">mm = 2 baseline (median 27.7×; 38–51 min against 16.4–27.2 h per sample) and</w:t>
      </w:r>
      <w:r>
        <w:t xml:space="preserve"> </w:t>
      </w:r>
      <w:r>
        <w:t xml:space="preserve">12.1–28.3× end-to-end including the stats stage (median 19.2×), at a median</w:t>
      </w:r>
      <w:r>
        <w:t xml:space="preserve"> </w:t>
      </w:r>
      <w:r>
        <w:t xml:space="preserve">4.4% loss of detected anchors (2.8–10.7% across samples) and</w:t>
      </w:r>
      <w:r>
        <w:t xml:space="preserve"> </w:t>
      </w:r>
      <w:r>
        <w:rPr>
          <w:i/>
          <w:iCs/>
        </w:rPr>
        <w:t xml:space="preserve">no genome lost</w:t>
      </w:r>
      <w:r>
        <w:rPr>
          <w:i/>
          <w:iCs/>
        </w:rPr>
        <w:t xml:space="preserve"> </w:t>
      </w:r>
      <w:r>
        <w:rPr>
          <w:i/>
          <w:iCs/>
        </w:rPr>
        <w:t xml:space="preserve">in any of the nine samples</w:t>
      </w:r>
      <w:r>
        <w:t xml:space="preserve">. The subset-based extrapolation (1.9–3.1 h)</w:t>
      </w:r>
      <w:r>
        <w:t xml:space="preserve"> </w:t>
      </w:r>
      <w:r>
        <w:t xml:space="preserve">underestimated the gain because mm = 2 lookup cost grows superlinearly with</w:t>
      </w:r>
      <w:r>
        <w:t xml:space="preserve"> </w:t>
      </w:r>
      <w:r>
        <w:t xml:space="preserve">read depth; measured against Pilea itself, the per-sample gap narrows from</w:t>
      </w:r>
      <w:r>
        <w:t xml:space="preserve"> </w:t>
      </w:r>
      <w:r>
        <w:t xml:space="preserve">~two orders of magnitude to 4.0–12.8× (median 8.1×). The M4 containment pre-screen clears the absent-genome</w:t>
      </w:r>
      <w:r>
        <w:t xml:space="preserve"> </w:t>
      </w:r>
      <w:r>
        <w:t xml:space="preserve">false-positive floor of the unrestricted index (measured: 4,048 of 4,700</w:t>
      </w:r>
      <w:r>
        <w:t xml:space="preserve"> </w:t>
      </w:r>
      <w:r>
        <w:t xml:space="preserve">guaranteed-absent synthetic genomes received nonzero counts unrestricted; zero</w:t>
      </w:r>
      <w:r>
        <w:t xml:space="preserve"> </w:t>
      </w:r>
      <w:r>
        <w:t xml:space="preserve">with the screen). The screen’s speedup value is conditional: at this dataset’s</w:t>
      </w:r>
      <w:r>
        <w:t xml:space="preserve"> </w:t>
      </w:r>
      <w:r>
        <w:t xml:space="preserve">high reference presence (~90%) a direct A/B shows no speedup (wall-clock 0.99×</w:t>
      </w:r>
      <w:r>
        <w:t xml:space="preserve"> </w:t>
      </w:r>
      <w:r>
        <w:t xml:space="preserve">on a matched read subset) and the current default threshold drops 65 of 522</w:t>
      </w:r>
      <w:r>
        <w:t xml:space="preserve"> </w:t>
      </w:r>
      <w:r>
        <w:t xml:space="preserve">real MAGs, concentrated in the low-abundance genomes this method is designed</w:t>
      </w:r>
      <w:r>
        <w:t xml:space="preserve"> </w:t>
      </w:r>
      <w:r>
        <w:t xml:space="preserve">for; the projected ~21-fold shrink of the indexed anchor set applies to</w:t>
      </w:r>
      <w:r>
        <w:t xml:space="preserve"> </w:t>
      </w:r>
      <w:r>
        <w:t xml:space="preserve">database-scale presence rates (&lt; 1%). The flip is therefore real and partially</w:t>
      </w:r>
      <w:r>
        <w:t xml:space="preserve"> </w:t>
      </w:r>
      <w:r>
        <w:t xml:space="preserve">fixed: mismatch-1 is measured end-to-end, the screen is measured on the</w:t>
      </w:r>
      <w:r>
        <w:t xml:space="preserve"> </w:t>
      </w:r>
      <w:r>
        <w:t xml:space="preserve">false-positive side only.</w:t>
      </w:r>
    </w:p>
    <w:p>
      <w:pPr>
        <w:pStyle w:val="BodyText"/>
      </w:pPr>
      <w:r>
        <w:rPr>
          <w:i/>
          <w:iCs/>
        </w:rPr>
        <w:t xml:space="preserve">(Fig. 8; Table 10)</w:t>
      </w:r>
    </w:p>
    <w:bookmarkEnd w:id="64"/>
    <w:bookmarkEnd w:id="65"/>
    <w:bookmarkStart w:id="66" w:name="computational-efficiency-and-scale"/>
    <w:p>
      <w:pPr>
        <w:pStyle w:val="Heading3"/>
      </w:pPr>
      <w:r>
        <w:t xml:space="preserve">8. Computational efficiency and scale</w:t>
      </w:r>
    </w:p>
    <w:p>
      <w:pPr>
        <w:pStyle w:val="FirstParagraph"/>
      </w:pPr>
      <w:r>
        <w:t xml:space="preserve">Per sample on the isolate benchmark, measured identically for both tools</w:t>
      </w:r>
      <w:r>
        <w:t xml:space="preserve"> </w:t>
      </w:r>
      <w:r>
        <w:t xml:space="preserve">(</w:t>
      </w:r>
      <w:r>
        <w:rPr>
          <w:rStyle w:val="VerbatimChar"/>
        </w:rPr>
        <w:t xml:space="preserve">/usr/bin/time -l</w:t>
      </w:r>
      <w:r>
        <w:t xml:space="preserve">, 8 threads, k-mer counting inside the timed region) and</w:t>
      </w:r>
      <w:r>
        <w:t xml:space="preserve"> </w:t>
      </w:r>
      <w:r>
        <w:t xml:space="preserve">averaged over the five depths on the 85</w:t>
      </w:r>
      <w:r>
        <w:t xml:space="preserve"> </w:t>
      </w:r>
      <w:r>
        <w:rPr>
          <w:i/>
          <w:iCs/>
        </w:rPr>
        <w:t xml:space="preserve">E. coli</w:t>
      </w:r>
      <w:r>
        <w:t xml:space="preserve"> </w:t>
      </w:r>
      <w:r>
        <w:t xml:space="preserve">cells, sk2bGrow takes 8.2 s</w:t>
      </w:r>
      <w:r>
        <w:t xml:space="preserve"> </w:t>
      </w:r>
      <w:r>
        <w:t xml:space="preserve">and 195 MB at k = 16 (6.5 s at k = 8; 3.2 s at k = 2) against Pilea’s 11.5 s</w:t>
      </w:r>
      <w:r>
        <w:t xml:space="preserve"> </w:t>
      </w:r>
      <w:r>
        <w:t xml:space="preserve">and 157 MB with gates off. The average understates the gap where it matters:</w:t>
      </w:r>
      <w:r>
        <w:t xml:space="preserve"> </w:t>
      </w:r>
      <w:r>
        <w:t xml:space="preserve">at 1× and 2× Pilea takes 16.8 s and 21.0 s against our 6.8 s and 8.3 s, i.e.</w:t>
      </w:r>
      <w:r>
        <w:t xml:space="preserve"> </w:t>
      </w:r>
      <w:r>
        <w:t xml:space="preserve">it is ~2.5×</w:t>
      </w:r>
      <w:r>
        <w:t xml:space="preserve"> </w:t>
      </w:r>
      <w:r>
        <w:rPr>
          <w:i/>
          <w:iCs/>
        </w:rPr>
        <w:t xml:space="preserve">slower</w:t>
      </w:r>
      <w:r>
        <w:t xml:space="preserve"> </w:t>
      </w:r>
      <w:r>
        <w:t xml:space="preserve">in the depth band this paper is about, and cheaper only at</w:t>
      </w:r>
      <w:r>
        <w:t xml:space="preserve"> </w:t>
      </w:r>
      <w:r>
        <w:t xml:space="preserve">0.5× and 10×. Pilea’s non-monotonic profile (5.6 s at 0.5×, 21.0 s at 2×,</w:t>
      </w:r>
      <w:r>
        <w:t xml:space="preserve"> </w:t>
      </w:r>
      <w:r>
        <w:t xml:space="preserve">5.6 s at 10×) reflects its ZTP-mixture EM being slowest exactly where the</w:t>
      </w:r>
      <w:r>
        <w:t xml:space="preserve"> </w:t>
      </w:r>
      <w:r>
        <w:t xml:space="preserve">mixture is least identifiable. The earlier</w:t>
      </w:r>
      <w:r>
        <w:t xml:space="preserve"> </w:t>
      </w:r>
      <w:r>
        <w:t xml:space="preserve">“Pilea is ~7× faster”</w:t>
      </w:r>
      <w:r>
        <w:t xml:space="preserve"> </w:t>
      </w:r>
      <w:r>
        <w:t xml:space="preserve">claim did not</w:t>
      </w:r>
      <w:r>
        <w:t xml:space="preserve"> </w:t>
      </w:r>
      <w:r>
        <w:t xml:space="preserve">survive this measurement — it came from the simulation, where Pilea’s shipped</w:t>
      </w:r>
      <w:r>
        <w:t xml:space="preserve"> </w:t>
      </w:r>
      <w:r>
        <w:t xml:space="preserve">gates skip fitting below 5× and it reports nothing.</w:t>
      </w:r>
    </w:p>
    <w:p>
      <w:pPr>
        <w:pStyle w:val="BodyText"/>
      </w:pPr>
      <w:r>
        <w:t xml:space="preserve">At scale, mismatch tolerance is a budget decision, not an accuracy one. In</w:t>
      </w:r>
      <w:r>
        <w:t xml:space="preserve"> </w:t>
      </w:r>
      <w:r>
        <w:t xml:space="preserve">enzyme mode, empirical misassignment stays ≤ 1.4e-4 pooled at mm ≤ 2 (exact-</w:t>
      </w:r>
      <w:r>
        <w:t xml:space="preserve"> </w:t>
      </w:r>
      <w:r>
        <w:t xml:space="preserve">first suppression plus the motif gate make tolerance nearly free), so the</w:t>
      </w:r>
      <w:r>
        <w:t xml:space="preserve"> </w:t>
      </w:r>
      <w:r>
        <w:t xml:space="preserve">mm = 2 default stands and mm = 1 is safe if memory forces it (unmatched-window</w:t>
      </w:r>
      <w:r>
        <w:t xml:space="preserve"> </w:t>
      </w:r>
      <w:r>
        <w:t xml:space="preserve">loss 0.44% → 0.42% at 0.1% error). In sketch mode the answer is the opposite:</w:t>
      </w:r>
      <w:r>
        <w:t xml:space="preserve"> </w:t>
      </w:r>
      <w:r>
        <w:t xml:space="preserve">mm must lock at 0 — at scale ~100, the mm ≥ 1 rescue channel credits 1–2% of</w:t>
      </w:r>
      <w:r>
        <w:t xml:space="preserve"> </w:t>
      </w:r>
      <w:r>
        <w:t xml:space="preserve">off-sketch k-mers to a neighbouring sketch key at the wrong coordinate,</w:t>
      </w:r>
      <w:r>
        <w:t xml:space="preserve"> </w:t>
      </w:r>
      <w:r>
        <w:t xml:space="preserve">independent of sequencing error; a landmark–landmark census cannot see this</w:t>
      </w:r>
      <w:r>
        <w:t xml:space="preserve"> </w:t>
      </w:r>
      <w:r>
        <w:t xml:space="preserve">channel (the FracMinHash empirical arm here is a rule-based simulation, as the</w:t>
      </w:r>
      <w:r>
        <w:t xml:space="preserve"> </w:t>
      </w:r>
      <w:r>
        <w:t xml:space="preserve">sketch counting mode is not yet in the CLI; the enzyme arm is the measured Rust</w:t>
      </w:r>
      <w:r>
        <w:t xml:space="preserve"> </w:t>
      </w:r>
      <w:r>
        <w:t xml:space="preserve">counter, validated anchor-by-anchor against an independent replica). Index cost</w:t>
      </w:r>
      <w:r>
        <w:t xml:space="preserve"> </w:t>
      </w:r>
      <w:r>
        <w:t xml:space="preserve">is a wash between modes at matched density (~39 B per landmark either way,</w:t>
      </w:r>
      <w:r>
        <w:t xml:space="preserve"> </w:t>
      </w:r>
      <w:r>
        <w:t xml:space="preserve">equal build speed); the earlier 752 GB figure was peak RSS, with true disk</w:t>
      </w:r>
      <w:r>
        <w:t xml:space="preserve"> </w:t>
      </w:r>
      <w:r>
        <w:t xml:space="preserve">about a quarter of it. Projected to GTDB species representatives, a k16 enzyme</w:t>
      </w:r>
      <w:r>
        <w:t xml:space="preserve"> </w:t>
      </w:r>
      <w:r>
        <w:t xml:space="preserve">index is ~232 GB, k8 ~184 GB, and a half-density FracMinHash index (scale 200,</w:t>
      </w:r>
      <w:r>
        <w:t xml:space="preserve"> </w:t>
      </w:r>
      <w:r>
        <w:t xml:space="preserve">0.53× landmarks) ~124 GB — the practical budget answer, since half density</w:t>
      </w:r>
      <w:r>
        <w:t xml:space="preserve"> </w:t>
      </w:r>
      <w:r>
        <w:t xml:space="preserve">costs ≤ 0.007 r at ≥ 1×, with the only cost at 0.5× growing with GC (−0.03 r</w:t>
      </w:r>
      <w:r>
        <w:t xml:space="preserve"> </w:t>
      </w:r>
      <w:r>
        <w:t xml:space="preserve">at 72%). One engineering gap is stated honestly: a merged</w:t>
      </w:r>
      <w:r>
        <w:t xml:space="preserve"> </w:t>
      </w:r>
      <w:r>
        <w:rPr>
          <w:rStyle w:val="VerbatimChar"/>
        </w:rPr>
        <w:t xml:space="preserve">--mode fracminhash</w:t>
      </w:r>
      <w:r>
        <w:t xml:space="preserve"> </w:t>
      </w:r>
      <w:r>
        <w:t xml:space="preserve">index does not exist yet, so the half-density route is</w:t>
      </w:r>
      <w:r>
        <w:t xml:space="preserve"> </w:t>
      </w:r>
      <w:r>
        <w:t xml:space="preserve">projected, not shipped.</w:t>
      </w:r>
    </w:p>
    <w:p>
      <w:pPr>
        <w:pStyle w:val="BodyText"/>
      </w:pPr>
      <w:r>
        <w:rPr>
          <w:i/>
          <w:iCs/>
        </w:rPr>
        <w:t xml:space="preserve">(Fig. 8d)</w:t>
      </w:r>
    </w:p>
    <w:bookmarkEnd w:id="66"/>
    <w:bookmarkEnd w:id="67"/>
    <w:bookmarkStart w:id="68" w:name="discussion"/>
    <w:p>
      <w:pPr>
        <w:pStyle w:val="Heading2"/>
      </w:pPr>
      <w:r>
        <w:t xml:space="preserve">Discussion</w:t>
      </w:r>
    </w:p>
    <w:p>
      <w:pPr>
        <w:pStyle w:val="FirstParagraph"/>
      </w:pPr>
      <w:r>
        <w:rPr>
          <w:b/>
          <w:bCs/>
        </w:rPr>
        <w:t xml:space="preserve">Where the gain comes from — and where it does not.</w:t>
      </w:r>
      <w:r>
        <w:t xml:space="preserve"> </w:t>
      </w:r>
      <w:r>
        <w:t xml:space="preserve">The attribution experiment (Results §4) constrains the claim the data support: the coordinate-aware estimator is what carries the low-coverage result, on either landmark source — at 0.5–1× the V-fit beats sorted-rank regression by wide margins on both enzyme anchors and a density-matched FracMinHash sketch. The landmark source itself showed no detectable accuracy difference in this paired analysis: pooling 48 media × subsampling-instance units, anchors and matched-density sketch were not significantly different, including at 0.5×. The estimator × landmark interaction is null at 1× and significantly negative at 2× — there is no evidence the panel amplifies the estimator’s value, and some that the sketch benefits more from it. What the multi-enzyme panel contributes instead is structure a hash sketch cannot provide: a landmark set the 2bRAD protocol physically produces (wet-lab realizable, not only computational); motif strata with heterogeneous biases, so cross-enzyme agreement tests systematic error and not just sampling noise — Cochran’s Q caught this paper’s own double-counting defect; and at very low input, fusion redundancy: a single-stratum sketch that finds no downhill origin has no second stratum to rescue it (F1 harness, single-end), while sixteen strata need only a subset of per-enzyme fits to succeed. The honest one-line version: the estimator buys the low-depth accuracy; the panel buys realizability, heterogeneous QC strata, and fusion redundancy.</w:t>
      </w:r>
    </w:p>
    <w:p>
      <w:pPr>
        <w:pStyle w:val="BodyText"/>
      </w:pPr>
      <w:r>
        <w:rPr>
          <w:b/>
          <w:bCs/>
        </w:rPr>
        <w:t xml:space="preserve">Limits of the biological model.</w:t>
      </w:r>
      <w:r>
        <w:t xml:space="preserve"> </w:t>
      </w:r>
      <w:r>
        <w:t xml:space="preserve">Several assumptions of the PTR model remain untouched by this paper. The isolate benchmark is one strain per species against a complete reference; real communities mix strains, and within-species accessory-genome variation is contacted by any genome-wide landmark set. Relic (non-replicating) DNA flattens the gradient and biases PTR toward 1; multi-fork replication puts a genuine kink in the profile at PTR &gt; 2 (the two-slope form exists for this but is exercised only weakly here); and plasmids, whose copy number does not follow the chromosome’s replication gradient, are counted by any whole-genome landmark scheme. The instrument boundary measured in Results §5 — GC ≳ 30% at depth ≳ 1×, in both landmark modes — should be read as part of these limits.</w:t>
      </w:r>
    </w:p>
    <w:p>
      <w:pPr>
        <w:pStyle w:val="BodyText"/>
      </w:pPr>
      <w:r>
        <w:rPr>
          <w:b/>
          <w:bCs/>
        </w:rPr>
        <w:t xml:space="preserve">The panel should probably be ~8 enzymes, not 16.</w:t>
      </w:r>
      <w:r>
        <w:t xml:space="preserve"> </w:t>
      </w:r>
      <w:r>
        <w:t xml:space="preserve">The four sparsest enzymes contribute no accuracy and double the negative-control (run-out) bias (Results §5). The recommendation holds across the measured GC range, and a two-enzyme panel already carries 17,055 anchors — comparable to Pilea’s 18,261 sketch k-mers — so the like-for-like comparison is favourable at every panel size.</w:t>
      </w:r>
    </w:p>
    <w:p>
      <w:pPr>
        <w:pStyle w:val="BodyText"/>
      </w:pPr>
      <w:r>
        <w:rPr>
          <w:b/>
          <w:bCs/>
        </w:rPr>
        <w:t xml:space="preserve">The panel is what works at low depth, not any single fit.</w:t>
      </w:r>
      <w:r>
        <w:t xml:space="preserve"> </w:t>
      </w:r>
      <w:r>
        <w:t xml:space="preserve">At 0.5× the mean per-enzyme V-fit has r² = −0.009 — individually worthless — yet fusing sixteen of them correlates 0.923 with measured growth rate. This is the clearest argument for a multi-enzyme panel over a single deterministic sketch, and it is measured rather than asserted.</w:t>
      </w:r>
    </w:p>
    <w:p>
      <w:pPr>
        <w:pStyle w:val="BodyText"/>
      </w:pPr>
      <w:r>
        <w:rPr>
          <w:b/>
          <w:bCs/>
        </w:rPr>
        <w:t xml:space="preserve">Bsp24I ⊂ CjePI is a real dependency with no practical effect.</w:t>
      </w:r>
      <w:r>
        <w:t xml:space="preserve"> </w:t>
      </w:r>
      <w:r>
        <w:t xml:space="preserve">Measured on three genomes, Bsp24I’s site set is 100% contained in CjePI’s (1,636/1,636, 891/891 and 2,910/2,910 tags), with an additional partial Bsp24I p0 ⊂ CjeI p1 relation (48.4/47.4/50.9%). The panel therefore offers at most ~15 independent strata, not 16, and</w:t>
      </w:r>
      <w:r>
        <w:t xml:space="preserve"> </w:t>
      </w:r>
      <w:r>
        <w:t xml:space="preserve">“~15 independent strata”</w:t>
      </w:r>
      <w:r>
        <w:t xml:space="preserve"> </w:t>
      </w:r>
      <w:r>
        <w:t xml:space="preserve">is an optimistic reading; the fusion does not yet act on this relation (the containment table is declared but unused in the weighting). Re-fusing every sample with the dependency handled moved the estimate by 0.007–0.011 on average and 0.050 at worst, and did not improve the</w:t>
      </w:r>
      <w:r>
        <w:t xml:space="preserve"> </w:t>
      </w:r>
      <w:r>
        <w:rPr>
          <w:i/>
          <w:iCs/>
        </w:rPr>
        <w:t xml:space="preserve">Q</w:t>
      </w:r>
      <w:r>
        <w:t xml:space="preserve"> </w:t>
      </w:r>
      <w:r>
        <w:t xml:space="preserve">rejection rate. We report the dependency and do not claim the correction matters.</w:t>
      </w:r>
    </w:p>
    <w:p>
      <w:pPr>
        <w:pStyle w:val="BodyText"/>
      </w:pPr>
      <w:r>
        <w:rPr>
          <w:b/>
          <w:bCs/>
        </w:rPr>
        <w:t xml:space="preserve">An annotated origin is worth ~10% of RMSE below 2× and nothing above it</w:t>
      </w:r>
      <w:r>
        <w:t xml:space="preserve"> </w:t>
      </w:r>
      <w:r>
        <w:t xml:space="preserve">(0.304 → 0.271 at 0.5×; 0.157 → 0.143 at 1×; identical at 5–10×). It does not explain the low-coverage slope compression: with the origin exactly right, the 0.5× slope is still 0.74. The compression is reported as unresolved. Read against measured λ, the OLS slope of ŷ on λ is 0.59 at 0.5×, 0.83 at 1×, and remains slightly below 1 at depth (0.92 at 5×, 0.95 at 10×); read against the λC-predicted log₂PTR — a non-independent reference (Methods §3.1) — the same slopes come out 1.04 and 1.08 at 5× and 10×, so any over-estimation at depth is a magnitude-consistency statement rather than independent evidence of bias. Candidate mechanisms we tested — outlier trimming, inverse-variance fusion weighting, origin misplacement, and three GC-correction variants — do not account for the shortfall. At 5×/10×, disabling GC correction gives slopes 0.940/0.975, iterative residual refitting gives 0.917/0.936, and applying a stationary run-out curve gives 0.964/1.006 (</w:t>
      </w:r>
      <w:r>
        <w:rPr>
          <w:rStyle w:val="VerbatimChar"/>
        </w:rPr>
        <w:t xml:space="preserve">data/m1_rerun/gc_tests.tsv</w:t>
      </w:r>
      <w:r>
        <w:t xml:space="preserve">). The run-out curve removes most of the deep-depth slope deficit without changing r materially, but this cross-sample correction is a diagnostic rather than a deployable default: it needs a non-growing library and does not address the 0.5–1× compression. Separately, a residual second GC pass was rejected as a default because it reduced shallow-depth anchor-panel ranking (</w:t>
      </w:r>
      <w:r>
        <w:rPr>
          <w:rStyle w:val="VerbatimChar"/>
        </w:rPr>
        <w:t xml:space="preserve">data/m1_signed/gc_correction_diagnostic.tsv</w:t>
      </w:r>
      <w:r>
        <w:t xml:space="preserve">).</w:t>
      </w:r>
    </w:p>
    <w:p>
      <w:pPr>
        <w:pStyle w:val="BodyText"/>
      </w:pPr>
      <w:r>
        <w:rPr>
          <w:b/>
          <w:bCs/>
        </w:rPr>
        <w:t xml:space="preserve">Cochran’s</w:t>
      </w:r>
      <w:r>
        <w:rPr>
          <w:b/>
          <w:bCs/>
        </w:rPr>
        <w:t xml:space="preserve"> </w:t>
      </w:r>
      <w:r>
        <w:rPr>
          <w:b/>
          <w:bCs/>
          <w:i/>
          <w:iCs/>
        </w:rPr>
        <w:t xml:space="preserve">Q</w:t>
      </w:r>
      <w:r>
        <w:rPr>
          <w:b/>
          <w:bCs/>
        </w:rPr>
        <w:t xml:space="preserve"> </w:t>
      </w:r>
      <w:r>
        <w:rPr>
          <w:b/>
          <w:bCs/>
        </w:rPr>
        <w:t xml:space="preserve">earned its keep, and has a blind spot.</w:t>
      </w:r>
      <w:r>
        <w:t xml:space="preserve"> </w:t>
      </w:r>
      <w:r>
        <w:t xml:space="preserve">Before the double-counting defect of Methods §1.2 was fixed,</w:t>
      </w:r>
      <w:r>
        <w:t xml:space="preserve"> </w:t>
      </w:r>
      <w:r>
        <w:rPr>
          <w:i/>
          <w:iCs/>
        </w:rPr>
        <w:t xml:space="preserve">Q</w:t>
      </w:r>
      <w:r>
        <w:t xml:space="preserve"> </w:t>
      </w:r>
      <w:r>
        <w:t xml:space="preserve">was rejecting in 56–69% of samples (mean</w:t>
      </w:r>
      <w:r>
        <w:t xml:space="preserve"> </w:t>
      </w:r>
      <w:r>
        <w:rPr>
          <w:i/>
          <w:iCs/>
        </w:rPr>
        <w:t xml:space="preserve">I</w:t>
      </w:r>
      <w:r>
        <w:t xml:space="preserve">² = 0.34–0.42); after the fix, the same samples give</w:t>
      </w:r>
      <w:r>
        <w:t xml:space="preserve"> </w:t>
      </w:r>
      <w:r>
        <w:rPr>
          <w:i/>
          <w:iCs/>
        </w:rPr>
        <w:t xml:space="preserve">I</w:t>
      </w:r>
      <w:r>
        <w:t xml:space="preserve">² = 0.07–0.28 and</w:t>
      </w:r>
      <w:r>
        <w:t xml:space="preserve"> </w:t>
      </w:r>
      <w:r>
        <w:rPr>
          <w:i/>
          <w:iCs/>
        </w:rPr>
        <w:t xml:space="preserve">Q</w:t>
      </w:r>
      <w:r>
        <w:t xml:space="preserve"> </w:t>
      </w:r>
      <w:r>
        <w:t xml:space="preserve">rejects in 6–24%. A design whose QC can detect its own implementation defects is worth the complexity — and this is the honest way to present that, not as a clean-room result. But</w:t>
      </w:r>
      <w:r>
        <w:t xml:space="preserve"> </w:t>
      </w:r>
      <w:r>
        <w:rPr>
          <w:i/>
          <w:iCs/>
        </w:rPr>
        <w:t xml:space="preserve">Q</w:t>
      </w:r>
      <w:r>
        <w:t xml:space="preserve"> </w:t>
      </w:r>
      <w:r>
        <w:t xml:space="preserve">tests</w:t>
      </w:r>
      <w:r>
        <w:t xml:space="preserve"> </w:t>
      </w:r>
      <w:r>
        <w:rPr>
          <w:i/>
          <w:iCs/>
        </w:rPr>
        <w:t xml:space="preserve">agreement between strata</w:t>
      </w:r>
      <w:r>
        <w:t xml:space="preserve">, so it cannot see a failure that is identical across them: on a fragmented reference every enzyme agrees there is no gradient, and 100% of the wrong answers pass. We therefore changed the default:</w:t>
      </w:r>
      <w:r>
        <w:t xml:space="preserve"> </w:t>
      </w:r>
      <w:r>
        <w:rPr>
          <w:rStyle w:val="VerbatimChar"/>
        </w:rPr>
        <w:t xml:space="preserve">auto</w:t>
      </w:r>
      <w:r>
        <w:t xml:space="preserve"> </w:t>
      </w:r>
      <w:r>
        <w:t xml:space="preserve">now refuses a multi-contig manifest rather than silently falling back to sorted-rank regression; a scaffolded coordinate fit or an explicit sorted analysis is required.</w:t>
      </w:r>
    </w:p>
    <w:p>
      <w:pPr>
        <w:pStyle w:val="BodyText"/>
      </w:pPr>
      <w:r>
        <w:rPr>
          <w:b/>
          <w:bCs/>
        </w:rPr>
        <w:t xml:space="preserve">Failure is loud, not silent — and loud is not a compliment.</w:t>
      </w:r>
      <w:r>
        <w:t xml:space="preserve"> </w:t>
      </w:r>
      <w:r>
        <w:t xml:space="preserve">sk2bGrow has no coverage gate: on the C5 MAG panel it emitted estimates for 522/522 MAGs (recall 1.00), including references the sample may not even contain; Pilea’s gate refuses silently. High yield therefore</w:t>
      </w:r>
      <w:r>
        <w:t xml:space="preserve"> </w:t>
      </w:r>
      <w:r>
        <w:rPr>
          <w:i/>
          <w:iCs/>
        </w:rPr>
        <w:t xml:space="preserve">includes wrong answers shipped</w:t>
      </w:r>
      <w:r>
        <w:t xml:space="preserve">. Under the legacy statistics, the common-denominator QC-pass rate was 3.8–13.8% versus Pilea’s 5.0–11.1%; under the current conservative</w:t>
      </w:r>
      <w:r>
        <w:t xml:space="preserve"> </w:t>
      </w:r>
      <w:r>
        <w:rPr>
          <w:rStyle w:val="VerbatimChar"/>
        </w:rPr>
        <w:t xml:space="preserve">auto</w:t>
      </w:r>
      <w:r>
        <w:t xml:space="preserve"> </w:t>
      </w:r>
      <w:r>
        <w:t xml:space="preserve">policy only 26 of 4,698 genome×sample observations pass QC. That change is deliberate rather than a failure, but it means the current sparse MAG-scale recall is not yet a validation of real-community QC. The loudness is also what makes the M4 containment pre-screen necessary.</w:t>
      </w:r>
    </w:p>
    <w:p>
      <w:pPr>
        <w:pStyle w:val="BodyText"/>
      </w:pPr>
      <w:r>
        <w:rPr>
          <w:b/>
          <w:bCs/>
        </w:rPr>
        <w:t xml:space="preserve">Two distinct SNP-sensitivity geometries.</w:t>
      </w:r>
      <w:r>
        <w:t xml:space="preserve"> </w:t>
      </w:r>
      <w:r>
        <w:t xml:space="preserve">One SNP in a 150 bp read destroys 31 of its 120 31-mers (~26%) — FracMinHash containment decays smoothly with divergence. A SNP in a 6 bp recognition motif removes the whole site but leaves neighbours untouched — blocky loss, buffered by the other enzymes. The naive reading (</w:t>
      </w:r>
      <w:r>
        <w:t xml:space="preserve">“anchors tolerate divergence better”</w:t>
      </w:r>
      <w:r>
        <w:t xml:space="preserve">) is not what the measurement says: at 0.1% substitutions, four-enzyme retention is 89.5% against FMH’s 94.6%. We report both the mechanism and the number.</w:t>
      </w:r>
    </w:p>
    <w:p>
      <w:pPr>
        <w:pStyle w:val="BodyText"/>
      </w:pPr>
      <w:r>
        <w:rPr>
          <w:b/>
          <w:bCs/>
        </w:rPr>
        <w:t xml:space="preserve">Strata heterogeneity is the real QC asset.</w:t>
      </w:r>
      <w:r>
        <w:t xml:space="preserve"> </w:t>
      </w:r>
      <w:r>
        <w:t xml:space="preserve">A hash-prefix split of one FMH sketch could also run a Cochran-style test — but hash strata share every systematic bias of the sketch. The enzyme strata differ in motif, GC and (methylatable) base composition, so cross-enzyme agreement tests bias</w:t>
      </w:r>
      <w:r>
        <w:t xml:space="preserve"> </w:t>
      </w:r>
      <w:r>
        <w:rPr>
          <w:i/>
          <w:iCs/>
        </w:rPr>
        <w:t xml:space="preserve">heterogeneity</w:t>
      </w:r>
      <w:r>
        <w:t xml:space="preserve">, not just sampling noise. This is also why the measured Bsp24I ⊂ CjePI containment shrinks the effective independence of the strata.</w:t>
      </w:r>
    </w:p>
    <w:p>
      <w:pPr>
        <w:pStyle w:val="BodyText"/>
      </w:pPr>
      <w:r>
        <w:rPr>
          <w:b/>
          <w:bCs/>
        </w:rPr>
        <w:t xml:space="preserve">Coordinates make failure modes enumerable.</w:t>
      </w:r>
      <w:r>
        <w:t xml:space="preserve"> </w:t>
      </w:r>
      <w:r>
        <w:t xml:space="preserve">A wrong reference → the estimate is emitted and wrong (C5). A destroyed coordinate → degradation is smooth, monotone, detectable from scaffold length, and repairable by scaffolding (Fig. 6). FracMinHash’s analogous failure — dilution by an unreferenced strain — is silent and has no coordinate to inspect. We do not overclaim here: this is a difference in the</w:t>
      </w:r>
      <w:r>
        <w:t xml:space="preserve"> </w:t>
      </w:r>
      <w:r>
        <w:rPr>
          <w:i/>
          <w:iCs/>
        </w:rPr>
        <w:t xml:space="preserve">shape</w:t>
      </w:r>
      <w:r>
        <w:t xml:space="preserve"> </w:t>
      </w:r>
      <w:r>
        <w:t xml:space="preserve">of failure, not in accuracy.</w:t>
      </w:r>
    </w:p>
    <w:p>
      <w:pPr>
        <w:pStyle w:val="BodyText"/>
      </w:pPr>
      <w:r>
        <w:rPr>
          <w:b/>
          <w:bCs/>
        </w:rPr>
        <w:t xml:space="preserve">Why landmarks must be genome-wide.</w:t>
      </w:r>
      <w:r>
        <w:t xml:space="preserve"> </w:t>
      </w:r>
      <w:r>
        <w:t xml:space="preserve">Single-copy markers (rpoB and the like) cover &lt; 1% of a genome and cannot support a PTR fit at all; the quantity being estimated forces a genome-wide spread of loci, which in turn forces contact with within-species (accessory-genome) variation. No landmark scheme resolves this tension; it is inherent to PTR.</w:t>
      </w:r>
    </w:p>
    <w:p>
      <w:pPr>
        <w:pStyle w:val="BodyText"/>
      </w:pPr>
      <w:r>
        <w:rPr>
          <w:b/>
          <w:bCs/>
        </w:rPr>
        <w:t xml:space="preserve">Dropped claims.</w:t>
      </w:r>
      <w:r>
        <w:t xml:space="preserve"> </w:t>
      </w:r>
      <w:r>
        <w:t xml:space="preserve">Several natural-sounding claims were checked and refuted during this work, and we report their absence rather than letting them stand in citations of this paper: that the ori-adjacent gradient is steepest (the piecewise-linear model has constant slope per arm); that the anchor set is constant across samples unlike FMH (a reference sketch is deterministic under the same hash-prefix rule for both; read sampling is random for both); and that enzyme sites are enumerable while FMH is not (both rules are deterministic and enumerable).</w:t>
      </w:r>
    </w:p>
    <w:p>
      <w:pPr>
        <w:pStyle w:val="BodyText"/>
      </w:pPr>
      <w:r>
        <w:rPr>
          <w:b/>
          <w:bCs/>
        </w:rPr>
        <w:t xml:space="preserve">Table 9 (inline). Landmark-source comparison: property by mode, every row with its evidence</w:t>
      </w:r>
    </w:p>
    <w:tbl>
      <w:tblPr>
        <w:tblStyle w:val="Table"/>
        <w:tblW w:type="pct" w:w="5000"/>
        <w:tblLayout w:type="fixed"/>
        <w:tblLook w:firstRow="1" w:lastRow="0" w:firstColumn="0" w:lastColumn="0" w:noHBand="0" w:noVBand="0" w:val="0020"/>
      </w:tblPr>
      <w:tblGrid>
        <w:gridCol w:w="716"/>
        <w:gridCol w:w="3090"/>
        <w:gridCol w:w="1596"/>
        <w:gridCol w:w="2517"/>
      </w:tblGrid>
      <w:tr>
        <w:trPr>
          <w:tblHeader w:val="on"/>
        </w:trPr>
        <w:tc>
          <w:tcPr/>
          <w:p>
            <w:pPr>
              <w:pStyle w:val="Compact"/>
              <w:jc w:val="left"/>
            </w:pPr>
            <w:r>
              <w:t xml:space="preserve">property</w:t>
            </w:r>
          </w:p>
        </w:tc>
        <w:tc>
          <w:tcPr/>
          <w:p>
            <w:pPr>
              <w:pStyle w:val="Compact"/>
              <w:jc w:val="left"/>
            </w:pPr>
            <w:r>
              <w:t xml:space="preserve">fracminhash_pilea</w:t>
            </w:r>
          </w:p>
        </w:tc>
        <w:tc>
          <w:tcPr/>
          <w:p>
            <w:pPr>
              <w:pStyle w:val="Compact"/>
              <w:jc w:val="left"/>
            </w:pPr>
            <w:r>
              <w:t xml:space="preserve">enzyme_anchors_ours</w:t>
            </w:r>
          </w:p>
        </w:tc>
        <w:tc>
          <w:tcPr/>
          <w:p>
            <w:pPr>
              <w:pStyle w:val="Compact"/>
              <w:jc w:val="left"/>
            </w:pPr>
            <w:r>
              <w:t xml:space="preserve">evidence</w:t>
            </w:r>
          </w:p>
        </w:tc>
      </w:tr>
      <w:tr>
        <w:tc>
          <w:tcPr/>
          <w:p>
            <w:pPr>
              <w:pStyle w:val="Compact"/>
              <w:jc w:val="left"/>
            </w:pPr>
            <w:r>
              <w:t xml:space="preserve">landmark rule</w:t>
            </w:r>
          </w:p>
        </w:tc>
        <w:tc>
          <w:tcPr/>
          <w:p>
            <w:pPr>
              <w:pStyle w:val="Compact"/>
              <w:jc w:val="left"/>
            </w:pPr>
            <w:r>
              <w:t xml:space="preserve">hash-prefix subsample of all 31-mers</w:t>
            </w:r>
          </w:p>
        </w:tc>
        <w:tc>
          <w:tcPr/>
          <w:p>
            <w:pPr>
              <w:pStyle w:val="Compact"/>
              <w:jc w:val="left"/>
            </w:pPr>
            <w:r>
              <w:t xml:space="preserve">Type IIB recognition motifs, enumerated per reference</w:t>
            </w:r>
          </w:p>
        </w:tc>
        <w:tc>
          <w:tcPr/>
          <w:p>
            <w:pPr>
              <w:pStyle w:val="Compact"/>
              <w:jc w:val="left"/>
            </w:pPr>
            <w:r>
              <w:t xml:space="preserve">Table 1; manifest.json</w:t>
            </w:r>
          </w:p>
        </w:tc>
      </w:tr>
      <w:tr>
        <w:tc>
          <w:tcPr/>
          <w:p>
            <w:pPr>
              <w:pStyle w:val="Compact"/>
              <w:jc w:val="left"/>
            </w:pPr>
            <w:r>
              <w:t xml:space="preserve">coordinate enters estimator?</w:t>
            </w:r>
          </w:p>
        </w:tc>
        <w:tc>
          <w:tcPr/>
          <w:p>
            <w:pPr>
              <w:pStyle w:val="Compact"/>
              <w:jc w:val="left"/>
            </w:pPr>
            <w:r>
              <w:t xml:space="preserve">no — sorted ranks</w:t>
            </w:r>
          </w:p>
        </w:tc>
        <w:tc>
          <w:tcPr/>
          <w:p>
            <w:pPr>
              <w:pStyle w:val="Compact"/>
              <w:jc w:val="left"/>
            </w:pPr>
            <w:r>
              <w:t xml:space="preserve">yes — windowed V-fit</w:t>
            </w:r>
          </w:p>
        </w:tc>
        <w:tc>
          <w:tcPr/>
          <w:p>
            <w:pPr>
              <w:pStyle w:val="Compact"/>
              <w:jc w:val="left"/>
            </w:pPr>
            <w:r>
              <w:t xml:space="preserve">Fig 4 (2x2 attribution)</w:t>
            </w:r>
          </w:p>
        </w:tc>
      </w:tr>
      <w:tr>
        <w:tc>
          <w:tcPr/>
          <w:p>
            <w:pPr>
              <w:pStyle w:val="Compact"/>
              <w:jc w:val="left"/>
            </w:pPr>
            <w:r>
              <w:t xml:space="preserve">reference determinism</w:t>
            </w:r>
          </w:p>
        </w:tc>
        <w:tc>
          <w:tcPr/>
          <w:p>
            <w:pPr>
              <w:pStyle w:val="Compact"/>
              <w:jc w:val="left"/>
            </w:pPr>
            <w:r>
              <w:t xml:space="preserve">deterministic under the same hash-prefix rule</w:t>
            </w:r>
          </w:p>
        </w:tc>
        <w:tc>
          <w:tcPr/>
          <w:p>
            <w:pPr>
              <w:pStyle w:val="Compact"/>
              <w:jc w:val="left"/>
            </w:pPr>
            <w:r>
              <w:t xml:space="preserve">deterministic by motif enumeration</w:t>
            </w:r>
          </w:p>
        </w:tc>
        <w:tc>
          <w:tcPr/>
          <w:p>
            <w:pPr>
              <w:pStyle w:val="Compact"/>
              <w:jc w:val="left"/>
            </w:pPr>
            <w:r>
              <w:t xml:space="preserve">both modes; the determinism claim was dropped</w:t>
            </w:r>
          </w:p>
        </w:tc>
      </w:tr>
      <w:tr>
        <w:tc>
          <w:tcPr/>
          <w:p>
            <w:pPr>
              <w:pStyle w:val="Compact"/>
              <w:jc w:val="left"/>
            </w:pPr>
            <w:r>
              <w:t xml:space="preserve">internal-consistency strata</w:t>
            </w:r>
          </w:p>
        </w:tc>
        <w:tc>
          <w:tcPr/>
          <w:p>
            <w:pPr>
              <w:pStyle w:val="Compact"/>
              <w:jc w:val="left"/>
            </w:pPr>
            <w:r>
              <w:t xml:space="preserve">hash-prefix split possible, but shares every systematic bias of the sketch</w:t>
            </w:r>
          </w:p>
        </w:tc>
        <w:tc>
          <w:tcPr/>
          <w:p>
            <w:pPr>
              <w:pStyle w:val="Compact"/>
              <w:jc w:val="left"/>
            </w:pPr>
            <w:r>
              <w:t xml:space="preserve">~15 motif strata with heterogeneous biases (motif / GC / methylatable bases)</w:t>
            </w:r>
          </w:p>
        </w:tc>
        <w:tc>
          <w:tcPr/>
          <w:p>
            <w:pPr>
              <w:pStyle w:val="Compact"/>
              <w:jc w:val="left"/>
            </w:pPr>
            <w:r>
              <w:t xml:space="preserve">Cochran’s Q; Bsp24I-CjePI containment</w:t>
            </w:r>
          </w:p>
        </w:tc>
      </w:tr>
      <w:tr>
        <w:tc>
          <w:tcPr/>
          <w:p>
            <w:pPr>
              <w:pStyle w:val="Compact"/>
              <w:jc w:val="left"/>
            </w:pPr>
            <w:r>
              <w:t xml:space="preserve">accuracy at matched density, &gt;=1x</w:t>
            </w:r>
          </w:p>
        </w:tc>
        <w:tc>
          <w:tcPr/>
          <w:p>
            <w:pPr>
              <w:pStyle w:val="Compact"/>
              <w:jc w:val="left"/>
            </w:pPr>
            <w:r>
              <w:t xml:space="preserve">identical</w:t>
            </w:r>
          </w:p>
        </w:tc>
        <w:tc>
          <w:tcPr/>
          <w:p>
            <w:pPr>
              <w:pStyle w:val="Compact"/>
              <w:jc w:val="left"/>
            </w:pPr>
            <w:r>
              <w:t xml:space="preserve">identical</w:t>
            </w:r>
          </w:p>
        </w:tc>
        <w:tc>
          <w:tcPr/>
          <w:p>
            <w:pPr>
              <w:pStyle w:val="Compact"/>
              <w:jc w:val="left"/>
            </w:pPr>
            <w:r>
              <w:t xml:space="preserve">F1 (density-matched sweep, this study)</w:t>
            </w:r>
          </w:p>
        </w:tc>
      </w:tr>
      <w:tr>
        <w:tc>
          <w:tcPr/>
          <w:p>
            <w:pPr>
              <w:pStyle w:val="Compact"/>
              <w:jc w:val="left"/>
            </w:pPr>
            <w:r>
              <w:t xml:space="preserve">robustness at 0.5x</w:t>
            </w:r>
          </w:p>
        </w:tc>
        <w:tc>
          <w:tcPr/>
          <w:p>
            <w:pPr>
              <w:pStyle w:val="Compact"/>
              <w:jc w:val="left"/>
            </w:pPr>
            <w:r>
              <w:t xml:space="preserve">loses 6/17 cells at the no-gradient gate in the F1 single-end harness (single stratum, unrescuable); on paired-end 0.5× covers all cells (Table 2)</w:t>
            </w:r>
          </w:p>
        </w:tc>
        <w:tc>
          <w:tcPr/>
          <w:p>
            <w:pPr>
              <w:pStyle w:val="Compact"/>
              <w:jc w:val="left"/>
            </w:pPr>
            <w:r>
              <w:t xml:space="preserve">15–16/17 cells via multi-strata fusion redundancy in F1; nominal r lead over matched sketch does not survive pooling across instances</w:t>
            </w:r>
          </w:p>
        </w:tc>
        <w:tc>
          <w:tcPr/>
          <w:p>
            <w:pPr>
              <w:pStyle w:val="Compact"/>
              <w:jc w:val="left"/>
            </w:pPr>
            <w:r>
              <w:t xml:space="preserve">F1 (mechanism cells: per-window fill equal; fusion redundancy); multiseed 48-unit Δz CI crosses 0</w:t>
            </w:r>
          </w:p>
        </w:tc>
      </w:tr>
      <w:tr>
        <w:tc>
          <w:tcPr/>
          <w:p>
            <w:pPr>
              <w:pStyle w:val="Compact"/>
              <w:jc w:val="left"/>
            </w:pPr>
            <w:r>
              <w:t xml:space="preserve">usable GC range</w:t>
            </w:r>
          </w:p>
        </w:tc>
        <w:tc>
          <w:tcPr/>
          <w:p>
            <w:pPr>
              <w:pStyle w:val="Compact"/>
              <w:jc w:val="left"/>
            </w:pPr>
            <w:r>
              <w:t xml:space="preserve">tied with panel; boundary GC &lt;=30% at 0.5x</w:t>
            </w:r>
          </w:p>
        </w:tc>
        <w:tc>
          <w:tcPr/>
          <w:p>
            <w:pPr>
              <w:pStyle w:val="Compact"/>
              <w:jc w:val="left"/>
            </w:pPr>
            <w:r>
              <w:t xml:space="preserve">same boundary (instrument limit, both modes)</w:t>
            </w:r>
          </w:p>
        </w:tc>
        <w:tc>
          <w:tcPr/>
          <w:p>
            <w:pPr>
              <w:pStyle w:val="Compact"/>
              <w:jc w:val="left"/>
            </w:pPr>
            <w:r>
              <w:t xml:space="preserve">F2 (18 genomes, GC 25.4-72.0%)</w:t>
            </w:r>
          </w:p>
        </w:tc>
      </w:tr>
      <w:tr>
        <w:tc>
          <w:tcPr/>
          <w:p>
            <w:pPr>
              <w:pStyle w:val="Compact"/>
              <w:jc w:val="left"/>
            </w:pPr>
            <w:r>
              <w:t xml:space="preserve">divergence geometry</w:t>
            </w:r>
          </w:p>
        </w:tc>
        <w:tc>
          <w:tcPr/>
          <w:p>
            <w:pPr>
              <w:pStyle w:val="Compact"/>
              <w:jc w:val="left"/>
            </w:pPr>
            <w:r>
              <w:t xml:space="preserve">smooth: one SNP destroys ~26% of a read’s 31-mers</w:t>
            </w:r>
          </w:p>
        </w:tc>
        <w:tc>
          <w:tcPr/>
          <w:p>
            <w:pPr>
              <w:pStyle w:val="Compact"/>
              <w:jc w:val="left"/>
            </w:pPr>
            <w:r>
              <w:t xml:space="preserve">blocky: one SNP kills one site, neighbours intact</w:t>
            </w:r>
          </w:p>
        </w:tc>
        <w:tc>
          <w:tcPr/>
          <w:p>
            <w:pPr>
              <w:pStyle w:val="Compact"/>
              <w:jc w:val="left"/>
            </w:pPr>
            <w:r>
              <w:t xml:space="preserve">retention at 0.1% substitutions: 94.6% vs 89.5% (4 enzymes); F4 rel-arm</w:t>
            </w:r>
          </w:p>
        </w:tc>
      </w:tr>
      <w:tr>
        <w:tc>
          <w:tcPr/>
          <w:p>
            <w:pPr>
              <w:pStyle w:val="Compact"/>
              <w:jc w:val="left"/>
            </w:pPr>
            <w:r>
              <w:t xml:space="preserve">mismatch tolerance</w:t>
            </w:r>
          </w:p>
        </w:tc>
        <w:tc>
          <w:tcPr/>
          <w:p>
            <w:pPr>
              <w:pStyle w:val="Compact"/>
              <w:jc w:val="left"/>
            </w:pPr>
            <w:r>
              <w:t xml:space="preserve">must lock mm=0: mm&gt;=1 opens a rescue channel crediting ~1% (mm1) / ~2% (mm2) of observations to the wrong coordinate, independent of sequencing error</w:t>
            </w:r>
          </w:p>
        </w:tc>
        <w:tc>
          <w:tcPr/>
          <w:p>
            <w:pPr>
              <w:pStyle w:val="Compact"/>
              <w:jc w:val="left"/>
            </w:pPr>
            <w:r>
              <w:t xml:space="preserve">mm&lt;=2 safe: exact-first suppression + motif gate keep misassignment &lt;=1.4e-4</w:t>
            </w:r>
          </w:p>
        </w:tc>
        <w:tc>
          <w:tcPr/>
          <w:p>
            <w:pPr>
              <w:pStyle w:val="Compact"/>
              <w:jc w:val="left"/>
            </w:pPr>
            <w:r>
              <w:t xml:space="preserve">F3 (near-neighbor census + read-level test)</w:t>
            </w:r>
          </w:p>
        </w:tc>
      </w:tr>
      <w:tr>
        <w:tc>
          <w:tcPr/>
          <w:p>
            <w:pPr>
              <w:pStyle w:val="Compact"/>
              <w:jc w:val="left"/>
            </w:pPr>
            <w:r>
              <w:t xml:space="preserve">wrong / absent reference</w:t>
            </w:r>
          </w:p>
        </w:tc>
        <w:tc>
          <w:tcPr/>
          <w:p>
            <w:pPr>
              <w:pStyle w:val="Compact"/>
              <w:jc w:val="left"/>
            </w:pPr>
            <w:r>
              <w:t xml:space="preserve">silent — the gate refuses output</w:t>
            </w:r>
          </w:p>
        </w:tc>
        <w:tc>
          <w:tcPr/>
          <w:p>
            <w:pPr>
              <w:pStyle w:val="Compact"/>
              <w:jc w:val="left"/>
            </w:pPr>
            <w:r>
              <w:t xml:space="preserve">loud — the estimate is emitted and wrong</w:t>
            </w:r>
          </w:p>
        </w:tc>
        <w:tc>
          <w:tcPr/>
          <w:p>
            <w:pPr>
              <w:pStyle w:val="Compact"/>
              <w:jc w:val="left"/>
            </w:pPr>
            <w:r>
              <w:t xml:space="preserve">C5: reported_fraction 1.00 (denominator artifact) vs silent gate; legacy common-denominator recall 3.8-13.8% vs 5.0-11.1%; current auto passes 26/4698 observations</w:t>
            </w:r>
          </w:p>
        </w:tc>
      </w:tr>
      <w:tr>
        <w:tc>
          <w:tcPr/>
          <w:p>
            <w:pPr>
              <w:pStyle w:val="Compact"/>
              <w:jc w:val="left"/>
            </w:pPr>
            <w:r>
              <w:t xml:space="preserve">fragmented reference</w:t>
            </w:r>
          </w:p>
        </w:tc>
        <w:tc>
          <w:tcPr/>
          <w:p>
            <w:pPr>
              <w:pStyle w:val="Compact"/>
              <w:jc w:val="left"/>
            </w:pPr>
            <w:r>
              <w:t xml:space="preserve">rank regression barely affected (r 0.889-&gt;0.827)</w:t>
            </w:r>
          </w:p>
        </w:tc>
        <w:tc>
          <w:tcPr/>
          <w:p>
            <w:pPr>
              <w:pStyle w:val="Compact"/>
              <w:jc w:val="left"/>
            </w:pPr>
            <w:r>
              <w:t xml:space="preserve">gradient destroyed, QC-blind, scaffold-repairable</w:t>
            </w:r>
          </w:p>
        </w:tc>
        <w:tc>
          <w:tcPr/>
          <w:p>
            <w:pPr>
              <w:pStyle w:val="Compact"/>
              <w:jc w:val="left"/>
            </w:pPr>
            <w:r>
              <w:t xml:space="preserve">Fig 6; F4: collapse identical across landmark types (slope 0.26-0.38, RMSE x40, winner’s-curse residue)</w:t>
            </w:r>
          </w:p>
        </w:tc>
      </w:tr>
      <w:tr>
        <w:tc>
          <w:tcPr/>
          <w:p>
            <w:pPr>
              <w:pStyle w:val="Compact"/>
              <w:jc w:val="left"/>
            </w:pPr>
            <w:r>
              <w:t xml:space="preserve">scaffolding</w:t>
            </w:r>
          </w:p>
        </w:tc>
        <w:tc>
          <w:tcPr/>
          <w:p>
            <w:pPr>
              <w:pStyle w:val="Compact"/>
              <w:jc w:val="left"/>
            </w:pPr>
            <w:r>
              <w:t xml:space="preserve">works — placement is landmark-source-agnostic</w:t>
            </w:r>
          </w:p>
        </w:tc>
        <w:tc>
          <w:tcPr/>
          <w:p>
            <w:pPr>
              <w:pStyle w:val="Compact"/>
              <w:jc w:val="left"/>
            </w:pPr>
            <w:r>
              <w:t xml:space="preserve">works — self-arm ties the sketch arm exactly</w:t>
            </w:r>
          </w:p>
        </w:tc>
        <w:tc>
          <w:tcPr/>
          <w:p>
            <w:pPr>
              <w:pStyle w:val="Compact"/>
              <w:jc w:val="left"/>
            </w:pPr>
            <w:r>
              <w:t xml:space="preserve">F4: 98-100/100 contigs placed, order Spearman 1.0, both modes; sketch placement is a 1:1 port of scaffold.rs, not shipped</w:t>
            </w:r>
          </w:p>
        </w:tc>
      </w:tr>
      <w:tr>
        <w:tc>
          <w:tcPr/>
          <w:p>
            <w:pPr>
              <w:pStyle w:val="Compact"/>
              <w:jc w:val="left"/>
            </w:pPr>
            <w:r>
              <w:t xml:space="preserve">density control</w:t>
            </w:r>
          </w:p>
        </w:tc>
        <w:tc>
          <w:tcPr/>
          <w:p>
            <w:pPr>
              <w:pStyle w:val="Compact"/>
              <w:jc w:val="left"/>
            </w:pPr>
            <w:r>
              <w:t xml:space="preserve">scale parameter (content-agnostic)</w:t>
            </w:r>
          </w:p>
        </w:tc>
        <w:tc>
          <w:tcPr/>
          <w:p>
            <w:pPr>
              <w:pStyle w:val="Compact"/>
              <w:jc w:val="left"/>
            </w:pPr>
            <w:r>
              <w:t xml:space="preserve">panel composition (biology-aware, per-clade tunable)</w:t>
            </w:r>
          </w:p>
        </w:tc>
        <w:tc>
          <w:tcPr/>
          <w:p>
            <w:pPr>
              <w:pStyle w:val="Compact"/>
              <w:jc w:val="left"/>
            </w:pPr>
            <w:r>
              <w:t xml:space="preserve">Table 6 ranking; per-clade panel survey: not measured</w:t>
            </w:r>
          </w:p>
        </w:tc>
      </w:tr>
      <w:tr>
        <w:tc>
          <w:tcPr/>
          <w:p>
            <w:pPr>
              <w:pStyle w:val="Compact"/>
              <w:jc w:val="left"/>
            </w:pPr>
            <w:r>
              <w:t xml:space="preserve">index cost at matched density</w:t>
            </w:r>
          </w:p>
        </w:tc>
        <w:tc>
          <w:tcPr/>
          <w:p>
            <w:pPr>
              <w:pStyle w:val="Compact"/>
              <w:jc w:val="left"/>
            </w:pPr>
            <w:r>
              <w:t xml:space="preserve">~39 B/landmark if engineered into the same index format; merged FMH index (–mode fracminhash) not implemented</w:t>
            </w:r>
          </w:p>
        </w:tc>
        <w:tc>
          <w:tcPr/>
          <w:p>
            <w:pPr>
              <w:pStyle w:val="Compact"/>
              <w:jc w:val="left"/>
            </w:pPr>
            <w:r>
              <w:t xml:space="preserve">~38.7-38.9 B/anchor; merged 300-genome DB builds 10M anchors in 86 s</w:t>
            </w:r>
          </w:p>
        </w:tc>
        <w:tc>
          <w:tcPr/>
          <w:p>
            <w:pPr>
              <w:pStyle w:val="Compact"/>
              <w:jc w:val="left"/>
            </w:pPr>
            <w:r>
              <w:t xml:space="preserve">F5</w:t>
            </w:r>
          </w:p>
        </w:tc>
      </w:tr>
      <w:tr>
        <w:tc>
          <w:tcPr/>
          <w:p>
            <w:pPr>
              <w:pStyle w:val="Compact"/>
              <w:jc w:val="left"/>
            </w:pPr>
            <w:r>
              <w:t xml:space="preserve">half-density option</w:t>
            </w:r>
          </w:p>
        </w:tc>
        <w:tc>
          <w:tcPr/>
          <w:p>
            <w:pPr>
              <w:pStyle w:val="Compact"/>
              <w:jc w:val="left"/>
            </w:pPr>
            <w:r>
              <w:t xml:space="preserve">scale 200: ~124 GB GTDB projection, &lt;=0.007 r loss at &gt;=1x</w:t>
            </w:r>
          </w:p>
        </w:tc>
        <w:tc>
          <w:tcPr/>
          <w:p>
            <w:pPr>
              <w:pStyle w:val="Compact"/>
              <w:jc w:val="left"/>
            </w:pPr>
            <w:r>
              <w:t xml:space="preserve">no equivalent knob (panel size is the knob; Table 7)</w:t>
            </w:r>
          </w:p>
        </w:tc>
        <w:tc>
          <w:tcPr/>
          <w:p>
            <w:pPr>
              <w:pStyle w:val="Compact"/>
              <w:jc w:val="left"/>
            </w:pPr>
            <w:r>
              <w:t xml:space="preserve">F5</w:t>
            </w:r>
          </w:p>
        </w:tc>
      </w:tr>
      <w:tr>
        <w:tc>
          <w:tcPr/>
          <w:p>
            <w:pPr>
              <w:pStyle w:val="Compact"/>
              <w:jc w:val="left"/>
            </w:pPr>
            <w:r>
              <w:t xml:space="preserve">wet-lab realization</w:t>
            </w:r>
          </w:p>
        </w:tc>
        <w:tc>
          <w:tcPr/>
          <w:p>
            <w:pPr>
              <w:pStyle w:val="Compact"/>
              <w:jc w:val="left"/>
            </w:pPr>
            <w:r>
              <w:t xml:space="preserve">computational only</w:t>
            </w:r>
          </w:p>
        </w:tc>
        <w:tc>
          <w:tcPr/>
          <w:p>
            <w:pPr>
              <w:pStyle w:val="Compact"/>
              <w:jc w:val="left"/>
            </w:pPr>
            <w:r>
              <w:t xml:space="preserve">physically produced by the 2bRAD protocol</w:t>
            </w:r>
          </w:p>
        </w:tc>
        <w:tc>
          <w:tcPr/>
          <w:p>
            <w:pPr>
              <w:pStyle w:val="Compact"/>
              <w:jc w:val="left"/>
            </w:pPr>
            <w:r>
              <w:t xml:space="preserve">route B</w:t>
            </w:r>
          </w:p>
        </w:tc>
      </w:tr>
      <w:tr>
        <w:tc>
          <w:tcPr/>
          <w:p>
            <w:pPr>
              <w:pStyle w:val="Compact"/>
              <w:jc w:val="left"/>
            </w:pPr>
            <w:r>
              <w:t xml:space="preserve">methylation-bias effect on yield</w:t>
            </w:r>
          </w:p>
        </w:tc>
        <w:tc>
          <w:tcPr/>
          <w:p>
            <w:pPr>
              <w:pStyle w:val="Compact"/>
              <w:jc w:val="left"/>
            </w:pPr>
            <w:r>
              <w:t xml:space="preserve">n/a</w:t>
            </w:r>
          </w:p>
        </w:tc>
        <w:tc>
          <w:tcPr/>
          <w:p>
            <w:pPr>
              <w:pStyle w:val="Compact"/>
              <w:jc w:val="left"/>
            </w:pPr>
            <w:r>
              <w:t xml:space="preserve">not measured</w:t>
            </w:r>
          </w:p>
        </w:tc>
        <w:tc>
          <w:tcPr/>
          <w:p>
            <w:pPr>
              <w:pStyle w:val="Compact"/>
              <w:jc w:val="left"/>
            </w:pPr>
            <w:r>
              <w:t xml:space="preserve">—</w:t>
            </w:r>
          </w:p>
        </w:tc>
      </w:tr>
    </w:tbl>
    <w:p>
      <w:pPr>
        <w:pStyle w:val="BodyText"/>
      </w:pPr>
      <w:r>
        <w:t xml:space="preserve">Rows marked</w:t>
      </w:r>
      <w:r>
        <w:t xml:space="preserve"> </w:t>
      </w:r>
      <w:r>
        <w:t xml:space="preserve">“not measured”</w:t>
      </w:r>
      <w:r>
        <w:t xml:space="preserve"> </w:t>
      </w:r>
      <w:r>
        <w:t xml:space="preserve">have no data in this study and must not be read as null results. The mismatch-tolerance row is asymmetric for a measured reason (F3): the enzyme mode’s exact-first counting rule suppresses the near-neighbor search that becomes the sketch mode’s rescue channel at scale ~100. Sketch-side scaffolding and sketch mismatch tolerance rest on a rule-based port/simulation respectively, not on shipped CLI modes (F3/F4 REVIEW caveats).</w:t>
      </w:r>
    </w:p>
    <w:bookmarkEnd w:id="68"/>
    <w:bookmarkStart w:id="69" w:name="conclusions"/>
    <w:p>
      <w:pPr>
        <w:pStyle w:val="Heading2"/>
      </w:pPr>
      <w:r>
        <w:t xml:space="preserve">Conclusions</w:t>
      </w:r>
    </w:p>
    <w:p>
      <w:pPr>
        <w:pStyle w:val="FirstParagraph"/>
      </w:pPr>
      <w:r>
        <w:t xml:space="preserve">sk2bGrow makes PTR estimation practical at sequencing depths where current sketch-based coverage gates commonly return no estimate. The controlled benchmark attributes the shallow-depth gain primarily to coordinate-aware V-fitting rather than to landmark determinism: 2bRAD anchors and density-matched FracMinHash landmarks were not significantly different after density matching. The practical contribution of 2bRAD is therefore not universal accuracy superiority, but a wet-lab-realizable landmark panel with cross-enzyme QC strata and fusion redundancy. sk2bGrow estimates remain bounded by slope compression at very low depth, GC/reference-quality limits, and strain-complexity effects. Open implementation, provenance-tracked benchmarks, and explicit negative controls support its use as a shallow-depth growth-inference module that can be combined with longitudinal microbiome and disease-prediction analyses.</w:t>
      </w:r>
    </w:p>
    <w:bookmarkEnd w:id="69"/>
    <w:bookmarkStart w:id="70" w:name="list-of-abbreviations"/>
    <w:p>
      <w:pPr>
        <w:pStyle w:val="Heading2"/>
      </w:pPr>
      <w:r>
        <w:t xml:space="preserve">List of abbreviations</w:t>
      </w:r>
    </w:p>
    <w:p>
      <w:pPr>
        <w:pStyle w:val="FirstParagraph"/>
      </w:pPr>
      <w:r>
        <w:t xml:space="preserve">GC: guanine–cytosine content</w:t>
      </w:r>
      <w:r>
        <w:br/>
      </w:r>
      <w:r>
        <w:t xml:space="preserve">MAG: metagenome-assembled genome</w:t>
      </w:r>
      <w:r>
        <w:br/>
      </w:r>
      <w:r>
        <w:t xml:space="preserve">PTR: peak-to-trough ratio</w:t>
      </w:r>
      <w:r>
        <w:br/>
      </w:r>
      <w:r>
        <w:t xml:space="preserve">QC: quality control</w:t>
      </w:r>
      <w:r>
        <w:br/>
      </w:r>
      <w:r>
        <w:t xml:space="preserve">RSS: resident set size</w:t>
      </w:r>
      <w:r>
        <w:br/>
      </w:r>
      <w:r>
        <w:t xml:space="preserve">V-fit: coordinate-aware windowed V-shaped regression fit</w:t>
      </w:r>
    </w:p>
    <w:bookmarkEnd w:id="70"/>
    <w:bookmarkStart w:id="80" w:name="declarations"/>
    <w:p>
      <w:pPr>
        <w:pStyle w:val="Heading2"/>
      </w:pPr>
      <w:r>
        <w:t xml:space="preserve">Declarations</w:t>
      </w:r>
    </w:p>
    <w:bookmarkStart w:id="71" w:name="Xd182db0490b2de20bd2b4e4cc8698599182035f"/>
    <w:p>
      <w:pPr>
        <w:pStyle w:val="Heading3"/>
      </w:pPr>
      <w:r>
        <w:t xml:space="preserve">Ethics approval and consent to participate</w:t>
      </w:r>
    </w:p>
    <w:p>
      <w:pPr>
        <w:pStyle w:val="FirstParagraph"/>
      </w:pPr>
      <w:r>
        <w:t xml:space="preserve">Not applicable. This study analysed only publicly available sequencing data.</w:t>
      </w:r>
    </w:p>
    <w:bookmarkEnd w:id="71"/>
    <w:bookmarkStart w:id="72" w:name="consent-for-publication"/>
    <w:p>
      <w:pPr>
        <w:pStyle w:val="Heading3"/>
      </w:pPr>
      <w:r>
        <w:t xml:space="preserve">Consent for publication</w:t>
      </w:r>
    </w:p>
    <w:p>
      <w:pPr>
        <w:pStyle w:val="FirstParagraph"/>
      </w:pPr>
      <w:r>
        <w:t xml:space="preserve">Not applicable.</w:t>
      </w:r>
    </w:p>
    <w:bookmarkEnd w:id="72"/>
    <w:bookmarkStart w:id="74" w:name="availability-of-data-and-materials"/>
    <w:p>
      <w:pPr>
        <w:pStyle w:val="Heading3"/>
      </w:pPr>
      <w:r>
        <w:t xml:space="preserve">Availability of data and materials</w:t>
      </w:r>
    </w:p>
    <w:p>
      <w:pPr>
        <w:pStyle w:val="FirstParagraph"/>
      </w:pPr>
      <w:r>
        <w:t xml:space="preserve">sk2bGrow:</w:t>
      </w:r>
      <w:r>
        <w:t xml:space="preserve"> </w:t>
      </w:r>
      <w:hyperlink r:id="rId22">
        <w:r>
          <w:rPr>
            <w:rStyle w:val="Hyperlink"/>
          </w:rPr>
          <w:t xml:space="preserve">https://github.com/HuangShiLab/sk2bGrow</w:t>
        </w:r>
      </w:hyperlink>
      <w:r>
        <w:t xml:space="preserve">.</w:t>
      </w:r>
      <w:r>
        <w:t xml:space="preserve"> </w:t>
      </w:r>
      <w:r>
        <w:t xml:space="preserve">Manuscript, figures and figure code:</w:t>
      </w:r>
      <w:r>
        <w:t xml:space="preserve"> </w:t>
      </w:r>
      <w:hyperlink r:id="rId73">
        <w:r>
          <w:rPr>
            <w:rStyle w:val="Hyperlink"/>
          </w:rPr>
          <w:t xml:space="preserve">https://github.com/HuangShiLab/sk2bGrow-paper</w:t>
        </w:r>
      </w:hyperlink>
      <w:r>
        <w:t xml:space="preserve">.</w:t>
      </w:r>
      <w:r>
        <w:t xml:space="preserve"> </w:t>
      </w:r>
      <w:r>
        <w:t xml:space="preserve">Figures are a pure function of the tables in</w:t>
      </w:r>
      <w:r>
        <w:t xml:space="preserve"> </w:t>
      </w:r>
      <w:r>
        <w:rPr>
          <w:rStyle w:val="VerbatimChar"/>
        </w:rPr>
        <w:t xml:space="preserve">data/</w:t>
      </w:r>
      <w:r>
        <w:t xml:space="preserve">;</w:t>
      </w:r>
      <w:r>
        <w:t xml:space="preserve"> </w:t>
      </w:r>
      <w:r>
        <w:rPr>
          <w:rStyle w:val="VerbatimChar"/>
        </w:rPr>
        <w:t xml:space="preserve">python3 figures/make_figures.py</w:t>
      </w:r>
      <w:r>
        <w:t xml:space="preserve"> </w:t>
      </w:r>
      <w:r>
        <w:t xml:space="preserve">regenerates all of them with no network access and no recomputation from reads.</w:t>
      </w:r>
      <w:r>
        <w:t xml:space="preserve"> </w:t>
      </w:r>
      <w:r>
        <w:t xml:space="preserve">Review-response provenance is in</w:t>
      </w:r>
      <w:r>
        <w:t xml:space="preserve"> </w:t>
      </w:r>
      <w:r>
        <w:rPr>
          <w:rStyle w:val="VerbatimChar"/>
        </w:rPr>
        <w:t xml:space="preserve">data/m1_signed/</w:t>
      </w:r>
      <w:r>
        <w:t xml:space="preserve">: the final primary A/B/E grid</w:t>
      </w:r>
      <w:r>
        <w:t xml:space="preserve"> </w:t>
      </w:r>
      <w:r>
        <w:t xml:space="preserve">(</w:t>
      </w:r>
      <w:r>
        <w:rPr>
          <w:rStyle w:val="VerbatimChar"/>
        </w:rPr>
        <w:t xml:space="preserve">hpc_singlepass_grid_results.tsv</w:t>
      </w:r>
      <w:r>
        <w:t xml:space="preserve">), its summary</w:t>
      </w:r>
      <w:r>
        <w:t xml:space="preserve"> </w:t>
      </w:r>
      <w:r>
        <w:t xml:space="preserve">(</w:t>
      </w:r>
      <w:r>
        <w:rPr>
          <w:rStyle w:val="VerbatimChar"/>
        </w:rPr>
        <w:t xml:space="preserve">hpc_singlepass_grid_summary.tsv</w:t>
      </w:r>
      <w:r>
        <w:t xml:space="preserve">), and the rejected residual-GC diagnostic</w:t>
      </w:r>
      <w:r>
        <w:t xml:space="preserve"> </w:t>
      </w:r>
      <w:r>
        <w:t xml:space="preserve">(</w:t>
      </w:r>
      <w:r>
        <w:rPr>
          <w:rStyle w:val="VerbatimChar"/>
        </w:rPr>
        <w:t xml:space="preserve">gc_correction_diagnostic.tsv</w:t>
      </w:r>
      <w:r>
        <w:t xml:space="preserve">).</w:t>
      </w:r>
      <w:r>
        <w:t xml:space="preserve"> </w:t>
      </w:r>
      <w:r>
        <w:t xml:space="preserve">Sequencing data: PRJNA615952 (Zheng</w:t>
      </w:r>
      <w:r>
        <w:t xml:space="preserve"> </w:t>
      </w:r>
      <w:r>
        <w:rPr>
          <w:i/>
          <w:iCs/>
        </w:rPr>
        <w:t xml:space="preserve">E. coli</w:t>
      </w:r>
      <w:r>
        <w:t xml:space="preserve"> </w:t>
      </w:r>
      <w:r>
        <w:t xml:space="preserve">panel), PRJNA689204 (Sun faecal</w:t>
      </w:r>
      <w:r>
        <w:t xml:space="preserve"> </w:t>
      </w:r>
      <w:r>
        <w:t xml:space="preserve">study), PRJNA974210 (rotating biological contactor metagenome).</w:t>
      </w:r>
    </w:p>
    <w:bookmarkEnd w:id="74"/>
    <w:bookmarkStart w:id="75" w:name="competing-interests"/>
    <w:p>
      <w:pPr>
        <w:pStyle w:val="Heading3"/>
      </w:pPr>
      <w:r>
        <w:t xml:space="preserve">Competing interests</w:t>
      </w:r>
    </w:p>
    <w:p>
      <w:pPr>
        <w:pStyle w:val="FirstParagraph"/>
      </w:pPr>
      <w:r>
        <w:t xml:space="preserve">The authors declare that they have no competing interests.</w:t>
      </w:r>
    </w:p>
    <w:bookmarkEnd w:id="75"/>
    <w:bookmarkStart w:id="76" w:name="funding"/>
    <w:p>
      <w:pPr>
        <w:pStyle w:val="Heading3"/>
      </w:pPr>
      <w:r>
        <w:t xml:space="preserve">Funding</w:t>
      </w:r>
    </w:p>
    <w:p>
      <w:pPr>
        <w:pStyle w:val="FirstParagraph"/>
      </w:pPr>
      <w:r>
        <w:t xml:space="preserve">[To be completed before submission.]</w:t>
      </w:r>
    </w:p>
    <w:bookmarkEnd w:id="76"/>
    <w:bookmarkStart w:id="77" w:name="authors-contributions"/>
    <w:p>
      <w:pPr>
        <w:pStyle w:val="Heading3"/>
      </w:pPr>
      <w:r>
        <w:t xml:space="preserve">Authors’ contributions</w:t>
      </w:r>
    </w:p>
    <w:p>
      <w:pPr>
        <w:pStyle w:val="FirstParagraph"/>
      </w:pPr>
      <w:r>
        <w:t xml:space="preserve">[To be completed before submission using CRediT taxonomy and the final author initials.]</w:t>
      </w:r>
    </w:p>
    <w:bookmarkEnd w:id="77"/>
    <w:bookmarkStart w:id="78" w:name="acknowledgements"/>
    <w:p>
      <w:pPr>
        <w:pStyle w:val="Heading3"/>
      </w:pPr>
      <w:r>
        <w:t xml:space="preserve">Acknowledgements</w:t>
      </w:r>
    </w:p>
    <w:p>
      <w:pPr>
        <w:pStyle w:val="FirstParagraph"/>
      </w:pPr>
      <w:r>
        <w:t xml:space="preserve">[To be completed before submission or state “Not applicable.”]</w:t>
      </w:r>
    </w:p>
    <w:bookmarkEnd w:id="78"/>
    <w:bookmarkStart w:id="79" w:name="authors-information"/>
    <w:p>
      <w:pPr>
        <w:pStyle w:val="Heading3"/>
      </w:pPr>
      <w:r>
        <w:t xml:space="preserve">Authors’ information</w:t>
      </w:r>
    </w:p>
    <w:p>
      <w:pPr>
        <w:pStyle w:val="FirstParagraph"/>
      </w:pPr>
      <w:r>
        <w:t xml:space="preserve">Not applicable.</w:t>
      </w:r>
    </w:p>
    <w:bookmarkEnd w:id="79"/>
    <w:bookmarkEnd w:id="80"/>
    <w:bookmarkStart w:id="89" w:name="references"/>
    <w:p>
      <w:pPr>
        <w:pStyle w:val="Heading2"/>
      </w:pPr>
      <w:r>
        <w:t xml:space="preserve">References</w:t>
      </w:r>
    </w:p>
    <w:p>
      <w:pPr>
        <w:pStyle w:val="Compact"/>
        <w:numPr>
          <w:ilvl w:val="0"/>
          <w:numId w:val="1006"/>
        </w:numPr>
      </w:pPr>
      <w:r>
        <w:t xml:space="preserve">Korem T, Zeevi D, Suez J, et al. Growth dynamics of gut microbiota in health and disease inferred from single metagenomic samples.</w:t>
      </w:r>
      <w:r>
        <w:t xml:space="preserve"> </w:t>
      </w:r>
      <w:r>
        <w:rPr>
          <w:i/>
          <w:iCs/>
        </w:rPr>
        <w:t xml:space="preserve">Science</w:t>
      </w:r>
      <w:r>
        <w:t xml:space="preserve">. 2015;349(6252):1101–1106. doi:</w:t>
      </w:r>
      <w:hyperlink r:id="rId81">
        <w:r>
          <w:rPr>
            <w:rStyle w:val="Hyperlink"/>
          </w:rPr>
          <w:t xml:space="preserve">10.1126/science.aac4812</w:t>
        </w:r>
      </w:hyperlink>
    </w:p>
    <w:p>
      <w:pPr>
        <w:pStyle w:val="Compact"/>
        <w:numPr>
          <w:ilvl w:val="0"/>
          <w:numId w:val="1006"/>
        </w:numPr>
      </w:pPr>
      <w:r>
        <w:t xml:space="preserve">Brown CT, Olm MR, Thomas BC, Banfield JF. Measurement of bacterial replication rates in microbial communities.</w:t>
      </w:r>
      <w:r>
        <w:t xml:space="preserve"> </w:t>
      </w:r>
      <w:r>
        <w:rPr>
          <w:i/>
          <w:iCs/>
        </w:rPr>
        <w:t xml:space="preserve">Nature Biotechnology</w:t>
      </w:r>
      <w:r>
        <w:t xml:space="preserve">. 2016;34(12):1256–1263. doi:</w:t>
      </w:r>
      <w:hyperlink r:id="rId82">
        <w:r>
          <w:rPr>
            <w:rStyle w:val="Hyperlink"/>
          </w:rPr>
          <w:t xml:space="preserve">10.1038/nbt.3704</w:t>
        </w:r>
      </w:hyperlink>
    </w:p>
    <w:p>
      <w:pPr>
        <w:pStyle w:val="Compact"/>
        <w:numPr>
          <w:ilvl w:val="0"/>
          <w:numId w:val="1006"/>
        </w:numPr>
      </w:pPr>
      <w:r>
        <w:t xml:space="preserve">Joseph TA, Chlenski P, Litman A, Korem T, Pe’er I. Accurate and robust inference of microbial growth dynamics from metagenomic sequencing reveals personalized growth rates.</w:t>
      </w:r>
      <w:r>
        <w:t xml:space="preserve"> </w:t>
      </w:r>
      <w:r>
        <w:rPr>
          <w:i/>
          <w:iCs/>
        </w:rPr>
        <w:t xml:space="preserve">Genome Research</w:t>
      </w:r>
      <w:r>
        <w:t xml:space="preserve">. 2022;32(3):558–568. doi:</w:t>
      </w:r>
      <w:hyperlink r:id="rId83">
        <w:r>
          <w:rPr>
            <w:rStyle w:val="Hyperlink"/>
          </w:rPr>
          <w:t xml:space="preserve">10.1101/gr.275533.121</w:t>
        </w:r>
      </w:hyperlink>
    </w:p>
    <w:p>
      <w:pPr>
        <w:pStyle w:val="Compact"/>
        <w:numPr>
          <w:ilvl w:val="0"/>
          <w:numId w:val="1006"/>
        </w:numPr>
      </w:pPr>
      <w:r>
        <w:t xml:space="preserve">Chen X, Xu X, Zhang T. Pilea: profiling bacterial growth dynamics from metagenomes with sketching.</w:t>
      </w:r>
      <w:r>
        <w:t xml:space="preserve"> </w:t>
      </w:r>
      <w:r>
        <w:rPr>
          <w:i/>
          <w:iCs/>
        </w:rPr>
        <w:t xml:space="preserve">Microbiome</w:t>
      </w:r>
      <w:r>
        <w:t xml:space="preserve">. 2026;14(1):128. doi:</w:t>
      </w:r>
      <w:hyperlink r:id="rId84">
        <w:r>
          <w:rPr>
            <w:rStyle w:val="Hyperlink"/>
          </w:rPr>
          <w:t xml:space="preserve">10.1186/s40168-026-02374-0</w:t>
        </w:r>
      </w:hyperlink>
    </w:p>
    <w:p>
      <w:pPr>
        <w:pStyle w:val="Compact"/>
        <w:numPr>
          <w:ilvl w:val="0"/>
          <w:numId w:val="1006"/>
        </w:numPr>
      </w:pPr>
      <w:r>
        <w:t xml:space="preserve">Wang S, Meyer E, McKay JK, Matz MV. 2b-RAD: a simple and flexible method for genome-wide genotyping.</w:t>
      </w:r>
      <w:r>
        <w:t xml:space="preserve"> </w:t>
      </w:r>
      <w:r>
        <w:rPr>
          <w:i/>
          <w:iCs/>
        </w:rPr>
        <w:t xml:space="preserve">Nature Methods</w:t>
      </w:r>
      <w:r>
        <w:t xml:space="preserve">. 2012;9(8):808–810. doi:</w:t>
      </w:r>
      <w:hyperlink r:id="rId85">
        <w:r>
          <w:rPr>
            <w:rStyle w:val="Hyperlink"/>
          </w:rPr>
          <w:t xml:space="preserve">10.1038/nmeth.2023</w:t>
        </w:r>
      </w:hyperlink>
    </w:p>
    <w:p>
      <w:pPr>
        <w:pStyle w:val="Compact"/>
        <w:numPr>
          <w:ilvl w:val="0"/>
          <w:numId w:val="1006"/>
        </w:numPr>
      </w:pPr>
      <w:r>
        <w:t xml:space="preserve">Hess MK, Rowe SJ, Van Stijn TC, Henry HM, Hickey SM, Brauning R, Hess AM, Clark SL, McEwan JC, Rowe SJ. A restriction enzyme reduced representation sequencing approach for low-cost, high-throughput metagenome profiling.</w:t>
      </w:r>
      <w:r>
        <w:t xml:space="preserve"> </w:t>
      </w:r>
      <w:r>
        <w:rPr>
          <w:i/>
          <w:iCs/>
        </w:rPr>
        <w:t xml:space="preserve">PLOS ONE</w:t>
      </w:r>
      <w:r>
        <w:t xml:space="preserve">. 2020;15(4):e0219882. doi:</w:t>
      </w:r>
      <w:hyperlink r:id="rId86">
        <w:r>
          <w:rPr>
            <w:rStyle w:val="Hyperlink"/>
          </w:rPr>
          <w:t xml:space="preserve">10.1371/journal.pone.0219882</w:t>
        </w:r>
      </w:hyperlink>
    </w:p>
    <w:p>
      <w:pPr>
        <w:pStyle w:val="Compact"/>
        <w:numPr>
          <w:ilvl w:val="0"/>
          <w:numId w:val="1006"/>
        </w:numPr>
      </w:pPr>
      <w:r>
        <w:t xml:space="preserve">Sun Z, et al. Species-resolved sequencing of low-biomass or degraded microbiomes using 2bRAD-M.</w:t>
      </w:r>
      <w:r>
        <w:t xml:space="preserve"> </w:t>
      </w:r>
      <w:r>
        <w:rPr>
          <w:i/>
          <w:iCs/>
        </w:rPr>
        <w:t xml:space="preserve">Genome Biology</w:t>
      </w:r>
      <w:r>
        <w:t xml:space="preserve">. 2022;23:36. doi:</w:t>
      </w:r>
      <w:hyperlink r:id="rId87">
        <w:r>
          <w:rPr>
            <w:rStyle w:val="Hyperlink"/>
          </w:rPr>
          <w:t xml:space="preserve">10.1186/s13059-021-02576-9</w:t>
        </w:r>
      </w:hyperlink>
    </w:p>
    <w:p>
      <w:pPr>
        <w:pStyle w:val="Compact"/>
        <w:numPr>
          <w:ilvl w:val="0"/>
          <w:numId w:val="1006"/>
        </w:numPr>
      </w:pPr>
      <w:r>
        <w:t xml:space="preserve">Irber L, Brooks PT, Reiter T, Pierce-Ward NT, Hera MR, Brown CT. Lightweight compositional analysis of metagenomes with FracMinHash and minimum metagenome covers.</w:t>
      </w:r>
      <w:r>
        <w:t xml:space="preserve"> </w:t>
      </w:r>
      <w:r>
        <w:rPr>
          <w:i/>
          <w:iCs/>
        </w:rPr>
        <w:t xml:space="preserve">bioRxiv</w:t>
      </w:r>
      <w:r>
        <w:t xml:space="preserve">. 2022. doi:</w:t>
      </w:r>
      <w:hyperlink r:id="rId88">
        <w:r>
          <w:rPr>
            <w:rStyle w:val="Hyperlink"/>
          </w:rPr>
          <w:t xml:space="preserve">10.1101/2022.01.11.475838</w:t>
        </w:r>
      </w:hyperlink>
    </w:p>
    <w:bookmarkEnd w:id="89"/>
    <w:bookmarkStart w:id="114" w:name="figures"/>
    <w:p>
      <w:pPr>
        <w:pStyle w:val="Heading2"/>
      </w:pPr>
      <w:r>
        <w:t xml:space="preserve">Figures</w:t>
      </w:r>
    </w:p>
    <w:p>
      <w:pPr>
        <w:pStyle w:val="CaptionedFigure"/>
      </w:pPr>
      <w:r>
        <w:drawing>
          <wp:inline>
            <wp:extent cx="5943600" cy="4067536"/>
            <wp:effectExtent b="0" l="0" r="0" t="0"/>
            <wp:docPr descr="Fig. 1. Overview and worked example" title="" id="91" name="Picture"/>
            <a:graphic>
              <a:graphicData uri="http://schemas.openxmlformats.org/drawingml/2006/picture">
                <pic:pic>
                  <pic:nvPicPr>
                    <pic:cNvPr descr="../figures/out/fig1_overview.png" id="92" name="Picture"/>
                    <pic:cNvPicPr>
                      <a:picLocks noChangeArrowheads="1" noChangeAspect="1"/>
                    </pic:cNvPicPr>
                  </pic:nvPicPr>
                  <pic:blipFill>
                    <a:blip r:embed="rId90"/>
                    <a:stretch>
                      <a:fillRect/>
                    </a:stretch>
                  </pic:blipFill>
                  <pic:spPr bwMode="auto">
                    <a:xfrm>
                      <a:off x="0" y="0"/>
                      <a:ext cx="5943600" cy="4067536"/>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Overview and worked example</w:t>
      </w:r>
    </w:p>
    <w:p>
      <w:pPr>
        <w:pStyle w:val="CaptionedFigure"/>
      </w:pPr>
      <w:r>
        <w:drawing>
          <wp:inline>
            <wp:extent cx="5943600" cy="2123380"/>
            <wp:effectExtent b="0" l="0" r="0" t="0"/>
            <wp:docPr descr="Fig. 2. Zheng isolate benchmark, accuracy versus coverage, and run-out control" title="" id="94" name="Picture"/>
            <a:graphic>
              <a:graphicData uri="http://schemas.openxmlformats.org/drawingml/2006/picture">
                <pic:pic>
                  <pic:nvPicPr>
                    <pic:cNvPr descr="../figures/out/fig2_zheng_benchmark.png" id="95" name="Picture"/>
                    <pic:cNvPicPr>
                      <a:picLocks noChangeArrowheads="1" noChangeAspect="1"/>
                    </pic:cNvPicPr>
                  </pic:nvPicPr>
                  <pic:blipFill>
                    <a:blip r:embed="rId93"/>
                    <a:stretch>
                      <a:fillRect/>
                    </a:stretch>
                  </pic:blipFill>
                  <pic:spPr bwMode="auto">
                    <a:xfrm>
                      <a:off x="0" y="0"/>
                      <a:ext cx="5943600" cy="212338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Zheng isolate benchmark, accuracy versus coverage, and run-out control</w:t>
      </w:r>
    </w:p>
    <w:p>
      <w:pPr>
        <w:pStyle w:val="CaptionedFigure"/>
      </w:pPr>
      <w:r>
        <w:drawing>
          <wp:inline>
            <wp:extent cx="5943600" cy="2397967"/>
            <wp:effectExtent b="0" l="0" r="0" t="0"/>
            <wp:docPr descr="Fig. 3. Multi-strain simulation" title="" id="97" name="Picture"/>
            <a:graphic>
              <a:graphicData uri="http://schemas.openxmlformats.org/drawingml/2006/picture">
                <pic:pic>
                  <pic:nvPicPr>
                    <pic:cNvPr descr="../figures/out/fig3_simulation.png" id="98" name="Picture"/>
                    <pic:cNvPicPr>
                      <a:picLocks noChangeArrowheads="1" noChangeAspect="1"/>
                    </pic:cNvPicPr>
                  </pic:nvPicPr>
                  <pic:blipFill>
                    <a:blip r:embed="rId96"/>
                    <a:stretch>
                      <a:fillRect/>
                    </a:stretch>
                  </pic:blipFill>
                  <pic:spPr bwMode="auto">
                    <a:xfrm>
                      <a:off x="0" y="0"/>
                      <a:ext cx="5943600" cy="2397967"/>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Multi-strain simulation</w:t>
      </w:r>
    </w:p>
    <w:p>
      <w:pPr>
        <w:pStyle w:val="CaptionedFigure"/>
      </w:pPr>
      <w:r>
        <w:drawing>
          <wp:inline>
            <wp:extent cx="5943600" cy="2011791"/>
            <wp:effectExtent b="0" l="0" r="0" t="0"/>
            <wp:docPr descr="Fig. 4. Landmark-source attribution" title="" id="100" name="Picture"/>
            <a:graphic>
              <a:graphicData uri="http://schemas.openxmlformats.org/drawingml/2006/picture">
                <pic:pic>
                  <pic:nvPicPr>
                    <pic:cNvPr descr="../figures/out/fig4_attribution.png" id="101" name="Picture"/>
                    <pic:cNvPicPr>
                      <a:picLocks noChangeArrowheads="1" noChangeAspect="1"/>
                    </pic:cNvPicPr>
                  </pic:nvPicPr>
                  <pic:blipFill>
                    <a:blip r:embed="rId99"/>
                    <a:stretch>
                      <a:fillRect/>
                    </a:stretch>
                  </pic:blipFill>
                  <pic:spPr bwMode="auto">
                    <a:xfrm>
                      <a:off x="0" y="0"/>
                      <a:ext cx="5943600" cy="2011791"/>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Landmark-source attribution</w:t>
      </w:r>
    </w:p>
    <w:p>
      <w:pPr>
        <w:pStyle w:val="CaptionedFigure"/>
      </w:pPr>
      <w:r>
        <w:drawing>
          <wp:inline>
            <wp:extent cx="5943600" cy="4181188"/>
            <wp:effectExtent b="0" l="0" r="0" t="0"/>
            <wp:docPr descr="Fig. 5. Panel-size sweep and GC range" title="" id="103" name="Picture"/>
            <a:graphic>
              <a:graphicData uri="http://schemas.openxmlformats.org/drawingml/2006/picture">
                <pic:pic>
                  <pic:nvPicPr>
                    <pic:cNvPr descr="../figures/out/fig5_panel_design.png" id="104" name="Picture"/>
                    <pic:cNvPicPr>
                      <a:picLocks noChangeArrowheads="1" noChangeAspect="1"/>
                    </pic:cNvPicPr>
                  </pic:nvPicPr>
                  <pic:blipFill>
                    <a:blip r:embed="rId102"/>
                    <a:stretch>
                      <a:fillRect/>
                    </a:stretch>
                  </pic:blipFill>
                  <pic:spPr bwMode="auto">
                    <a:xfrm>
                      <a:off x="0" y="0"/>
                      <a:ext cx="5943600" cy="4181188"/>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Panel-size sweep and GC range</w:t>
      </w:r>
    </w:p>
    <w:p>
      <w:pPr>
        <w:pStyle w:val="CaptionedFigure"/>
      </w:pPr>
      <w:r>
        <w:drawing>
          <wp:inline>
            <wp:extent cx="5943600" cy="4873369"/>
            <wp:effectExtent b="0" l="0" r="0" t="0"/>
            <wp:docPr descr="Fig. 6. Fragmentation and scaffolding" title="" id="106" name="Picture"/>
            <a:graphic>
              <a:graphicData uri="http://schemas.openxmlformats.org/drawingml/2006/picture">
                <pic:pic>
                  <pic:nvPicPr>
                    <pic:cNvPr descr="../figures/out/fig6_fragmentation.png" id="107" name="Picture"/>
                    <pic:cNvPicPr>
                      <a:picLocks noChangeArrowheads="1" noChangeAspect="1"/>
                    </pic:cNvPicPr>
                  </pic:nvPicPr>
                  <pic:blipFill>
                    <a:blip r:embed="rId105"/>
                    <a:stretch>
                      <a:fillRect/>
                    </a:stretch>
                  </pic:blipFill>
                  <pic:spPr bwMode="auto">
                    <a:xfrm>
                      <a:off x="0" y="0"/>
                      <a:ext cx="5943600" cy="4873369"/>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Fragmentation and scaffolding</w:t>
      </w:r>
    </w:p>
    <w:p>
      <w:pPr>
        <w:pStyle w:val="CaptionedFigure"/>
      </w:pPr>
      <w:r>
        <w:drawing>
          <wp:inline>
            <wp:extent cx="5943600" cy="2396004"/>
            <wp:effectExtent b="0" l="0" r="0" t="0"/>
            <wp:docPr descr="Fig. 7. Fecal-cohort concordance" title="" id="109" name="Picture"/>
            <a:graphic>
              <a:graphicData uri="http://schemas.openxmlformats.org/drawingml/2006/picture">
                <pic:pic>
                  <pic:nvPicPr>
                    <pic:cNvPr descr="../figures/out/fig7_metagenome.png" id="110" name="Picture"/>
                    <pic:cNvPicPr>
                      <a:picLocks noChangeArrowheads="1" noChangeAspect="1"/>
                    </pic:cNvPicPr>
                  </pic:nvPicPr>
                  <pic:blipFill>
                    <a:blip r:embed="rId108"/>
                    <a:stretch>
                      <a:fillRect/>
                    </a:stretch>
                  </pic:blipFill>
                  <pic:spPr bwMode="auto">
                    <a:xfrm>
                      <a:off x="0" y="0"/>
                      <a:ext cx="5943600" cy="2396004"/>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Fecal-cohort concordance</w:t>
      </w:r>
    </w:p>
    <w:p>
      <w:pPr>
        <w:pStyle w:val="CaptionedFigure"/>
      </w:pPr>
      <w:r>
        <w:drawing>
          <wp:inline>
            <wp:extent cx="5943600" cy="2642374"/>
            <wp:effectExtent b="0" l="0" r="0" t="0"/>
            <wp:docPr descr="Fig. 8. MAG-scale QC and cost" title="" id="112" name="Picture"/>
            <a:graphic>
              <a:graphicData uri="http://schemas.openxmlformats.org/drawingml/2006/picture">
                <pic:pic>
                  <pic:nvPicPr>
                    <pic:cNvPr descr="../figures/out/fig8_mag_qc_cost.png" id="113" name="Picture"/>
                    <pic:cNvPicPr>
                      <a:picLocks noChangeArrowheads="1" noChangeAspect="1"/>
                    </pic:cNvPicPr>
                  </pic:nvPicPr>
                  <pic:blipFill>
                    <a:blip r:embed="rId111"/>
                    <a:stretch>
                      <a:fillRect/>
                    </a:stretch>
                  </pic:blipFill>
                  <pic:spPr bwMode="auto">
                    <a:xfrm>
                      <a:off x="0" y="0"/>
                      <a:ext cx="5943600" cy="2642374"/>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MAG-scale QC and cost</w:t>
      </w:r>
    </w:p>
    <w:p>
      <w:pPr>
        <w:pStyle w:val="BodyText"/>
      </w:pPr>
      <w:r>
        <w:t xml:space="preserve">Source PDFs and reproducible figure code are in</w:t>
      </w:r>
      <w:r>
        <w:t xml:space="preserve"> </w:t>
      </w:r>
      <w:r>
        <w:rPr>
          <w:rStyle w:val="VerbatimChar"/>
        </w:rPr>
        <w:t xml:space="preserve">figures/</w:t>
      </w:r>
      <w:r>
        <w:t xml:space="preserve">.</w:t>
      </w:r>
    </w:p>
    <w:bookmarkEnd w:id="114"/>
    <w:bookmarkStart w:id="115" w:name="tables"/>
    <w:p>
      <w:pPr>
        <w:pStyle w:val="Heading2"/>
      </w:pPr>
      <w:r>
        <w:t xml:space="preserve">Tables</w:t>
      </w:r>
    </w:p>
    <w:p>
      <w:pPr>
        <w:pStyle w:val="FirstParagraph"/>
      </w:pPr>
      <w:r>
        <w:rPr>
          <w:b/>
          <w:bCs/>
        </w:rPr>
        <w:t xml:space="preserve">Table 1. Anchor density of the 16-enzyme panel across three genomes</w:t>
      </w:r>
    </w:p>
    <w:tbl>
      <w:tblPr>
        <w:tblStyle w:val="Table"/>
        <w:tblW w:type="pct" w:w="5000"/>
        <w:tblLayout w:type="fixed"/>
        <w:tblLook w:firstRow="1" w:lastRow="0" w:firstColumn="0" w:lastColumn="0" w:noHBand="0" w:noVBand="0" w:val="0020"/>
      </w:tblPr>
      <w:tblGrid>
        <w:gridCol w:w="578"/>
        <w:gridCol w:w="1040"/>
        <w:gridCol w:w="924"/>
        <w:gridCol w:w="1271"/>
        <w:gridCol w:w="1156"/>
        <w:gridCol w:w="1156"/>
        <w:gridCol w:w="1040"/>
        <w:gridCol w:w="751"/>
      </w:tblGrid>
      <w:tr>
        <w:trPr>
          <w:tblHeader w:val="on"/>
        </w:trPr>
        <w:tc>
          <w:tcPr/>
          <w:p>
            <w:pPr>
              <w:pStyle w:val="Compact"/>
              <w:jc w:val="left"/>
            </w:pPr>
            <w:r>
              <w:t xml:space="preserve">enzyme</w:t>
            </w:r>
          </w:p>
        </w:tc>
        <w:tc>
          <w:tcPr/>
          <w:p>
            <w:pPr>
              <w:pStyle w:val="Compact"/>
              <w:jc w:val="right"/>
            </w:pPr>
            <w:r>
              <w:t xml:space="preserve">ecoli_measured</w:t>
            </w:r>
          </w:p>
        </w:tc>
        <w:tc>
          <w:tcPr/>
          <w:p>
            <w:pPr>
              <w:pStyle w:val="Compact"/>
              <w:jc w:val="right"/>
            </w:pPr>
            <w:r>
              <w:t xml:space="preserve">ecoli_report</w:t>
            </w:r>
          </w:p>
        </w:tc>
        <w:tc>
          <w:tcPr/>
          <w:p>
            <w:pPr>
              <w:pStyle w:val="Compact"/>
              <w:jc w:val="right"/>
            </w:pPr>
            <w:r>
              <w:t xml:space="preserve">bsubtilis_measured</w:t>
            </w:r>
          </w:p>
        </w:tc>
        <w:tc>
          <w:tcPr/>
          <w:p>
            <w:pPr>
              <w:pStyle w:val="Compact"/>
              <w:jc w:val="right"/>
            </w:pPr>
            <w:r>
              <w:t xml:space="preserve">bsubtilis_report</w:t>
            </w:r>
          </w:p>
        </w:tc>
        <w:tc>
          <w:tcPr/>
          <w:p>
            <w:pPr>
              <w:pStyle w:val="Compact"/>
              <w:jc w:val="right"/>
            </w:pPr>
            <w:r>
              <w:t xml:space="preserve">pputida_measured</w:t>
            </w:r>
          </w:p>
        </w:tc>
        <w:tc>
          <w:tcPr/>
          <w:p>
            <w:pPr>
              <w:pStyle w:val="Compact"/>
              <w:jc w:val="right"/>
            </w:pPr>
            <w:r>
              <w:t xml:space="preserve">pputida_report</w:t>
            </w:r>
          </w:p>
        </w:tc>
        <w:tc>
          <w:tcPr/>
          <w:p>
            <w:pPr>
              <w:pStyle w:val="Compact"/>
              <w:jc w:val="right"/>
            </w:pPr>
            <w:r>
              <w:t xml:space="preserve">max_ratio</w:t>
            </w:r>
          </w:p>
        </w:tc>
      </w:tr>
      <w:tr>
        <w:tc>
          <w:tcPr/>
          <w:p>
            <w:pPr>
              <w:pStyle w:val="Compact"/>
              <w:jc w:val="left"/>
            </w:pPr>
            <w:r>
              <w:t xml:space="preserve">AlfI</w:t>
            </w:r>
          </w:p>
        </w:tc>
        <w:tc>
          <w:tcPr/>
          <w:p>
            <w:pPr>
              <w:pStyle w:val="Compact"/>
              <w:jc w:val="right"/>
            </w:pPr>
            <w:r>
              <w:t xml:space="preserve">435.800</w:t>
            </w:r>
          </w:p>
        </w:tc>
        <w:tc>
          <w:tcPr/>
          <w:p>
            <w:pPr>
              <w:pStyle w:val="Compact"/>
              <w:jc w:val="right"/>
            </w:pPr>
            <w:r>
              <w:t xml:space="preserve">436</w:t>
            </w:r>
          </w:p>
        </w:tc>
        <w:tc>
          <w:tcPr/>
          <w:p>
            <w:pPr>
              <w:pStyle w:val="Compact"/>
              <w:jc w:val="right"/>
            </w:pPr>
            <w:r>
              <w:t xml:space="preserve">237.500</w:t>
            </w:r>
          </w:p>
        </w:tc>
        <w:tc>
          <w:tcPr/>
          <w:p>
            <w:pPr>
              <w:pStyle w:val="Compact"/>
              <w:jc w:val="right"/>
            </w:pPr>
            <w:r>
              <w:t xml:space="preserve">237</w:t>
            </w:r>
          </w:p>
        </w:tc>
        <w:tc>
          <w:tcPr/>
          <w:p>
            <w:pPr>
              <w:pStyle w:val="Compact"/>
              <w:jc w:val="right"/>
            </w:pPr>
            <w:r>
              <w:t xml:space="preserve">762.400</w:t>
            </w:r>
          </w:p>
        </w:tc>
        <w:tc>
          <w:tcPr/>
          <w:p>
            <w:pPr>
              <w:pStyle w:val="Compact"/>
              <w:jc w:val="right"/>
            </w:pPr>
            <w:r>
              <w:t xml:space="preserve">760</w:t>
            </w:r>
          </w:p>
        </w:tc>
        <w:tc>
          <w:tcPr/>
          <w:p>
            <w:pPr>
              <w:pStyle w:val="Compact"/>
              <w:jc w:val="right"/>
            </w:pPr>
            <w:r>
              <w:t xml:space="preserve">1.000</w:t>
            </w:r>
          </w:p>
        </w:tc>
      </w:tr>
      <w:tr>
        <w:tc>
          <w:tcPr/>
          <w:p>
            <w:pPr>
              <w:pStyle w:val="Compact"/>
              <w:jc w:val="left"/>
            </w:pPr>
            <w:r>
              <w:t xml:space="preserve">AloI</w:t>
            </w:r>
          </w:p>
        </w:tc>
        <w:tc>
          <w:tcPr/>
          <w:p>
            <w:pPr>
              <w:pStyle w:val="Compact"/>
              <w:jc w:val="right"/>
            </w:pPr>
            <w:r>
              <w:t xml:space="preserve">112.700</w:t>
            </w:r>
          </w:p>
        </w:tc>
        <w:tc>
          <w:tcPr/>
          <w:p>
            <w:pPr>
              <w:pStyle w:val="Compact"/>
              <w:jc w:val="right"/>
            </w:pPr>
            <w:r>
              <w:t xml:space="preserve">112</w:t>
            </w:r>
          </w:p>
        </w:tc>
        <w:tc>
          <w:tcPr/>
          <w:p>
            <w:pPr>
              <w:pStyle w:val="Compact"/>
              <w:jc w:val="right"/>
            </w:pPr>
            <w:r>
              <w:t xml:space="preserve">104.100</w:t>
            </w:r>
          </w:p>
        </w:tc>
        <w:tc>
          <w:tcPr/>
          <w:p>
            <w:pPr>
              <w:pStyle w:val="Compact"/>
              <w:jc w:val="right"/>
            </w:pPr>
            <w:r>
              <w:t xml:space="preserve">104</w:t>
            </w:r>
          </w:p>
        </w:tc>
        <w:tc>
          <w:tcPr/>
          <w:p>
            <w:pPr>
              <w:pStyle w:val="Compact"/>
              <w:jc w:val="right"/>
            </w:pPr>
            <w:r>
              <w:t xml:space="preserve">144.000</w:t>
            </w:r>
          </w:p>
        </w:tc>
        <w:tc>
          <w:tcPr/>
          <w:p>
            <w:pPr>
              <w:pStyle w:val="Compact"/>
              <w:jc w:val="right"/>
            </w:pPr>
            <w:r>
              <w:t xml:space="preserve">143</w:t>
            </w:r>
          </w:p>
        </w:tc>
        <w:tc>
          <w:tcPr/>
          <w:p>
            <w:pPr>
              <w:pStyle w:val="Compact"/>
              <w:jc w:val="right"/>
            </w:pPr>
            <w:r>
              <w:t xml:space="preserve">1.000</w:t>
            </w:r>
          </w:p>
        </w:tc>
      </w:tr>
      <w:tr>
        <w:tc>
          <w:tcPr/>
          <w:p>
            <w:pPr>
              <w:pStyle w:val="Compact"/>
              <w:jc w:val="left"/>
            </w:pPr>
            <w:r>
              <w:t xml:space="preserve">BaeI</w:t>
            </w:r>
          </w:p>
        </w:tc>
        <w:tc>
          <w:tcPr/>
          <w:p>
            <w:pPr>
              <w:pStyle w:val="Compact"/>
              <w:jc w:val="right"/>
            </w:pPr>
            <w:r>
              <w:t xml:space="preserve">171.700</w:t>
            </w:r>
          </w:p>
        </w:tc>
        <w:tc>
          <w:tcPr/>
          <w:p>
            <w:pPr>
              <w:pStyle w:val="Compact"/>
              <w:jc w:val="right"/>
            </w:pPr>
            <w:r>
              <w:t xml:space="preserve">171</w:t>
            </w:r>
          </w:p>
        </w:tc>
        <w:tc>
          <w:tcPr/>
          <w:p>
            <w:pPr>
              <w:pStyle w:val="Compact"/>
              <w:jc w:val="right"/>
            </w:pPr>
            <w:r>
              <w:t xml:space="preserve">115.500</w:t>
            </w:r>
          </w:p>
        </w:tc>
        <w:tc>
          <w:tcPr/>
          <w:p>
            <w:pPr>
              <w:pStyle w:val="Compact"/>
              <w:jc w:val="right"/>
            </w:pPr>
            <w:r>
              <w:t xml:space="preserve">116</w:t>
            </w:r>
          </w:p>
        </w:tc>
        <w:tc>
          <w:tcPr/>
          <w:p>
            <w:pPr>
              <w:pStyle w:val="Compact"/>
              <w:jc w:val="right"/>
            </w:pPr>
            <w:r>
              <w:t xml:space="preserve">177.000</w:t>
            </w:r>
          </w:p>
        </w:tc>
        <w:tc>
          <w:tcPr/>
          <w:p>
            <w:pPr>
              <w:pStyle w:val="Compact"/>
              <w:jc w:val="right"/>
            </w:pPr>
            <w:r>
              <w:t xml:space="preserve">175</w:t>
            </w:r>
          </w:p>
        </w:tc>
        <w:tc>
          <w:tcPr/>
          <w:p>
            <w:pPr>
              <w:pStyle w:val="Compact"/>
              <w:jc w:val="right"/>
            </w:pPr>
            <w:r>
              <w:t xml:space="preserve">1.000</w:t>
            </w:r>
          </w:p>
        </w:tc>
      </w:tr>
      <w:tr>
        <w:tc>
          <w:tcPr/>
          <w:p>
            <w:pPr>
              <w:pStyle w:val="Compact"/>
              <w:jc w:val="left"/>
            </w:pPr>
            <w:r>
              <w:t xml:space="preserve">BcgI</w:t>
            </w:r>
          </w:p>
        </w:tc>
        <w:tc>
          <w:tcPr/>
          <w:p>
            <w:pPr>
              <w:pStyle w:val="Compact"/>
              <w:jc w:val="right"/>
            </w:pPr>
            <w:r>
              <w:t xml:space="preserve">632.300</w:t>
            </w:r>
          </w:p>
        </w:tc>
        <w:tc>
          <w:tcPr/>
          <w:p>
            <w:pPr>
              <w:pStyle w:val="Compact"/>
              <w:jc w:val="right"/>
            </w:pPr>
            <w:r>
              <w:t xml:space="preserve">632</w:t>
            </w:r>
          </w:p>
        </w:tc>
        <w:tc>
          <w:tcPr/>
          <w:p>
            <w:pPr>
              <w:pStyle w:val="Compact"/>
              <w:jc w:val="right"/>
            </w:pPr>
            <w:r>
              <w:t xml:space="preserve">420.800</w:t>
            </w:r>
          </w:p>
        </w:tc>
        <w:tc>
          <w:tcPr/>
          <w:p>
            <w:pPr>
              <w:pStyle w:val="Compact"/>
              <w:jc w:val="right"/>
            </w:pPr>
            <w:r>
              <w:t xml:space="preserve">421</w:t>
            </w:r>
          </w:p>
        </w:tc>
        <w:tc>
          <w:tcPr/>
          <w:p>
            <w:pPr>
              <w:pStyle w:val="Compact"/>
              <w:jc w:val="right"/>
            </w:pPr>
            <w:r>
              <w:t xml:space="preserve">1087.400</w:t>
            </w:r>
          </w:p>
        </w:tc>
        <w:tc>
          <w:tcPr/>
          <w:p>
            <w:pPr>
              <w:pStyle w:val="Compact"/>
              <w:jc w:val="right"/>
            </w:pPr>
            <w:r>
              <w:t xml:space="preserve">1085</w:t>
            </w:r>
          </w:p>
        </w:tc>
        <w:tc>
          <w:tcPr/>
          <w:p>
            <w:pPr>
              <w:pStyle w:val="Compact"/>
              <w:jc w:val="right"/>
            </w:pPr>
            <w:r>
              <w:t xml:space="preserve">1.000</w:t>
            </w:r>
          </w:p>
        </w:tc>
      </w:tr>
      <w:tr>
        <w:tc>
          <w:tcPr/>
          <w:p>
            <w:pPr>
              <w:pStyle w:val="Compact"/>
              <w:jc w:val="left"/>
            </w:pPr>
            <w:r>
              <w:t xml:space="preserve">BplI</w:t>
            </w:r>
          </w:p>
        </w:tc>
        <w:tc>
          <w:tcPr/>
          <w:p>
            <w:pPr>
              <w:pStyle w:val="Compact"/>
              <w:jc w:val="right"/>
            </w:pPr>
            <w:r>
              <w:t xml:space="preserve">83.200</w:t>
            </w:r>
          </w:p>
        </w:tc>
        <w:tc>
          <w:tcPr/>
          <w:p>
            <w:pPr>
              <w:pStyle w:val="Compact"/>
              <w:jc w:val="right"/>
            </w:pPr>
            <w:r>
              <w:t xml:space="preserve">83</w:t>
            </w:r>
          </w:p>
        </w:tc>
        <w:tc>
          <w:tcPr/>
          <w:p>
            <w:pPr>
              <w:pStyle w:val="Compact"/>
              <w:jc w:val="right"/>
            </w:pPr>
            <w:r>
              <w:t xml:space="preserve">115.300</w:t>
            </w:r>
          </w:p>
        </w:tc>
        <w:tc>
          <w:tcPr/>
          <w:p>
            <w:pPr>
              <w:pStyle w:val="Compact"/>
              <w:jc w:val="right"/>
            </w:pPr>
            <w:r>
              <w:t xml:space="preserve">115</w:t>
            </w:r>
          </w:p>
        </w:tc>
        <w:tc>
          <w:tcPr/>
          <w:p>
            <w:pPr>
              <w:pStyle w:val="Compact"/>
              <w:jc w:val="right"/>
            </w:pPr>
            <w:r>
              <w:t xml:space="preserve">118.600</w:t>
            </w:r>
          </w:p>
        </w:tc>
        <w:tc>
          <w:tcPr/>
          <w:p>
            <w:pPr>
              <w:pStyle w:val="Compact"/>
              <w:jc w:val="right"/>
            </w:pPr>
            <w:r>
              <w:t xml:space="preserve">119</w:t>
            </w:r>
          </w:p>
        </w:tc>
        <w:tc>
          <w:tcPr/>
          <w:p>
            <w:pPr>
              <w:pStyle w:val="Compact"/>
              <w:jc w:val="right"/>
            </w:pPr>
            <w:r>
              <w:t xml:space="preserve">1.000</w:t>
            </w:r>
          </w:p>
        </w:tc>
      </w:tr>
      <w:tr>
        <w:tc>
          <w:tcPr/>
          <w:p>
            <w:pPr>
              <w:pStyle w:val="Compact"/>
              <w:jc w:val="left"/>
            </w:pPr>
            <w:r>
              <w:t xml:space="preserve">BsaXI</w:t>
            </w:r>
          </w:p>
        </w:tc>
        <w:tc>
          <w:tcPr/>
          <w:p>
            <w:pPr>
              <w:pStyle w:val="Compact"/>
              <w:jc w:val="right"/>
            </w:pPr>
            <w:r>
              <w:t xml:space="preserve">212.000</w:t>
            </w:r>
          </w:p>
        </w:tc>
        <w:tc>
          <w:tcPr/>
          <w:p>
            <w:pPr>
              <w:pStyle w:val="Compact"/>
              <w:jc w:val="right"/>
            </w:pPr>
            <w:r>
              <w:t xml:space="preserve">212</w:t>
            </w:r>
          </w:p>
        </w:tc>
        <w:tc>
          <w:tcPr/>
          <w:p>
            <w:pPr>
              <w:pStyle w:val="Compact"/>
              <w:jc w:val="right"/>
            </w:pPr>
            <w:r>
              <w:t xml:space="preserve">337.100</w:t>
            </w:r>
          </w:p>
        </w:tc>
        <w:tc>
          <w:tcPr/>
          <w:p>
            <w:pPr>
              <w:pStyle w:val="Compact"/>
              <w:jc w:val="right"/>
            </w:pPr>
            <w:r>
              <w:t xml:space="preserve">336</w:t>
            </w:r>
          </w:p>
        </w:tc>
        <w:tc>
          <w:tcPr/>
          <w:p>
            <w:pPr>
              <w:pStyle w:val="Compact"/>
              <w:jc w:val="right"/>
            </w:pPr>
            <w:r>
              <w:t xml:space="preserve">272.600</w:t>
            </w:r>
          </w:p>
        </w:tc>
        <w:tc>
          <w:tcPr/>
          <w:p>
            <w:pPr>
              <w:pStyle w:val="Compact"/>
              <w:jc w:val="right"/>
            </w:pPr>
            <w:r>
              <w:t xml:space="preserve">272</w:t>
            </w:r>
          </w:p>
        </w:tc>
        <w:tc>
          <w:tcPr/>
          <w:p>
            <w:pPr>
              <w:pStyle w:val="Compact"/>
              <w:jc w:val="right"/>
            </w:pPr>
            <w:r>
              <w:t xml:space="preserve">1.000</w:t>
            </w:r>
          </w:p>
        </w:tc>
      </w:tr>
      <w:tr>
        <w:tc>
          <w:tcPr/>
          <w:p>
            <w:pPr>
              <w:pStyle w:val="Compact"/>
              <w:jc w:val="left"/>
            </w:pPr>
            <w:r>
              <w:t xml:space="preserve">BslFI</w:t>
            </w:r>
          </w:p>
        </w:tc>
        <w:tc>
          <w:tcPr/>
          <w:p>
            <w:pPr>
              <w:pStyle w:val="Compact"/>
              <w:jc w:val="right"/>
            </w:pPr>
            <w:r>
              <w:t xml:space="preserve">577.200</w:t>
            </w:r>
          </w:p>
        </w:tc>
        <w:tc>
          <w:tcPr/>
          <w:p>
            <w:pPr>
              <w:pStyle w:val="Compact"/>
              <w:jc w:val="right"/>
            </w:pPr>
            <w:r>
              <w:t xml:space="preserve">576</w:t>
            </w:r>
          </w:p>
        </w:tc>
        <w:tc>
          <w:tcPr/>
          <w:p>
            <w:pPr>
              <w:pStyle w:val="Compact"/>
              <w:jc w:val="right"/>
            </w:pPr>
            <w:r>
              <w:t xml:space="preserve">783.800</w:t>
            </w:r>
          </w:p>
        </w:tc>
        <w:tc>
          <w:tcPr/>
          <w:p>
            <w:pPr>
              <w:pStyle w:val="Compact"/>
              <w:jc w:val="right"/>
            </w:pPr>
            <w:r>
              <w:t xml:space="preserve">784</w:t>
            </w:r>
          </w:p>
        </w:tc>
        <w:tc>
          <w:tcPr/>
          <w:p>
            <w:pPr>
              <w:pStyle w:val="Compact"/>
              <w:jc w:val="right"/>
            </w:pPr>
            <w:r>
              <w:t xml:space="preserve">689.900</w:t>
            </w:r>
          </w:p>
        </w:tc>
        <w:tc>
          <w:tcPr/>
          <w:p>
            <w:pPr>
              <w:pStyle w:val="Compact"/>
              <w:jc w:val="right"/>
            </w:pPr>
            <w:r>
              <w:t xml:space="preserve">690</w:t>
            </w:r>
          </w:p>
        </w:tc>
        <w:tc>
          <w:tcPr/>
          <w:p>
            <w:pPr>
              <w:pStyle w:val="Compact"/>
              <w:jc w:val="right"/>
            </w:pPr>
            <w:r>
              <w:t xml:space="preserve">1.000</w:t>
            </w:r>
          </w:p>
        </w:tc>
      </w:tr>
      <w:tr>
        <w:tc>
          <w:tcPr/>
          <w:p>
            <w:pPr>
              <w:pStyle w:val="Compact"/>
              <w:jc w:val="left"/>
            </w:pPr>
            <w:r>
              <w:t xml:space="preserve">Bsp24I</w:t>
            </w:r>
          </w:p>
        </w:tc>
        <w:tc>
          <w:tcPr/>
          <w:p>
            <w:pPr>
              <w:pStyle w:val="Compact"/>
              <w:jc w:val="right"/>
            </w:pPr>
            <w:r>
              <w:t xml:space="preserve">352.500</w:t>
            </w:r>
          </w:p>
        </w:tc>
        <w:tc>
          <w:tcPr/>
          <w:p>
            <w:pPr>
              <w:pStyle w:val="Compact"/>
              <w:jc w:val="right"/>
            </w:pPr>
            <w:r>
              <w:t xml:space="preserve">351</w:t>
            </w:r>
          </w:p>
        </w:tc>
        <w:tc>
          <w:tcPr/>
          <w:p>
            <w:pPr>
              <w:pStyle w:val="Compact"/>
              <w:jc w:val="right"/>
            </w:pPr>
            <w:r>
              <w:t xml:space="preserve">211.400</w:t>
            </w:r>
          </w:p>
        </w:tc>
        <w:tc>
          <w:tcPr/>
          <w:p>
            <w:pPr>
              <w:pStyle w:val="Compact"/>
              <w:jc w:val="right"/>
            </w:pPr>
            <w:r>
              <w:t xml:space="preserve">211</w:t>
            </w:r>
          </w:p>
        </w:tc>
        <w:tc>
          <w:tcPr/>
          <w:p>
            <w:pPr>
              <w:pStyle w:val="Compact"/>
              <w:jc w:val="right"/>
            </w:pPr>
            <w:r>
              <w:t xml:space="preserve">470.700</w:t>
            </w:r>
          </w:p>
        </w:tc>
        <w:tc>
          <w:tcPr/>
          <w:p>
            <w:pPr>
              <w:pStyle w:val="Compact"/>
              <w:jc w:val="right"/>
            </w:pPr>
            <w:r>
              <w:t xml:space="preserve">469</w:t>
            </w:r>
          </w:p>
        </w:tc>
        <w:tc>
          <w:tcPr/>
          <w:p>
            <w:pPr>
              <w:pStyle w:val="Compact"/>
              <w:jc w:val="right"/>
            </w:pPr>
            <w:r>
              <w:t xml:space="preserve">1.000</w:t>
            </w:r>
          </w:p>
        </w:tc>
      </w:tr>
      <w:tr>
        <w:tc>
          <w:tcPr/>
          <w:p>
            <w:pPr>
              <w:pStyle w:val="Compact"/>
              <w:jc w:val="left"/>
            </w:pPr>
            <w:r>
              <w:t xml:space="preserve">CjeI</w:t>
            </w:r>
          </w:p>
        </w:tc>
        <w:tc>
          <w:tcPr/>
          <w:p>
            <w:pPr>
              <w:pStyle w:val="Compact"/>
              <w:jc w:val="right"/>
            </w:pPr>
            <w:r>
              <w:t xml:space="preserve">1962.200</w:t>
            </w:r>
          </w:p>
        </w:tc>
        <w:tc>
          <w:tcPr/>
          <w:p>
            <w:pPr>
              <w:pStyle w:val="Compact"/>
              <w:jc w:val="right"/>
            </w:pPr>
            <w:r>
              <w:t xml:space="preserve">1910</w:t>
            </w:r>
          </w:p>
        </w:tc>
        <w:tc>
          <w:tcPr/>
          <w:p>
            <w:pPr>
              <w:pStyle w:val="Compact"/>
              <w:jc w:val="right"/>
            </w:pPr>
            <w:r>
              <w:t xml:space="preserve">996.300</w:t>
            </w:r>
          </w:p>
        </w:tc>
        <w:tc>
          <w:tcPr/>
          <w:p>
            <w:pPr>
              <w:pStyle w:val="Compact"/>
              <w:jc w:val="right"/>
            </w:pPr>
            <w:r>
              <w:t xml:space="preserve">983</w:t>
            </w:r>
          </w:p>
        </w:tc>
        <w:tc>
          <w:tcPr/>
          <w:p>
            <w:pPr>
              <w:pStyle w:val="Compact"/>
              <w:jc w:val="right"/>
            </w:pPr>
            <w:r>
              <w:t xml:space="preserve">2064.900</w:t>
            </w:r>
          </w:p>
        </w:tc>
        <w:tc>
          <w:tcPr/>
          <w:p>
            <w:pPr>
              <w:pStyle w:val="Compact"/>
              <w:jc w:val="right"/>
            </w:pPr>
            <w:r>
              <w:t xml:space="preserve">2012</w:t>
            </w:r>
          </w:p>
        </w:tc>
        <w:tc>
          <w:tcPr/>
          <w:p>
            <w:pPr>
              <w:pStyle w:val="Compact"/>
              <w:jc w:val="right"/>
            </w:pPr>
            <w:r>
              <w:t xml:space="preserve">1.000</w:t>
            </w:r>
          </w:p>
        </w:tc>
      </w:tr>
      <w:tr>
        <w:tc>
          <w:tcPr/>
          <w:p>
            <w:pPr>
              <w:pStyle w:val="Compact"/>
              <w:jc w:val="left"/>
            </w:pPr>
            <w:r>
              <w:t xml:space="preserve">CjePI</w:t>
            </w:r>
          </w:p>
        </w:tc>
        <w:tc>
          <w:tcPr/>
          <w:p>
            <w:pPr>
              <w:pStyle w:val="Compact"/>
              <w:jc w:val="right"/>
            </w:pPr>
            <w:r>
              <w:t xml:space="preserve">1712.100</w:t>
            </w:r>
          </w:p>
        </w:tc>
        <w:tc>
          <w:tcPr/>
          <w:p>
            <w:pPr>
              <w:pStyle w:val="Compact"/>
              <w:jc w:val="right"/>
            </w:pPr>
            <w:r>
              <w:t xml:space="preserve">1701</w:t>
            </w:r>
          </w:p>
        </w:tc>
        <w:tc>
          <w:tcPr/>
          <w:p>
            <w:pPr>
              <w:pStyle w:val="Compact"/>
              <w:jc w:val="right"/>
            </w:pPr>
            <w:r>
              <w:t xml:space="preserve">1469.500</w:t>
            </w:r>
          </w:p>
        </w:tc>
        <w:tc>
          <w:tcPr/>
          <w:p>
            <w:pPr>
              <w:pStyle w:val="Compact"/>
              <w:jc w:val="right"/>
            </w:pPr>
            <w:r>
              <w:t xml:space="preserve">1464</w:t>
            </w:r>
          </w:p>
        </w:tc>
        <w:tc>
          <w:tcPr/>
          <w:p>
            <w:pPr>
              <w:pStyle w:val="Compact"/>
              <w:jc w:val="right"/>
            </w:pPr>
            <w:r>
              <w:t xml:space="preserve">1665.200</w:t>
            </w:r>
          </w:p>
        </w:tc>
        <w:tc>
          <w:tcPr/>
          <w:p>
            <w:pPr>
              <w:pStyle w:val="Compact"/>
              <w:jc w:val="right"/>
            </w:pPr>
            <w:r>
              <w:t xml:space="preserve">1657</w:t>
            </w:r>
          </w:p>
        </w:tc>
        <w:tc>
          <w:tcPr/>
          <w:p>
            <w:pPr>
              <w:pStyle w:val="Compact"/>
              <w:jc w:val="right"/>
            </w:pPr>
            <w:r>
              <w:t xml:space="preserve">1.000</w:t>
            </w:r>
          </w:p>
        </w:tc>
      </w:tr>
      <w:tr>
        <w:tc>
          <w:tcPr/>
          <w:p>
            <w:pPr>
              <w:pStyle w:val="Compact"/>
              <w:jc w:val="left"/>
            </w:pPr>
            <w:r>
              <w:t xml:space="preserve">CspCI</w:t>
            </w:r>
          </w:p>
        </w:tc>
        <w:tc>
          <w:tcPr/>
          <w:p>
            <w:pPr>
              <w:pStyle w:val="Compact"/>
              <w:jc w:val="right"/>
            </w:pPr>
            <w:r>
              <w:t xml:space="preserve">132.100</w:t>
            </w:r>
          </w:p>
        </w:tc>
        <w:tc>
          <w:tcPr/>
          <w:p>
            <w:pPr>
              <w:pStyle w:val="Compact"/>
              <w:jc w:val="right"/>
            </w:pPr>
            <w:r>
              <w:t xml:space="preserve">132</w:t>
            </w:r>
          </w:p>
        </w:tc>
        <w:tc>
          <w:tcPr/>
          <w:p>
            <w:pPr>
              <w:pStyle w:val="Compact"/>
              <w:jc w:val="right"/>
            </w:pPr>
            <w:r>
              <w:t xml:space="preserve">65.500</w:t>
            </w:r>
          </w:p>
        </w:tc>
        <w:tc>
          <w:tcPr/>
          <w:p>
            <w:pPr>
              <w:pStyle w:val="Compact"/>
              <w:jc w:val="right"/>
            </w:pPr>
            <w:r>
              <w:t xml:space="preserve">65</w:t>
            </w:r>
          </w:p>
        </w:tc>
        <w:tc>
          <w:tcPr/>
          <w:p>
            <w:pPr>
              <w:pStyle w:val="Compact"/>
              <w:jc w:val="right"/>
            </w:pPr>
            <w:r>
              <w:t xml:space="preserve">142.000</w:t>
            </w:r>
          </w:p>
        </w:tc>
        <w:tc>
          <w:tcPr/>
          <w:p>
            <w:pPr>
              <w:pStyle w:val="Compact"/>
              <w:jc w:val="right"/>
            </w:pPr>
            <w:r>
              <w:t xml:space="preserve">142</w:t>
            </w:r>
          </w:p>
        </w:tc>
        <w:tc>
          <w:tcPr/>
          <w:p>
            <w:pPr>
              <w:pStyle w:val="Compact"/>
              <w:jc w:val="right"/>
            </w:pPr>
            <w:r>
              <w:t xml:space="preserve">1.000</w:t>
            </w:r>
          </w:p>
        </w:tc>
      </w:tr>
      <w:tr>
        <w:tc>
          <w:tcPr/>
          <w:p>
            <w:pPr>
              <w:pStyle w:val="Compact"/>
              <w:jc w:val="left"/>
            </w:pPr>
            <w:r>
              <w:t xml:space="preserve">FalI</w:t>
            </w:r>
          </w:p>
        </w:tc>
        <w:tc>
          <w:tcPr/>
          <w:p>
            <w:pPr>
              <w:pStyle w:val="Compact"/>
              <w:jc w:val="right"/>
            </w:pPr>
            <w:r>
              <w:t xml:space="preserve">158.300</w:t>
            </w:r>
          </w:p>
        </w:tc>
        <w:tc>
          <w:tcPr/>
          <w:p>
            <w:pPr>
              <w:pStyle w:val="Compact"/>
              <w:jc w:val="right"/>
            </w:pPr>
            <w:r>
              <w:t xml:space="preserve">158</w:t>
            </w:r>
          </w:p>
        </w:tc>
        <w:tc>
          <w:tcPr/>
          <w:p>
            <w:pPr>
              <w:pStyle w:val="Compact"/>
              <w:jc w:val="right"/>
            </w:pPr>
            <w:r>
              <w:t xml:space="preserve">457.800</w:t>
            </w:r>
          </w:p>
        </w:tc>
        <w:tc>
          <w:tcPr/>
          <w:p>
            <w:pPr>
              <w:pStyle w:val="Compact"/>
              <w:jc w:val="right"/>
            </w:pPr>
            <w:r>
              <w:t xml:space="preserve">457</w:t>
            </w:r>
          </w:p>
        </w:tc>
        <w:tc>
          <w:tcPr/>
          <w:p>
            <w:pPr>
              <w:pStyle w:val="Compact"/>
              <w:jc w:val="right"/>
            </w:pPr>
            <w:r>
              <w:t xml:space="preserve">208.800</w:t>
            </w:r>
          </w:p>
        </w:tc>
        <w:tc>
          <w:tcPr/>
          <w:p>
            <w:pPr>
              <w:pStyle w:val="Compact"/>
              <w:jc w:val="right"/>
            </w:pPr>
            <w:r>
              <w:t xml:space="preserve">209</w:t>
            </w:r>
          </w:p>
        </w:tc>
        <w:tc>
          <w:tcPr/>
          <w:p>
            <w:pPr>
              <w:pStyle w:val="Compact"/>
              <w:jc w:val="right"/>
            </w:pPr>
            <w:r>
              <w:t xml:space="preserve">1.000</w:t>
            </w:r>
          </w:p>
        </w:tc>
      </w:tr>
      <w:tr>
        <w:tc>
          <w:tcPr/>
          <w:p>
            <w:pPr>
              <w:pStyle w:val="Compact"/>
              <w:jc w:val="left"/>
            </w:pPr>
            <w:r>
              <w:t xml:space="preserve">HaeIV</w:t>
            </w:r>
          </w:p>
        </w:tc>
        <w:tc>
          <w:tcPr/>
          <w:p>
            <w:pPr>
              <w:pStyle w:val="Compact"/>
              <w:jc w:val="right"/>
            </w:pPr>
            <w:r>
              <w:t xml:space="preserve">1491.700</w:t>
            </w:r>
          </w:p>
        </w:tc>
        <w:tc>
          <w:tcPr/>
          <w:p>
            <w:pPr>
              <w:pStyle w:val="Compact"/>
              <w:jc w:val="right"/>
            </w:pPr>
            <w:r>
              <w:t xml:space="preserve">745</w:t>
            </w:r>
          </w:p>
        </w:tc>
        <w:tc>
          <w:tcPr/>
          <w:p>
            <w:pPr>
              <w:pStyle w:val="Compact"/>
              <w:jc w:val="right"/>
            </w:pPr>
            <w:r>
              <w:t xml:space="preserve">1514.800</w:t>
            </w:r>
          </w:p>
        </w:tc>
        <w:tc>
          <w:tcPr/>
          <w:p>
            <w:pPr>
              <w:pStyle w:val="Compact"/>
              <w:jc w:val="right"/>
            </w:pPr>
            <w:r>
              <w:t xml:space="preserve">755</w:t>
            </w:r>
          </w:p>
        </w:tc>
        <w:tc>
          <w:tcPr/>
          <w:p>
            <w:pPr>
              <w:pStyle w:val="Compact"/>
              <w:jc w:val="right"/>
            </w:pPr>
            <w:r>
              <w:t xml:space="preserve">841.200</w:t>
            </w:r>
          </w:p>
        </w:tc>
        <w:tc>
          <w:tcPr/>
          <w:p>
            <w:pPr>
              <w:pStyle w:val="Compact"/>
              <w:jc w:val="right"/>
            </w:pPr>
            <w:r>
              <w:t xml:space="preserve">420</w:t>
            </w:r>
          </w:p>
        </w:tc>
        <w:tc>
          <w:tcPr/>
          <w:p>
            <w:pPr>
              <w:pStyle w:val="Compact"/>
              <w:jc w:val="right"/>
            </w:pPr>
            <w:r>
              <w:t xml:space="preserve">2.000</w:t>
            </w:r>
          </w:p>
        </w:tc>
      </w:tr>
      <w:tr>
        <w:tc>
          <w:tcPr/>
          <w:p>
            <w:pPr>
              <w:pStyle w:val="Compact"/>
              <w:jc w:val="left"/>
            </w:pPr>
            <w:r>
              <w:t xml:space="preserve">Hin4I</w:t>
            </w:r>
          </w:p>
        </w:tc>
        <w:tc>
          <w:tcPr/>
          <w:p>
            <w:pPr>
              <w:pStyle w:val="Compact"/>
              <w:jc w:val="right"/>
            </w:pPr>
            <w:r>
              <w:t xml:space="preserve">1222.600</w:t>
            </w:r>
          </w:p>
        </w:tc>
        <w:tc>
          <w:tcPr/>
          <w:p>
            <w:pPr>
              <w:pStyle w:val="Compact"/>
              <w:jc w:val="right"/>
            </w:pPr>
            <w:r>
              <w:t xml:space="preserve">1650</w:t>
            </w:r>
          </w:p>
        </w:tc>
        <w:tc>
          <w:tcPr/>
          <w:p>
            <w:pPr>
              <w:pStyle w:val="Compact"/>
              <w:jc w:val="right"/>
            </w:pPr>
            <w:r>
              <w:t xml:space="preserve">1379.900</w:t>
            </w:r>
          </w:p>
        </w:tc>
        <w:tc>
          <w:tcPr/>
          <w:p>
            <w:pPr>
              <w:pStyle w:val="Compact"/>
              <w:jc w:val="right"/>
            </w:pPr>
            <w:r>
              <w:t xml:space="preserve">2010</w:t>
            </w:r>
          </w:p>
        </w:tc>
        <w:tc>
          <w:tcPr/>
          <w:p>
            <w:pPr>
              <w:pStyle w:val="Compact"/>
              <w:jc w:val="right"/>
            </w:pPr>
            <w:r>
              <w:t xml:space="preserve">838.700</w:t>
            </w:r>
          </w:p>
        </w:tc>
        <w:tc>
          <w:tcPr/>
          <w:p>
            <w:pPr>
              <w:pStyle w:val="Compact"/>
              <w:jc w:val="right"/>
            </w:pPr>
            <w:r>
              <w:t xml:space="preserve">1057</w:t>
            </w:r>
          </w:p>
        </w:tc>
        <w:tc>
          <w:tcPr/>
          <w:p>
            <w:pPr>
              <w:pStyle w:val="Compact"/>
              <w:jc w:val="right"/>
            </w:pPr>
            <w:r>
              <w:t xml:space="preserve">0.800</w:t>
            </w:r>
          </w:p>
        </w:tc>
      </w:tr>
      <w:tr>
        <w:tc>
          <w:tcPr/>
          <w:p>
            <w:pPr>
              <w:pStyle w:val="Compact"/>
              <w:jc w:val="left"/>
            </w:pPr>
            <w:r>
              <w:t xml:space="preserve">PpiI</w:t>
            </w:r>
          </w:p>
        </w:tc>
        <w:tc>
          <w:tcPr/>
          <w:p>
            <w:pPr>
              <w:pStyle w:val="Compact"/>
              <w:jc w:val="right"/>
            </w:pPr>
            <w:r>
              <w:t xml:space="preserve">73.500</w:t>
            </w:r>
          </w:p>
        </w:tc>
        <w:tc>
          <w:tcPr/>
          <w:p>
            <w:pPr>
              <w:pStyle w:val="Compact"/>
              <w:jc w:val="right"/>
            </w:pPr>
            <w:r>
              <w:t xml:space="preserve">73</w:t>
            </w:r>
          </w:p>
        </w:tc>
        <w:tc>
          <w:tcPr/>
          <w:p>
            <w:pPr>
              <w:pStyle w:val="Compact"/>
              <w:jc w:val="right"/>
            </w:pPr>
            <w:r>
              <w:t xml:space="preserve">73.800</w:t>
            </w:r>
          </w:p>
        </w:tc>
        <w:tc>
          <w:tcPr/>
          <w:p>
            <w:pPr>
              <w:pStyle w:val="Compact"/>
              <w:jc w:val="right"/>
            </w:pPr>
            <w:r>
              <w:t xml:space="preserve">74</w:t>
            </w:r>
          </w:p>
        </w:tc>
        <w:tc>
          <w:tcPr/>
          <w:p>
            <w:pPr>
              <w:pStyle w:val="Compact"/>
              <w:jc w:val="right"/>
            </w:pPr>
            <w:r>
              <w:t xml:space="preserve">137.500</w:t>
            </w:r>
          </w:p>
        </w:tc>
        <w:tc>
          <w:tcPr/>
          <w:p>
            <w:pPr>
              <w:pStyle w:val="Compact"/>
              <w:jc w:val="right"/>
            </w:pPr>
            <w:r>
              <w:t xml:space="preserve">137</w:t>
            </w:r>
          </w:p>
        </w:tc>
        <w:tc>
          <w:tcPr/>
          <w:p>
            <w:pPr>
              <w:pStyle w:val="Compact"/>
              <w:jc w:val="right"/>
            </w:pPr>
            <w:r>
              <w:t xml:space="preserve">1.000</w:t>
            </w:r>
          </w:p>
        </w:tc>
      </w:tr>
      <w:tr>
        <w:tc>
          <w:tcPr/>
          <w:p>
            <w:pPr>
              <w:pStyle w:val="Compact"/>
              <w:jc w:val="left"/>
            </w:pPr>
            <w:r>
              <w:t xml:space="preserve">PsrI</w:t>
            </w:r>
          </w:p>
        </w:tc>
        <w:tc>
          <w:tcPr/>
          <w:p>
            <w:pPr>
              <w:pStyle w:val="Compact"/>
              <w:jc w:val="right"/>
            </w:pPr>
            <w:r>
              <w:t xml:space="preserve">92.400</w:t>
            </w:r>
          </w:p>
        </w:tc>
        <w:tc>
          <w:tcPr/>
          <w:p>
            <w:pPr>
              <w:pStyle w:val="Compact"/>
              <w:jc w:val="right"/>
            </w:pPr>
            <w:r>
              <w:t xml:space="preserve">92</w:t>
            </w:r>
          </w:p>
        </w:tc>
        <w:tc>
          <w:tcPr/>
          <w:p>
            <w:pPr>
              <w:pStyle w:val="Compact"/>
              <w:jc w:val="right"/>
            </w:pPr>
            <w:r>
              <w:t xml:space="preserve">83.700</w:t>
            </w:r>
          </w:p>
        </w:tc>
        <w:tc>
          <w:tcPr/>
          <w:p>
            <w:pPr>
              <w:pStyle w:val="Compact"/>
              <w:jc w:val="right"/>
            </w:pPr>
            <w:r>
              <w:t xml:space="preserve">84</w:t>
            </w:r>
          </w:p>
        </w:tc>
        <w:tc>
          <w:tcPr/>
          <w:p>
            <w:pPr>
              <w:pStyle w:val="Compact"/>
              <w:jc w:val="right"/>
            </w:pPr>
            <w:r>
              <w:t xml:space="preserve">92.700</w:t>
            </w:r>
          </w:p>
        </w:tc>
        <w:tc>
          <w:tcPr/>
          <w:p>
            <w:pPr>
              <w:pStyle w:val="Compact"/>
              <w:jc w:val="right"/>
            </w:pPr>
            <w:r>
              <w:t xml:space="preserve">93</w:t>
            </w:r>
          </w:p>
        </w:tc>
        <w:tc>
          <w:tcPr/>
          <w:p>
            <w:pPr>
              <w:pStyle w:val="Compact"/>
              <w:jc w:val="right"/>
            </w:pPr>
            <w:r>
              <w:t xml:space="preserve">1.000</w:t>
            </w:r>
          </w:p>
        </w:tc>
      </w:tr>
    </w:tbl>
    <w:p>
      <w:pPr>
        <w:pStyle w:val="BodyText"/>
      </w:pPr>
      <w:r>
        <w:rPr>
          <w:b/>
          <w:bCs/>
        </w:rPr>
        <w:t xml:space="preserve">GC sweep: panel density across 18 genomes (GC 25.4–72.0%)</w:t>
      </w:r>
    </w:p>
    <w:tbl>
      <w:tblPr>
        <w:tblStyle w:val="Table"/>
        <w:tblW w:type="pct" w:w="5000"/>
        <w:tblLayout w:type="fixed"/>
        <w:tblLook w:firstRow="1" w:lastRow="0" w:firstColumn="0" w:lastColumn="0" w:noHBand="0" w:noVBand="0" w:val="0020"/>
      </w:tblPr>
      <w:tblGrid>
        <w:gridCol w:w="768"/>
        <w:gridCol w:w="999"/>
        <w:gridCol w:w="922"/>
        <w:gridCol w:w="922"/>
        <w:gridCol w:w="922"/>
        <w:gridCol w:w="999"/>
        <w:gridCol w:w="768"/>
        <w:gridCol w:w="768"/>
        <w:gridCol w:w="845"/>
      </w:tblGrid>
      <w:tr>
        <w:trPr>
          <w:tblHeader w:val="on"/>
        </w:trPr>
        <w:tc>
          <w:tcPr/>
          <w:p>
            <w:pPr>
              <w:pStyle w:val="Compact"/>
              <w:jc w:val="right"/>
            </w:pPr>
            <w:r>
              <w:t xml:space="preserve">gc_pct</w:t>
            </w:r>
          </w:p>
        </w:tc>
        <w:tc>
          <w:tcPr/>
          <w:p>
            <w:pPr>
              <w:pStyle w:val="Compact"/>
              <w:jc w:val="right"/>
            </w:pPr>
            <w:r>
              <w:t xml:space="preserve">n_genomes</w:t>
            </w:r>
          </w:p>
        </w:tc>
        <w:tc>
          <w:tcPr/>
          <w:p>
            <w:pPr>
              <w:pStyle w:val="Compact"/>
              <w:jc w:val="right"/>
            </w:pPr>
            <w:r>
              <w:t xml:space="preserve">panel_k2</w:t>
            </w:r>
          </w:p>
        </w:tc>
        <w:tc>
          <w:tcPr/>
          <w:p>
            <w:pPr>
              <w:pStyle w:val="Compact"/>
              <w:jc w:val="right"/>
            </w:pPr>
            <w:r>
              <w:t xml:space="preserve">panel_k4</w:t>
            </w:r>
          </w:p>
        </w:tc>
        <w:tc>
          <w:tcPr/>
          <w:p>
            <w:pPr>
              <w:pStyle w:val="Compact"/>
              <w:jc w:val="right"/>
            </w:pPr>
            <w:r>
              <w:t xml:space="preserve">panel_k8</w:t>
            </w:r>
          </w:p>
        </w:tc>
        <w:tc>
          <w:tcPr/>
          <w:p>
            <w:pPr>
              <w:pStyle w:val="Compact"/>
              <w:jc w:val="right"/>
            </w:pPr>
            <w:r>
              <w:t xml:space="preserve">panel_k16</w:t>
            </w:r>
          </w:p>
        </w:tc>
        <w:tc>
          <w:tcPr/>
          <w:p>
            <w:pPr>
              <w:pStyle w:val="Compact"/>
              <w:jc w:val="right"/>
            </w:pPr>
            <w:r>
              <w:t xml:space="preserve">k8_k16</w:t>
            </w:r>
          </w:p>
        </w:tc>
        <w:tc>
          <w:tcPr/>
          <w:p>
            <w:pPr>
              <w:pStyle w:val="Compact"/>
              <w:jc w:val="right"/>
            </w:pPr>
            <w:r>
              <w:t xml:space="preserve">fmh_k8</w:t>
            </w:r>
          </w:p>
        </w:tc>
        <w:tc>
          <w:tcPr/>
          <w:p>
            <w:pPr>
              <w:pStyle w:val="Compact"/>
              <w:jc w:val="right"/>
            </w:pPr>
            <w:r>
              <w:t xml:space="preserve">fmh_k16</w:t>
            </w:r>
          </w:p>
        </w:tc>
      </w:tr>
      <w:tr>
        <w:tc>
          <w:tcPr/>
          <w:p>
            <w:pPr>
              <w:pStyle w:val="Compact"/>
              <w:jc w:val="right"/>
            </w:pPr>
            <w:r>
              <w:t xml:space="preserve">25.400</w:t>
            </w:r>
          </w:p>
        </w:tc>
        <w:tc>
          <w:tcPr/>
          <w:p>
            <w:pPr>
              <w:pStyle w:val="Compact"/>
              <w:jc w:val="right"/>
            </w:pPr>
            <w:r>
              <w:t xml:space="preserve">1</w:t>
            </w:r>
          </w:p>
        </w:tc>
        <w:tc>
          <w:tcPr/>
          <w:p>
            <w:pPr>
              <w:pStyle w:val="Compact"/>
              <w:jc w:val="right"/>
            </w:pPr>
            <w:r>
              <w:t xml:space="preserve">1610.000</w:t>
            </w:r>
          </w:p>
        </w:tc>
        <w:tc>
          <w:tcPr/>
          <w:p>
            <w:pPr>
              <w:pStyle w:val="Compact"/>
              <w:jc w:val="right"/>
            </w:pPr>
            <w:r>
              <w:t xml:space="preserve">2390.000</w:t>
            </w:r>
          </w:p>
        </w:tc>
        <w:tc>
          <w:tcPr/>
          <w:p>
            <w:pPr>
              <w:pStyle w:val="Compact"/>
              <w:jc w:val="right"/>
            </w:pPr>
            <w:r>
              <w:t xml:space="preserve">3790.000</w:t>
            </w:r>
          </w:p>
        </w:tc>
        <w:tc>
          <w:tcPr/>
          <w:p>
            <w:pPr>
              <w:pStyle w:val="Compact"/>
              <w:jc w:val="right"/>
            </w:pPr>
            <w:r>
              <w:t xml:space="preserve">4463.000</w:t>
            </w:r>
          </w:p>
        </w:tc>
        <w:tc>
          <w:tcPr/>
          <w:p>
            <w:pPr>
              <w:pStyle w:val="Compact"/>
              <w:jc w:val="right"/>
            </w:pPr>
            <w:r>
              <w:t xml:space="preserve">0.849</w:t>
            </w:r>
          </w:p>
        </w:tc>
        <w:tc>
          <w:tcPr/>
          <w:p>
            <w:pPr>
              <w:pStyle w:val="Compact"/>
              <w:jc w:val="right"/>
            </w:pPr>
            <w:r>
              <w:t xml:space="preserve">3776.000</w:t>
            </w:r>
          </w:p>
        </w:tc>
        <w:tc>
          <w:tcPr/>
          <w:p>
            <w:pPr>
              <w:pStyle w:val="Compact"/>
              <w:jc w:val="right"/>
            </w:pPr>
            <w:r>
              <w:t xml:space="preserve">4468.000</w:t>
            </w:r>
          </w:p>
        </w:tc>
      </w:tr>
      <w:tr>
        <w:tc>
          <w:tcPr/>
          <w:p>
            <w:pPr>
              <w:pStyle w:val="Compact"/>
              <w:jc w:val="right"/>
            </w:pPr>
            <w:r>
              <w:t xml:space="preserve">26.100</w:t>
            </w:r>
          </w:p>
        </w:tc>
        <w:tc>
          <w:tcPr/>
          <w:p>
            <w:pPr>
              <w:pStyle w:val="Compact"/>
              <w:jc w:val="right"/>
            </w:pPr>
            <w:r>
              <w:t xml:space="preserve">1</w:t>
            </w:r>
          </w:p>
        </w:tc>
        <w:tc>
          <w:tcPr/>
          <w:p>
            <w:pPr>
              <w:pStyle w:val="Compact"/>
              <w:jc w:val="right"/>
            </w:pPr>
            <w:r>
              <w:t xml:space="preserve">1633.000</w:t>
            </w:r>
          </w:p>
        </w:tc>
        <w:tc>
          <w:tcPr/>
          <w:p>
            <w:pPr>
              <w:pStyle w:val="Compact"/>
              <w:jc w:val="right"/>
            </w:pPr>
            <w:r>
              <w:t xml:space="preserve">2500.000</w:t>
            </w:r>
          </w:p>
        </w:tc>
        <w:tc>
          <w:tcPr/>
          <w:p>
            <w:pPr>
              <w:pStyle w:val="Compact"/>
              <w:jc w:val="right"/>
            </w:pPr>
            <w:r>
              <w:t xml:space="preserve">3995.000</w:t>
            </w:r>
          </w:p>
        </w:tc>
        <w:tc>
          <w:tcPr/>
          <w:p>
            <w:pPr>
              <w:pStyle w:val="Compact"/>
              <w:jc w:val="right"/>
            </w:pPr>
            <w:r>
              <w:t xml:space="preserve">4787.000</w:t>
            </w:r>
          </w:p>
        </w:tc>
        <w:tc>
          <w:tcPr/>
          <w:p>
            <w:pPr>
              <w:pStyle w:val="Compact"/>
              <w:jc w:val="right"/>
            </w:pPr>
            <w:r>
              <w:t xml:space="preserve">0.835</w:t>
            </w:r>
          </w:p>
        </w:tc>
        <w:tc>
          <w:tcPr/>
          <w:p>
            <w:pPr>
              <w:pStyle w:val="Compact"/>
              <w:jc w:val="right"/>
            </w:pPr>
            <w:r>
              <w:t xml:space="preserve">3937.000</w:t>
            </w:r>
          </w:p>
        </w:tc>
        <w:tc>
          <w:tcPr/>
          <w:p>
            <w:pPr>
              <w:pStyle w:val="Compact"/>
              <w:jc w:val="right"/>
            </w:pPr>
            <w:r>
              <w:t xml:space="preserve">4762.000</w:t>
            </w:r>
          </w:p>
        </w:tc>
      </w:tr>
      <w:tr>
        <w:tc>
          <w:tcPr/>
          <w:p>
            <w:pPr>
              <w:pStyle w:val="Compact"/>
              <w:jc w:val="right"/>
            </w:pPr>
            <w:r>
              <w:t xml:space="preserve">30.600</w:t>
            </w:r>
          </w:p>
        </w:tc>
        <w:tc>
          <w:tcPr/>
          <w:p>
            <w:pPr>
              <w:pStyle w:val="Compact"/>
              <w:jc w:val="right"/>
            </w:pPr>
            <w:r>
              <w:t xml:space="preserve">1</w:t>
            </w:r>
          </w:p>
        </w:tc>
        <w:tc>
          <w:tcPr/>
          <w:p>
            <w:pPr>
              <w:pStyle w:val="Compact"/>
              <w:jc w:val="right"/>
            </w:pPr>
            <w:r>
              <w:t xml:space="preserve">1653.000</w:t>
            </w:r>
          </w:p>
        </w:tc>
        <w:tc>
          <w:tcPr/>
          <w:p>
            <w:pPr>
              <w:pStyle w:val="Compact"/>
              <w:jc w:val="right"/>
            </w:pPr>
            <w:r>
              <w:t xml:space="preserve">2427.000</w:t>
            </w:r>
          </w:p>
        </w:tc>
        <w:tc>
          <w:tcPr/>
          <w:p>
            <w:pPr>
              <w:pStyle w:val="Compact"/>
              <w:jc w:val="right"/>
            </w:pPr>
            <w:r>
              <w:t xml:space="preserve">3465.000</w:t>
            </w:r>
          </w:p>
        </w:tc>
        <w:tc>
          <w:tcPr/>
          <w:p>
            <w:pPr>
              <w:pStyle w:val="Compact"/>
              <w:jc w:val="right"/>
            </w:pPr>
            <w:r>
              <w:t xml:space="preserve">4795.000</w:t>
            </w:r>
          </w:p>
        </w:tc>
        <w:tc>
          <w:tcPr/>
          <w:p>
            <w:pPr>
              <w:pStyle w:val="Compact"/>
              <w:jc w:val="right"/>
            </w:pPr>
            <w:r>
              <w:t xml:space="preserve">0.723</w:t>
            </w:r>
          </w:p>
        </w:tc>
        <w:tc>
          <w:tcPr/>
          <w:p>
            <w:pPr>
              <w:pStyle w:val="Compact"/>
              <w:jc w:val="right"/>
            </w:pPr>
            <w:r>
              <w:t xml:space="preserve">3470.000</w:t>
            </w:r>
          </w:p>
        </w:tc>
        <w:tc>
          <w:tcPr/>
          <w:p>
            <w:pPr>
              <w:pStyle w:val="Compact"/>
              <w:jc w:val="right"/>
            </w:pPr>
            <w:r>
              <w:t xml:space="preserve">4834.000</w:t>
            </w:r>
          </w:p>
        </w:tc>
      </w:tr>
      <w:tr>
        <w:tc>
          <w:tcPr/>
          <w:p>
            <w:pPr>
              <w:pStyle w:val="Compact"/>
              <w:jc w:val="right"/>
            </w:pPr>
            <w:r>
              <w:t xml:space="preserve">33.000</w:t>
            </w:r>
          </w:p>
        </w:tc>
        <w:tc>
          <w:tcPr/>
          <w:p>
            <w:pPr>
              <w:pStyle w:val="Compact"/>
              <w:jc w:val="right"/>
            </w:pPr>
            <w:r>
              <w:t xml:space="preserve">2</w:t>
            </w:r>
          </w:p>
        </w:tc>
        <w:tc>
          <w:tcPr/>
          <w:p>
            <w:pPr>
              <w:pStyle w:val="Compact"/>
              <w:jc w:val="right"/>
            </w:pPr>
            <w:r>
              <w:t xml:space="preserve">2289.000</w:t>
            </w:r>
          </w:p>
        </w:tc>
        <w:tc>
          <w:tcPr/>
          <w:p>
            <w:pPr>
              <w:pStyle w:val="Compact"/>
              <w:jc w:val="right"/>
            </w:pPr>
            <w:r>
              <w:t xml:space="preserve">3325.000</w:t>
            </w:r>
          </w:p>
        </w:tc>
        <w:tc>
          <w:tcPr/>
          <w:p>
            <w:pPr>
              <w:pStyle w:val="Compact"/>
              <w:jc w:val="right"/>
            </w:pPr>
            <w:r>
              <w:t xml:space="preserve">5017.000</w:t>
            </w:r>
          </w:p>
        </w:tc>
        <w:tc>
          <w:tcPr/>
          <w:p>
            <w:pPr>
              <w:pStyle w:val="Compact"/>
              <w:jc w:val="right"/>
            </w:pPr>
            <w:r>
              <w:t xml:space="preserve">6115.500</w:t>
            </w:r>
          </w:p>
        </w:tc>
        <w:tc>
          <w:tcPr/>
          <w:p>
            <w:pPr>
              <w:pStyle w:val="Compact"/>
              <w:jc w:val="right"/>
            </w:pPr>
            <w:r>
              <w:t xml:space="preserve">0.820</w:t>
            </w:r>
          </w:p>
        </w:tc>
        <w:tc>
          <w:tcPr/>
          <w:p>
            <w:pPr>
              <w:pStyle w:val="Compact"/>
              <w:jc w:val="right"/>
            </w:pPr>
            <w:r>
              <w:t xml:space="preserve">4895.500</w:t>
            </w:r>
          </w:p>
        </w:tc>
        <w:tc>
          <w:tcPr/>
          <w:p>
            <w:pPr>
              <w:pStyle w:val="Compact"/>
              <w:jc w:val="right"/>
            </w:pPr>
            <w:r>
              <w:t xml:space="preserve">5954.500</w:t>
            </w:r>
          </w:p>
        </w:tc>
      </w:tr>
      <w:tr>
        <w:tc>
          <w:tcPr/>
          <w:p>
            <w:pPr>
              <w:pStyle w:val="Compact"/>
              <w:jc w:val="right"/>
            </w:pPr>
            <w:r>
              <w:t xml:space="preserve">33.500</w:t>
            </w:r>
          </w:p>
        </w:tc>
        <w:tc>
          <w:tcPr/>
          <w:p>
            <w:pPr>
              <w:pStyle w:val="Compact"/>
              <w:jc w:val="right"/>
            </w:pPr>
            <w:r>
              <w:t xml:space="preserve">1</w:t>
            </w:r>
          </w:p>
        </w:tc>
        <w:tc>
          <w:tcPr/>
          <w:p>
            <w:pPr>
              <w:pStyle w:val="Compact"/>
              <w:jc w:val="right"/>
            </w:pPr>
            <w:r>
              <w:t xml:space="preserve">2294.000</w:t>
            </w:r>
          </w:p>
        </w:tc>
        <w:tc>
          <w:tcPr/>
          <w:p>
            <w:pPr>
              <w:pStyle w:val="Compact"/>
              <w:jc w:val="right"/>
            </w:pPr>
            <w:r>
              <w:t xml:space="preserve">3555.000</w:t>
            </w:r>
          </w:p>
        </w:tc>
        <w:tc>
          <w:tcPr/>
          <w:p>
            <w:pPr>
              <w:pStyle w:val="Compact"/>
              <w:jc w:val="right"/>
            </w:pPr>
            <w:r>
              <w:t xml:space="preserve">4994.000</w:t>
            </w:r>
          </w:p>
        </w:tc>
        <w:tc>
          <w:tcPr/>
          <w:p>
            <w:pPr>
              <w:pStyle w:val="Compact"/>
              <w:jc w:val="right"/>
            </w:pPr>
            <w:r>
              <w:t xml:space="preserve">5908.000</w:t>
            </w:r>
          </w:p>
        </w:tc>
        <w:tc>
          <w:tcPr/>
          <w:p>
            <w:pPr>
              <w:pStyle w:val="Compact"/>
              <w:jc w:val="right"/>
            </w:pPr>
            <w:r>
              <w:t xml:space="preserve">0.845</w:t>
            </w:r>
          </w:p>
        </w:tc>
        <w:tc>
          <w:tcPr/>
          <w:p>
            <w:pPr>
              <w:pStyle w:val="Compact"/>
              <w:jc w:val="right"/>
            </w:pPr>
            <w:r>
              <w:t xml:space="preserve">4848.000</w:t>
            </w:r>
          </w:p>
        </w:tc>
        <w:tc>
          <w:tcPr/>
          <w:p>
            <w:pPr>
              <w:pStyle w:val="Compact"/>
              <w:jc w:val="right"/>
            </w:pPr>
            <w:r>
              <w:t xml:space="preserve">5782.000</w:t>
            </w:r>
          </w:p>
        </w:tc>
      </w:tr>
      <w:tr>
        <w:tc>
          <w:tcPr/>
          <w:p>
            <w:pPr>
              <w:pStyle w:val="Compact"/>
              <w:jc w:val="right"/>
            </w:pPr>
            <w:r>
              <w:t xml:space="preserve">43.500</w:t>
            </w:r>
          </w:p>
        </w:tc>
        <w:tc>
          <w:tcPr/>
          <w:p>
            <w:pPr>
              <w:pStyle w:val="Compact"/>
              <w:jc w:val="right"/>
            </w:pPr>
            <w:r>
              <w:t xml:space="preserve">2</w:t>
            </w:r>
          </w:p>
        </w:tc>
        <w:tc>
          <w:tcPr/>
          <w:p>
            <w:pPr>
              <w:pStyle w:val="Compact"/>
              <w:jc w:val="right"/>
            </w:pPr>
            <w:r>
              <w:t xml:space="preserve">2401.000</w:t>
            </w:r>
          </w:p>
        </w:tc>
        <w:tc>
          <w:tcPr/>
          <w:p>
            <w:pPr>
              <w:pStyle w:val="Compact"/>
              <w:jc w:val="right"/>
            </w:pPr>
            <w:r>
              <w:t xml:space="preserve">4002.500</w:t>
            </w:r>
          </w:p>
        </w:tc>
        <w:tc>
          <w:tcPr/>
          <w:p>
            <w:pPr>
              <w:pStyle w:val="Compact"/>
              <w:jc w:val="right"/>
            </w:pPr>
            <w:r>
              <w:t xml:space="preserve">6467.000</w:t>
            </w:r>
          </w:p>
        </w:tc>
        <w:tc>
          <w:tcPr/>
          <w:p>
            <w:pPr>
              <w:pStyle w:val="Compact"/>
              <w:jc w:val="right"/>
            </w:pPr>
            <w:r>
              <w:t xml:space="preserve">8292.500</w:t>
            </w:r>
          </w:p>
        </w:tc>
        <w:tc>
          <w:tcPr/>
          <w:p>
            <w:pPr>
              <w:pStyle w:val="Compact"/>
              <w:jc w:val="right"/>
            </w:pPr>
            <w:r>
              <w:t xml:space="preserve">0.780</w:t>
            </w:r>
          </w:p>
        </w:tc>
        <w:tc>
          <w:tcPr/>
          <w:p>
            <w:pPr>
              <w:pStyle w:val="Compact"/>
              <w:jc w:val="right"/>
            </w:pPr>
            <w:r>
              <w:t xml:space="preserve">6397.000</w:t>
            </w:r>
          </w:p>
        </w:tc>
        <w:tc>
          <w:tcPr/>
          <w:p>
            <w:pPr>
              <w:pStyle w:val="Compact"/>
              <w:jc w:val="right"/>
            </w:pPr>
            <w:r>
              <w:t xml:space="preserve">8177.500</w:t>
            </w:r>
          </w:p>
        </w:tc>
      </w:tr>
      <w:tr>
        <w:tc>
          <w:tcPr/>
          <w:p>
            <w:pPr>
              <w:pStyle w:val="Compact"/>
              <w:jc w:val="right"/>
            </w:pPr>
            <w:r>
              <w:t xml:space="preserve">50.800</w:t>
            </w:r>
          </w:p>
        </w:tc>
        <w:tc>
          <w:tcPr/>
          <w:p>
            <w:pPr>
              <w:pStyle w:val="Compact"/>
              <w:jc w:val="right"/>
            </w:pPr>
            <w:r>
              <w:t xml:space="preserve">2</w:t>
            </w:r>
          </w:p>
        </w:tc>
        <w:tc>
          <w:tcPr/>
          <w:p>
            <w:pPr>
              <w:pStyle w:val="Compact"/>
              <w:jc w:val="right"/>
            </w:pPr>
            <w:r>
              <w:t xml:space="preserve">3721.000</w:t>
            </w:r>
          </w:p>
        </w:tc>
        <w:tc>
          <w:tcPr/>
          <w:p>
            <w:pPr>
              <w:pStyle w:val="Compact"/>
              <w:jc w:val="right"/>
            </w:pPr>
            <w:r>
              <w:t xml:space="preserve">5368.000</w:t>
            </w:r>
          </w:p>
        </w:tc>
        <w:tc>
          <w:tcPr/>
          <w:p>
            <w:pPr>
              <w:pStyle w:val="Compact"/>
              <w:jc w:val="right"/>
            </w:pPr>
            <w:r>
              <w:t xml:space="preserve">8060.500</w:t>
            </w:r>
          </w:p>
        </w:tc>
        <w:tc>
          <w:tcPr/>
          <w:p>
            <w:pPr>
              <w:pStyle w:val="Compact"/>
              <w:jc w:val="right"/>
            </w:pPr>
            <w:r>
              <w:t xml:space="preserve">9516.500</w:t>
            </w:r>
          </w:p>
        </w:tc>
        <w:tc>
          <w:tcPr/>
          <w:p>
            <w:pPr>
              <w:pStyle w:val="Compact"/>
              <w:jc w:val="right"/>
            </w:pPr>
            <w:r>
              <w:t xml:space="preserve">0.847</w:t>
            </w:r>
          </w:p>
        </w:tc>
        <w:tc>
          <w:tcPr/>
          <w:p>
            <w:pPr>
              <w:pStyle w:val="Compact"/>
              <w:jc w:val="right"/>
            </w:pPr>
            <w:r>
              <w:t xml:space="preserve">7833.000</w:t>
            </w:r>
          </w:p>
        </w:tc>
        <w:tc>
          <w:tcPr/>
          <w:p>
            <w:pPr>
              <w:pStyle w:val="Compact"/>
              <w:jc w:val="right"/>
            </w:pPr>
            <w:r>
              <w:t xml:space="preserve">9272.500</w:t>
            </w:r>
          </w:p>
        </w:tc>
      </w:tr>
      <w:tr>
        <w:tc>
          <w:tcPr/>
          <w:p>
            <w:pPr>
              <w:pStyle w:val="Compact"/>
              <w:jc w:val="right"/>
            </w:pPr>
            <w:r>
              <w:t xml:space="preserve">57.000</w:t>
            </w:r>
          </w:p>
        </w:tc>
        <w:tc>
          <w:tcPr/>
          <w:p>
            <w:pPr>
              <w:pStyle w:val="Compact"/>
              <w:jc w:val="right"/>
            </w:pPr>
            <w:r>
              <w:t xml:space="preserve">2</w:t>
            </w:r>
          </w:p>
        </w:tc>
        <w:tc>
          <w:tcPr/>
          <w:p>
            <w:pPr>
              <w:pStyle w:val="Compact"/>
              <w:jc w:val="right"/>
            </w:pPr>
            <w:r>
              <w:t xml:space="preserve">3157.000</w:t>
            </w:r>
          </w:p>
        </w:tc>
        <w:tc>
          <w:tcPr/>
          <w:p>
            <w:pPr>
              <w:pStyle w:val="Compact"/>
              <w:jc w:val="right"/>
            </w:pPr>
            <w:r>
              <w:t xml:space="preserve">4904.500</w:t>
            </w:r>
          </w:p>
        </w:tc>
        <w:tc>
          <w:tcPr/>
          <w:p>
            <w:pPr>
              <w:pStyle w:val="Compact"/>
              <w:jc w:val="right"/>
            </w:pPr>
            <w:r>
              <w:t xml:space="preserve">7791.000</w:t>
            </w:r>
          </w:p>
        </w:tc>
        <w:tc>
          <w:tcPr/>
          <w:p>
            <w:pPr>
              <w:pStyle w:val="Compact"/>
              <w:jc w:val="right"/>
            </w:pPr>
            <w:r>
              <w:t xml:space="preserve">9470.000</w:t>
            </w:r>
          </w:p>
        </w:tc>
        <w:tc>
          <w:tcPr/>
          <w:p>
            <w:pPr>
              <w:pStyle w:val="Compact"/>
              <w:jc w:val="right"/>
            </w:pPr>
            <w:r>
              <w:t xml:space="preserve">0.823</w:t>
            </w:r>
          </w:p>
        </w:tc>
        <w:tc>
          <w:tcPr/>
          <w:p>
            <w:pPr>
              <w:pStyle w:val="Compact"/>
              <w:jc w:val="right"/>
            </w:pPr>
            <w:r>
              <w:t xml:space="preserve">7717.500</w:t>
            </w:r>
          </w:p>
        </w:tc>
        <w:tc>
          <w:tcPr/>
          <w:p>
            <w:pPr>
              <w:pStyle w:val="Compact"/>
              <w:jc w:val="right"/>
            </w:pPr>
            <w:r>
              <w:t xml:space="preserve">9361.000</w:t>
            </w:r>
          </w:p>
        </w:tc>
      </w:tr>
      <w:tr>
        <w:tc>
          <w:tcPr/>
          <w:p>
            <w:pPr>
              <w:pStyle w:val="Compact"/>
              <w:jc w:val="right"/>
            </w:pPr>
            <w:r>
              <w:t xml:space="preserve">61.500</w:t>
            </w:r>
          </w:p>
        </w:tc>
        <w:tc>
          <w:tcPr/>
          <w:p>
            <w:pPr>
              <w:pStyle w:val="Compact"/>
              <w:jc w:val="right"/>
            </w:pPr>
            <w:r>
              <w:t xml:space="preserve">1</w:t>
            </w:r>
          </w:p>
        </w:tc>
        <w:tc>
          <w:tcPr/>
          <w:p>
            <w:pPr>
              <w:pStyle w:val="Compact"/>
              <w:jc w:val="right"/>
            </w:pPr>
            <w:r>
              <w:t xml:space="preserve">3730.000</w:t>
            </w:r>
          </w:p>
        </w:tc>
        <w:tc>
          <w:tcPr/>
          <w:p>
            <w:pPr>
              <w:pStyle w:val="Compact"/>
              <w:jc w:val="right"/>
            </w:pPr>
            <w:r>
              <w:t xml:space="preserve">5331.000</w:t>
            </w:r>
          </w:p>
        </w:tc>
        <w:tc>
          <w:tcPr/>
          <w:p>
            <w:pPr>
              <w:pStyle w:val="Compact"/>
              <w:jc w:val="right"/>
            </w:pPr>
            <w:r>
              <w:t xml:space="preserve">8002.000</w:t>
            </w:r>
          </w:p>
        </w:tc>
        <w:tc>
          <w:tcPr/>
          <w:p>
            <w:pPr>
              <w:pStyle w:val="Compact"/>
              <w:jc w:val="right"/>
            </w:pPr>
            <w:r>
              <w:t xml:space="preserve">9712.000</w:t>
            </w:r>
          </w:p>
        </w:tc>
        <w:tc>
          <w:tcPr/>
          <w:p>
            <w:pPr>
              <w:pStyle w:val="Compact"/>
              <w:jc w:val="right"/>
            </w:pPr>
            <w:r>
              <w:t xml:space="preserve">0.824</w:t>
            </w:r>
          </w:p>
        </w:tc>
        <w:tc>
          <w:tcPr/>
          <w:p>
            <w:pPr>
              <w:pStyle w:val="Compact"/>
              <w:jc w:val="right"/>
            </w:pPr>
            <w:r>
              <w:t xml:space="preserve">7852.000</w:t>
            </w:r>
          </w:p>
        </w:tc>
        <w:tc>
          <w:tcPr/>
          <w:p>
            <w:pPr>
              <w:pStyle w:val="Compact"/>
              <w:jc w:val="right"/>
            </w:pPr>
            <w:r>
              <w:t xml:space="preserve">9518.000</w:t>
            </w:r>
          </w:p>
        </w:tc>
      </w:tr>
      <w:tr>
        <w:tc>
          <w:tcPr/>
          <w:p>
            <w:pPr>
              <w:pStyle w:val="Compact"/>
              <w:jc w:val="right"/>
            </w:pPr>
            <w:r>
              <w:t xml:space="preserve">65.300</w:t>
            </w:r>
          </w:p>
        </w:tc>
        <w:tc>
          <w:tcPr/>
          <w:p>
            <w:pPr>
              <w:pStyle w:val="Compact"/>
              <w:jc w:val="right"/>
            </w:pPr>
            <w:r>
              <w:t xml:space="preserve">1</w:t>
            </w:r>
          </w:p>
        </w:tc>
        <w:tc>
          <w:tcPr/>
          <w:p>
            <w:pPr>
              <w:pStyle w:val="Compact"/>
              <w:jc w:val="right"/>
            </w:pPr>
            <w:r>
              <w:t xml:space="preserve">3010.000</w:t>
            </w:r>
          </w:p>
        </w:tc>
        <w:tc>
          <w:tcPr/>
          <w:p>
            <w:pPr>
              <w:pStyle w:val="Compact"/>
              <w:jc w:val="right"/>
            </w:pPr>
            <w:r>
              <w:t xml:space="preserve">4596.000</w:t>
            </w:r>
          </w:p>
        </w:tc>
        <w:tc>
          <w:tcPr/>
          <w:p>
            <w:pPr>
              <w:pStyle w:val="Compact"/>
              <w:jc w:val="right"/>
            </w:pPr>
            <w:r>
              <w:t xml:space="preserve">7464.000</w:t>
            </w:r>
          </w:p>
        </w:tc>
        <w:tc>
          <w:tcPr/>
          <w:p>
            <w:pPr>
              <w:pStyle w:val="Compact"/>
              <w:jc w:val="right"/>
            </w:pPr>
            <w:r>
              <w:t xml:space="preserve">9683.000</w:t>
            </w:r>
          </w:p>
        </w:tc>
        <w:tc>
          <w:tcPr/>
          <w:p>
            <w:pPr>
              <w:pStyle w:val="Compact"/>
              <w:jc w:val="right"/>
            </w:pPr>
            <w:r>
              <w:t xml:space="preserve">0.771</w:t>
            </w:r>
          </w:p>
        </w:tc>
        <w:tc>
          <w:tcPr/>
          <w:p>
            <w:pPr>
              <w:pStyle w:val="Compact"/>
              <w:jc w:val="right"/>
            </w:pPr>
            <w:r>
              <w:t xml:space="preserve">7182.000</w:t>
            </w:r>
          </w:p>
        </w:tc>
        <w:tc>
          <w:tcPr/>
          <w:p>
            <w:pPr>
              <w:pStyle w:val="Compact"/>
              <w:jc w:val="right"/>
            </w:pPr>
            <w:r>
              <w:t xml:space="preserve">9350.000</w:t>
            </w:r>
          </w:p>
        </w:tc>
      </w:tr>
      <w:tr>
        <w:tc>
          <w:tcPr/>
          <w:p>
            <w:pPr>
              <w:pStyle w:val="Compact"/>
              <w:jc w:val="right"/>
            </w:pPr>
            <w:r>
              <w:t xml:space="preserve">66.000</w:t>
            </w:r>
          </w:p>
        </w:tc>
        <w:tc>
          <w:tcPr/>
          <w:p>
            <w:pPr>
              <w:pStyle w:val="Compact"/>
              <w:jc w:val="right"/>
            </w:pPr>
            <w:r>
              <w:t xml:space="preserve">2</w:t>
            </w:r>
          </w:p>
        </w:tc>
        <w:tc>
          <w:tcPr/>
          <w:p>
            <w:pPr>
              <w:pStyle w:val="Compact"/>
              <w:jc w:val="right"/>
            </w:pPr>
            <w:r>
              <w:t xml:space="preserve">3594.500</w:t>
            </w:r>
          </w:p>
        </w:tc>
        <w:tc>
          <w:tcPr/>
          <w:p>
            <w:pPr>
              <w:pStyle w:val="Compact"/>
              <w:jc w:val="right"/>
            </w:pPr>
            <w:r>
              <w:t xml:space="preserve">5754.000</w:t>
            </w:r>
          </w:p>
        </w:tc>
        <w:tc>
          <w:tcPr/>
          <w:p>
            <w:pPr>
              <w:pStyle w:val="Compact"/>
              <w:jc w:val="right"/>
            </w:pPr>
            <w:r>
              <w:t xml:space="preserve">9883.000</w:t>
            </w:r>
          </w:p>
        </w:tc>
        <w:tc>
          <w:tcPr/>
          <w:p>
            <w:pPr>
              <w:pStyle w:val="Compact"/>
              <w:jc w:val="right"/>
            </w:pPr>
            <w:r>
              <w:t xml:space="preserve">12624.500</w:t>
            </w:r>
          </w:p>
        </w:tc>
        <w:tc>
          <w:tcPr/>
          <w:p>
            <w:pPr>
              <w:pStyle w:val="Compact"/>
              <w:jc w:val="right"/>
            </w:pPr>
            <w:r>
              <w:t xml:space="preserve">0.783</w:t>
            </w:r>
          </w:p>
        </w:tc>
        <w:tc>
          <w:tcPr/>
          <w:p>
            <w:pPr>
              <w:pStyle w:val="Compact"/>
              <w:jc w:val="right"/>
            </w:pPr>
            <w:r>
              <w:t xml:space="preserve">9588.000</w:t>
            </w:r>
          </w:p>
        </w:tc>
        <w:tc>
          <w:tcPr/>
          <w:p>
            <w:pPr>
              <w:pStyle w:val="Compact"/>
              <w:jc w:val="right"/>
            </w:pPr>
            <w:r>
              <w:t xml:space="preserve">12253.000</w:t>
            </w:r>
          </w:p>
        </w:tc>
      </w:tr>
      <w:tr>
        <w:tc>
          <w:tcPr/>
          <w:p>
            <w:pPr>
              <w:pStyle w:val="Compact"/>
              <w:jc w:val="right"/>
            </w:pPr>
            <w:r>
              <w:t xml:space="preserve">72.000</w:t>
            </w:r>
          </w:p>
        </w:tc>
        <w:tc>
          <w:tcPr/>
          <w:p>
            <w:pPr>
              <w:pStyle w:val="Compact"/>
              <w:jc w:val="right"/>
            </w:pPr>
            <w:r>
              <w:t xml:space="preserve">2</w:t>
            </w:r>
          </w:p>
        </w:tc>
        <w:tc>
          <w:tcPr/>
          <w:p>
            <w:pPr>
              <w:pStyle w:val="Compact"/>
              <w:jc w:val="right"/>
            </w:pPr>
            <w:r>
              <w:t xml:space="preserve">2659.500</w:t>
            </w:r>
          </w:p>
        </w:tc>
        <w:tc>
          <w:tcPr/>
          <w:p>
            <w:pPr>
              <w:pStyle w:val="Compact"/>
              <w:jc w:val="right"/>
            </w:pPr>
            <w:r>
              <w:t xml:space="preserve">4417.500</w:t>
            </w:r>
          </w:p>
        </w:tc>
        <w:tc>
          <w:tcPr/>
          <w:p>
            <w:pPr>
              <w:pStyle w:val="Compact"/>
              <w:jc w:val="right"/>
            </w:pPr>
            <w:r>
              <w:t xml:space="preserve">7931.500</w:t>
            </w:r>
          </w:p>
        </w:tc>
        <w:tc>
          <w:tcPr/>
          <w:p>
            <w:pPr>
              <w:pStyle w:val="Compact"/>
              <w:jc w:val="right"/>
            </w:pPr>
            <w:r>
              <w:t xml:space="preserve">12428.000</w:t>
            </w:r>
          </w:p>
        </w:tc>
        <w:tc>
          <w:tcPr/>
          <w:p>
            <w:pPr>
              <w:pStyle w:val="Compact"/>
              <w:jc w:val="right"/>
            </w:pPr>
            <w:r>
              <w:t xml:space="preserve">0.638</w:t>
            </w:r>
          </w:p>
        </w:tc>
        <w:tc>
          <w:tcPr/>
          <w:p>
            <w:pPr>
              <w:pStyle w:val="Compact"/>
              <w:jc w:val="right"/>
            </w:pPr>
            <w:r>
              <w:t xml:space="preserve">7784.000</w:t>
            </w:r>
          </w:p>
        </w:tc>
        <w:tc>
          <w:tcPr/>
          <w:p>
            <w:pPr>
              <w:pStyle w:val="Compact"/>
              <w:jc w:val="right"/>
            </w:pPr>
            <w:r>
              <w:t xml:space="preserve">12276.500</w:t>
            </w:r>
          </w:p>
        </w:tc>
      </w:tr>
    </w:tbl>
    <w:p>
      <w:pPr>
        <w:pStyle w:val="BodyText"/>
      </w:pPr>
      <w:r>
        <w:t xml:space="preserve">Densities in tags per Mb. Measured with the panel transcribed from 2bRADExtraction.pl. 46 of 48 cells reproduce the design report within 3%; HaeIV differs by exactly 2.00x (locus vs window counting) and Hin4I is unreconciled. GC-sweep block: panel k16 density rises with GC from ~4.5k/Mb at 26% to ~12.4k/Mb at 72% (low-GC depression only, no high-GC collapse); the k8/k16 ratio thins at the GC extremes (0.72 at 30.6%, 0.64 at 72%). Density-matched FracMinHash arms track the panel within 4% at every GC level. Genomes are GTDB R232 stand-ins (R226 metadata unavailable locally); reads are self-simulated with a planted replication gradient (F2 REVIEW protocol); each cell is the median of the genomes sharing a GC level.</w:t>
      </w:r>
    </w:p>
    <w:p>
      <w:pPr>
        <w:pStyle w:val="BodyText"/>
      </w:pPr>
      <w:r>
        <w:rPr>
          <w:b/>
          <w:bCs/>
        </w:rPr>
        <w:t xml:space="preserve">Table 2. Accuracy on the Zheng et al. E. coli dataset, by coverage</w:t>
      </w:r>
    </w:p>
    <w:tbl>
      <w:tblPr>
        <w:tblStyle w:val="Table"/>
        <w:tblW w:type="pct" w:w="5000"/>
        <w:tblLayout w:type="fixed"/>
        <w:tblLook w:firstRow="1" w:lastRow="0" w:firstColumn="0" w:lastColumn="0" w:noHBand="0" w:noVBand="0" w:val="0020"/>
      </w:tblPr>
      <w:tblGrid>
        <w:gridCol w:w="642"/>
        <w:gridCol w:w="1979"/>
        <w:gridCol w:w="267"/>
        <w:gridCol w:w="695"/>
        <w:gridCol w:w="1123"/>
        <w:gridCol w:w="481"/>
        <w:gridCol w:w="481"/>
        <w:gridCol w:w="481"/>
        <w:gridCol w:w="481"/>
        <w:gridCol w:w="642"/>
        <w:gridCol w:w="642"/>
      </w:tblGrid>
      <w:tr>
        <w:trPr>
          <w:tblHeader w:val="on"/>
        </w:trPr>
        <w:tc>
          <w:tcPr/>
          <w:p>
            <w:pPr>
              <w:pStyle w:val="Compact"/>
              <w:jc w:val="right"/>
            </w:pPr>
            <w:r>
              <w:t xml:space="preserve">coverage</w:t>
            </w:r>
          </w:p>
        </w:tc>
        <w:tc>
          <w:tcPr/>
          <w:p>
            <w:pPr>
              <w:pStyle w:val="Compact"/>
              <w:jc w:val="left"/>
            </w:pPr>
            <w:r>
              <w:t xml:space="preserve">method</w:t>
            </w:r>
          </w:p>
        </w:tc>
        <w:tc>
          <w:tcPr/>
          <w:p>
            <w:pPr>
              <w:pStyle w:val="Compact"/>
              <w:jc w:val="right"/>
            </w:pPr>
            <w:r>
              <w:t xml:space="preserve">n</w:t>
            </w:r>
          </w:p>
        </w:tc>
        <w:tc>
          <w:tcPr/>
          <w:p>
            <w:pPr>
              <w:pStyle w:val="Compact"/>
              <w:jc w:val="right"/>
            </w:pPr>
            <w:r>
              <w:t xml:space="preserve">pearson_r</w:t>
            </w:r>
          </w:p>
        </w:tc>
        <w:tc>
          <w:tcPr/>
          <w:p>
            <w:pPr>
              <w:pStyle w:val="Compact"/>
              <w:jc w:val="right"/>
            </w:pPr>
            <w:r>
              <w:t xml:space="preserve">rmse_vs_predicted</w:t>
            </w:r>
          </w:p>
        </w:tc>
        <w:tc>
          <w:tcPr/>
          <w:p>
            <w:pPr>
              <w:pStyle w:val="Compact"/>
              <w:jc w:val="right"/>
            </w:pPr>
            <w:r>
              <w:t xml:space="preserve">bias</w:t>
            </w:r>
          </w:p>
        </w:tc>
        <w:tc>
          <w:tcPr/>
          <w:p>
            <w:pPr>
              <w:pStyle w:val="Compact"/>
              <w:jc w:val="right"/>
            </w:pPr>
            <w:r>
              <w:t xml:space="preserve">slope</w:t>
            </w:r>
          </w:p>
        </w:tc>
        <w:tc>
          <w:tcPr/>
          <w:p>
            <w:pPr>
              <w:pStyle w:val="Compact"/>
              <w:jc w:val="right"/>
            </w:pPr>
            <w:r>
              <w:t xml:space="preserve">r_lo</w:t>
            </w:r>
          </w:p>
        </w:tc>
        <w:tc>
          <w:tcPr/>
          <w:p>
            <w:pPr>
              <w:pStyle w:val="Compact"/>
              <w:jc w:val="right"/>
            </w:pPr>
            <w:r>
              <w:t xml:space="preserve">r_hi</w:t>
            </w:r>
          </w:p>
        </w:tc>
        <w:tc>
          <w:tcPr/>
          <w:p>
            <w:pPr>
              <w:pStyle w:val="Compact"/>
              <w:jc w:val="right"/>
            </w:pPr>
            <w:r>
              <w:t xml:space="preserve">slope_lo</w:t>
            </w:r>
          </w:p>
        </w:tc>
        <w:tc>
          <w:tcPr/>
          <w:p>
            <w:pPr>
              <w:pStyle w:val="Compact"/>
              <w:jc w:val="right"/>
            </w:pPr>
            <w:r>
              <w:t xml:space="preserve">slope_hi</w:t>
            </w:r>
          </w:p>
        </w:tc>
      </w:tr>
      <w:tr>
        <w:tc>
          <w:tcPr/>
          <w:p>
            <w:pPr>
              <w:pStyle w:val="Compact"/>
              <w:jc w:val="right"/>
            </w:pPr>
            <w:r>
              <w:t xml:space="preserve">0.5</w:t>
            </w:r>
          </w:p>
        </w:tc>
        <w:tc>
          <w:tcPr/>
          <w:p>
            <w:pPr>
              <w:pStyle w:val="Compact"/>
              <w:jc w:val="left"/>
            </w:pPr>
            <w:r>
              <w:t xml:space="preserve">sk2bGrow: anchors + V-fit</w:t>
            </w:r>
          </w:p>
        </w:tc>
        <w:tc>
          <w:tcPr/>
          <w:p>
            <w:pPr>
              <w:pStyle w:val="Compact"/>
              <w:jc w:val="right"/>
            </w:pPr>
            <w:r>
              <w:t xml:space="preserve">16</w:t>
            </w:r>
          </w:p>
        </w:tc>
        <w:tc>
          <w:tcPr/>
          <w:p>
            <w:pPr>
              <w:pStyle w:val="Compact"/>
              <w:jc w:val="right"/>
            </w:pPr>
            <w:r>
              <w:t xml:space="preserve">0.923</w:t>
            </w:r>
          </w:p>
        </w:tc>
        <w:tc>
          <w:tcPr/>
          <w:p>
            <w:pPr>
              <w:pStyle w:val="Compact"/>
              <w:jc w:val="right"/>
            </w:pPr>
            <w:r>
              <w:t xml:space="preserve">0.483</w:t>
            </w:r>
          </w:p>
        </w:tc>
        <w:tc>
          <w:tcPr/>
          <w:p>
            <w:pPr>
              <w:pStyle w:val="Compact"/>
              <w:jc w:val="right"/>
            </w:pPr>
            <w:r>
              <w:t xml:space="preserve">-0.447</w:t>
            </w:r>
          </w:p>
        </w:tc>
        <w:tc>
          <w:tcPr/>
          <w:p>
            <w:pPr>
              <w:pStyle w:val="Compact"/>
              <w:jc w:val="right"/>
            </w:pPr>
            <w:r>
              <w:t xml:space="preserve">0.594</w:t>
            </w:r>
          </w:p>
        </w:tc>
        <w:tc>
          <w:tcPr/>
          <w:p>
            <w:pPr>
              <w:pStyle w:val="Compact"/>
              <w:jc w:val="right"/>
            </w:pPr>
            <w:r>
              <w:t xml:space="preserve">0.854</w:t>
            </w:r>
          </w:p>
        </w:tc>
        <w:tc>
          <w:tcPr/>
          <w:p>
            <w:pPr>
              <w:pStyle w:val="Compact"/>
              <w:jc w:val="right"/>
            </w:pPr>
            <w:r>
              <w:t xml:space="preserve">0.968</w:t>
            </w:r>
          </w:p>
        </w:tc>
        <w:tc>
          <w:tcPr/>
          <w:p>
            <w:pPr>
              <w:pStyle w:val="Compact"/>
              <w:jc w:val="right"/>
            </w:pPr>
            <w:r>
              <w:t xml:space="preserve">0.478</w:t>
            </w:r>
          </w:p>
        </w:tc>
        <w:tc>
          <w:tcPr/>
          <w:p>
            <w:pPr>
              <w:pStyle w:val="Compact"/>
              <w:jc w:val="right"/>
            </w:pPr>
            <w:r>
              <w:t xml:space="preserve">0.725</w:t>
            </w:r>
          </w:p>
        </w:tc>
      </w:tr>
      <w:tr>
        <w:tc>
          <w:tcPr/>
          <w:p>
            <w:pPr>
              <w:pStyle w:val="Compact"/>
              <w:jc w:val="right"/>
            </w:pPr>
            <w:r>
              <w:t xml:space="preserve">0.5</w:t>
            </w:r>
          </w:p>
        </w:tc>
        <w:tc>
          <w:tcPr/>
          <w:p>
            <w:pPr>
              <w:pStyle w:val="Compact"/>
              <w:jc w:val="left"/>
            </w:pPr>
            <w:r>
              <w:t xml:space="preserve">FracMinHash + V-fit</w:t>
            </w:r>
          </w:p>
        </w:tc>
        <w:tc>
          <w:tcPr/>
          <w:p>
            <w:pPr>
              <w:pStyle w:val="Compact"/>
              <w:jc w:val="right"/>
            </w:pPr>
            <w:r>
              <w:t xml:space="preserve">16</w:t>
            </w:r>
          </w:p>
        </w:tc>
        <w:tc>
          <w:tcPr/>
          <w:p>
            <w:pPr>
              <w:pStyle w:val="Compact"/>
              <w:jc w:val="right"/>
            </w:pPr>
            <w:r>
              <w:t xml:space="preserve">0.883</w:t>
            </w:r>
          </w:p>
        </w:tc>
        <w:tc>
          <w:tcPr/>
          <w:p>
            <w:pPr>
              <w:pStyle w:val="Compact"/>
              <w:jc w:val="right"/>
            </w:pPr>
            <w:r>
              <w:t xml:space="preserve">0.522</w:t>
            </w:r>
          </w:p>
        </w:tc>
        <w:tc>
          <w:tcPr/>
          <w:p>
            <w:pPr>
              <w:pStyle w:val="Compact"/>
              <w:jc w:val="right"/>
            </w:pPr>
            <w:r>
              <w:t xml:space="preserve">-0.473</w:t>
            </w:r>
          </w:p>
        </w:tc>
        <w:tc>
          <w:tcPr/>
          <w:p>
            <w:pPr>
              <w:pStyle w:val="Compact"/>
              <w:jc w:val="right"/>
            </w:pPr>
            <w:r>
              <w:t xml:space="preserve">0.483</w:t>
            </w:r>
          </w:p>
        </w:tc>
        <w:tc>
          <w:tcPr/>
          <w:p>
            <w:pPr>
              <w:pStyle w:val="Compact"/>
              <w:jc w:val="right"/>
            </w:pPr>
            <w:r>
              <w:t xml:space="preserve">0.766</w:t>
            </w:r>
          </w:p>
        </w:tc>
        <w:tc>
          <w:tcPr/>
          <w:p>
            <w:pPr>
              <w:pStyle w:val="Compact"/>
              <w:jc w:val="right"/>
            </w:pPr>
            <w:r>
              <w:t xml:space="preserve">0.959</w:t>
            </w:r>
          </w:p>
        </w:tc>
        <w:tc>
          <w:tcPr/>
          <w:p>
            <w:pPr>
              <w:pStyle w:val="Compact"/>
              <w:jc w:val="right"/>
            </w:pPr>
            <w:r>
              <w:t xml:space="preserve">0.351</w:t>
            </w:r>
          </w:p>
        </w:tc>
        <w:tc>
          <w:tcPr/>
          <w:p>
            <w:pPr>
              <w:pStyle w:val="Compact"/>
              <w:jc w:val="right"/>
            </w:pPr>
            <w:r>
              <w:t xml:space="preserve">0.637</w:t>
            </w:r>
          </w:p>
        </w:tc>
      </w:tr>
      <w:tr>
        <w:tc>
          <w:tcPr/>
          <w:p>
            <w:pPr>
              <w:pStyle w:val="Compact"/>
              <w:jc w:val="right"/>
            </w:pPr>
            <w:r>
              <w:t xml:space="preserve">0.5</w:t>
            </w:r>
          </w:p>
        </w:tc>
        <w:tc>
          <w:tcPr/>
          <w:p>
            <w:pPr>
              <w:pStyle w:val="Compact"/>
              <w:jc w:val="left"/>
            </w:pPr>
            <w:r>
              <w:t xml:space="preserve">anchors + rank regression</w:t>
            </w:r>
          </w:p>
        </w:tc>
        <w:tc>
          <w:tcPr/>
          <w:p>
            <w:pPr>
              <w:pStyle w:val="Compact"/>
              <w:jc w:val="right"/>
            </w:pPr>
            <w:r>
              <w:t xml:space="preserve">16</w:t>
            </w:r>
          </w:p>
        </w:tc>
        <w:tc>
          <w:tcPr/>
          <w:p>
            <w:pPr>
              <w:pStyle w:val="Compact"/>
              <w:jc w:val="right"/>
            </w:pPr>
            <w:r>
              <w:t xml:space="preserve">0.517</w:t>
            </w:r>
          </w:p>
        </w:tc>
        <w:tc>
          <w:tcPr/>
          <w:p>
            <w:pPr>
              <w:pStyle w:val="Compact"/>
              <w:jc w:val="right"/>
            </w:pPr>
            <w:r>
              <w:t xml:space="preserve">0.933</w:t>
            </w:r>
          </w:p>
        </w:tc>
        <w:tc>
          <w:tcPr/>
          <w:p>
            <w:pPr>
              <w:pStyle w:val="Compact"/>
              <w:jc w:val="right"/>
            </w:pPr>
            <w:r>
              <w:t xml:space="preserve">0.871</w:t>
            </w:r>
          </w:p>
        </w:tc>
        <w:tc>
          <w:tcPr/>
          <w:p>
            <w:pPr>
              <w:pStyle w:val="Compact"/>
              <w:jc w:val="right"/>
            </w:pPr>
            <w:r>
              <w:t xml:space="preserve">0.162</w:t>
            </w:r>
          </w:p>
        </w:tc>
        <w:tc>
          <w:tcPr/>
          <w:p>
            <w:pPr>
              <w:pStyle w:val="Compact"/>
              <w:jc w:val="right"/>
            </w:pPr>
            <w:r>
              <w:t xml:space="preserve">0.008</w:t>
            </w:r>
          </w:p>
        </w:tc>
        <w:tc>
          <w:tcPr/>
          <w:p>
            <w:pPr>
              <w:pStyle w:val="Compact"/>
              <w:jc w:val="right"/>
            </w:pPr>
            <w:r>
              <w:t xml:space="preserve">0.788</w:t>
            </w:r>
          </w:p>
        </w:tc>
        <w:tc>
          <w:tcPr/>
          <w:p>
            <w:pPr>
              <w:pStyle w:val="Compact"/>
              <w:jc w:val="right"/>
            </w:pPr>
            <w:r>
              <w:t xml:space="preserve">0.002</w:t>
            </w:r>
          </w:p>
        </w:tc>
        <w:tc>
          <w:tcPr/>
          <w:p>
            <w:pPr>
              <w:pStyle w:val="Compact"/>
              <w:jc w:val="right"/>
            </w:pPr>
            <w:r>
              <w:t xml:space="preserve">0.292</w:t>
            </w:r>
          </w:p>
        </w:tc>
      </w:tr>
      <w:tr>
        <w:tc>
          <w:tcPr/>
          <w:p>
            <w:pPr>
              <w:pStyle w:val="Compact"/>
              <w:jc w:val="right"/>
            </w:pPr>
            <w:r>
              <w:t xml:space="preserve">0.5</w:t>
            </w:r>
          </w:p>
        </w:tc>
        <w:tc>
          <w:tcPr/>
          <w:p>
            <w:pPr>
              <w:pStyle w:val="Compact"/>
              <w:jc w:val="left"/>
            </w:pPr>
            <w:r>
              <w:t xml:space="preserve">Pilea gates off: FracMinHash + rank</w:t>
            </w:r>
          </w:p>
        </w:tc>
        <w:tc>
          <w:tcPr/>
          <w:p>
            <w:pPr>
              <w:pStyle w:val="Compact"/>
              <w:jc w:val="right"/>
            </w:pPr>
            <w:r>
              <w:t xml:space="preserve">16</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right"/>
            </w:pPr>
            <w:r>
              <w:t xml:space="preserve">0.5</w:t>
            </w:r>
          </w:p>
        </w:tc>
        <w:tc>
          <w:tcPr/>
          <w:p>
            <w:pPr>
              <w:pStyle w:val="Compact"/>
              <w:jc w:val="left"/>
            </w:pPr>
            <w:r>
              <w:t xml:space="preserve">Pilea (defaults)</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right"/>
            </w:pPr>
            <w:r>
              <w:t xml:space="preserve">1.0</w:t>
            </w:r>
          </w:p>
        </w:tc>
        <w:tc>
          <w:tcPr/>
          <w:p>
            <w:pPr>
              <w:pStyle w:val="Compact"/>
              <w:jc w:val="left"/>
            </w:pPr>
            <w:r>
              <w:t xml:space="preserve">sk2bGrow: anchors + V-fit</w:t>
            </w:r>
          </w:p>
        </w:tc>
        <w:tc>
          <w:tcPr/>
          <w:p>
            <w:pPr>
              <w:pStyle w:val="Compact"/>
              <w:jc w:val="right"/>
            </w:pPr>
            <w:r>
              <w:t xml:space="preserve">16</w:t>
            </w:r>
          </w:p>
        </w:tc>
        <w:tc>
          <w:tcPr/>
          <w:p>
            <w:pPr>
              <w:pStyle w:val="Compact"/>
              <w:jc w:val="right"/>
            </w:pPr>
            <w:r>
              <w:t xml:space="preserve">0.912</w:t>
            </w:r>
          </w:p>
        </w:tc>
        <w:tc>
          <w:tcPr/>
          <w:p>
            <w:pPr>
              <w:pStyle w:val="Compact"/>
              <w:jc w:val="right"/>
            </w:pPr>
            <w:r>
              <w:t xml:space="preserve">0.374</w:t>
            </w:r>
          </w:p>
        </w:tc>
        <w:tc>
          <w:tcPr/>
          <w:p>
            <w:pPr>
              <w:pStyle w:val="Compact"/>
              <w:jc w:val="right"/>
            </w:pPr>
            <w:r>
              <w:t xml:space="preserve">-0.339</w:t>
            </w:r>
          </w:p>
        </w:tc>
        <w:tc>
          <w:tcPr/>
          <w:p>
            <w:pPr>
              <w:pStyle w:val="Compact"/>
              <w:jc w:val="right"/>
            </w:pPr>
            <w:r>
              <w:t xml:space="preserve">0.827</w:t>
            </w:r>
          </w:p>
        </w:tc>
        <w:tc>
          <w:tcPr/>
          <w:p>
            <w:pPr>
              <w:pStyle w:val="Compact"/>
              <w:jc w:val="right"/>
            </w:pPr>
            <w:r>
              <w:t xml:space="preserve">0.798</w:t>
            </w:r>
          </w:p>
        </w:tc>
        <w:tc>
          <w:tcPr/>
          <w:p>
            <w:pPr>
              <w:pStyle w:val="Compact"/>
              <w:jc w:val="right"/>
            </w:pPr>
            <w:r>
              <w:t xml:space="preserve">0.970</w:t>
            </w:r>
          </w:p>
        </w:tc>
        <w:tc>
          <w:tcPr/>
          <w:p>
            <w:pPr>
              <w:pStyle w:val="Compact"/>
              <w:jc w:val="right"/>
            </w:pPr>
            <w:r>
              <w:t xml:space="preserve">0.595</w:t>
            </w:r>
          </w:p>
        </w:tc>
        <w:tc>
          <w:tcPr/>
          <w:p>
            <w:pPr>
              <w:pStyle w:val="Compact"/>
              <w:jc w:val="right"/>
            </w:pPr>
            <w:r>
              <w:t xml:space="preserve">1.002</w:t>
            </w:r>
          </w:p>
        </w:tc>
      </w:tr>
      <w:tr>
        <w:tc>
          <w:tcPr/>
          <w:p>
            <w:pPr>
              <w:pStyle w:val="Compact"/>
              <w:jc w:val="right"/>
            </w:pPr>
            <w:r>
              <w:t xml:space="preserve">1.0</w:t>
            </w:r>
          </w:p>
        </w:tc>
        <w:tc>
          <w:tcPr/>
          <w:p>
            <w:pPr>
              <w:pStyle w:val="Compact"/>
              <w:jc w:val="left"/>
            </w:pPr>
            <w:r>
              <w:t xml:space="preserve">FracMinHash + V-fit</w:t>
            </w:r>
          </w:p>
        </w:tc>
        <w:tc>
          <w:tcPr/>
          <w:p>
            <w:pPr>
              <w:pStyle w:val="Compact"/>
              <w:jc w:val="right"/>
            </w:pPr>
            <w:r>
              <w:t xml:space="preserve">16</w:t>
            </w:r>
          </w:p>
        </w:tc>
        <w:tc>
          <w:tcPr/>
          <w:p>
            <w:pPr>
              <w:pStyle w:val="Compact"/>
              <w:jc w:val="right"/>
            </w:pPr>
            <w:r>
              <w:t xml:space="preserve">0.912</w:t>
            </w:r>
          </w:p>
        </w:tc>
        <w:tc>
          <w:tcPr/>
          <w:p>
            <w:pPr>
              <w:pStyle w:val="Compact"/>
              <w:jc w:val="right"/>
            </w:pPr>
            <w:r>
              <w:t xml:space="preserve">0.286</w:t>
            </w:r>
          </w:p>
        </w:tc>
        <w:tc>
          <w:tcPr/>
          <w:p>
            <w:pPr>
              <w:pStyle w:val="Compact"/>
              <w:jc w:val="right"/>
            </w:pPr>
            <w:r>
              <w:t xml:space="preserve">-0.232</w:t>
            </w:r>
          </w:p>
        </w:tc>
        <w:tc>
          <w:tcPr/>
          <w:p>
            <w:pPr>
              <w:pStyle w:val="Compact"/>
              <w:jc w:val="right"/>
            </w:pPr>
            <w:r>
              <w:t xml:space="preserve">0.675</w:t>
            </w:r>
          </w:p>
        </w:tc>
        <w:tc>
          <w:tcPr/>
          <w:p>
            <w:pPr>
              <w:pStyle w:val="Compact"/>
              <w:jc w:val="right"/>
            </w:pPr>
            <w:r>
              <w:t xml:space="preserve">0.797</w:t>
            </w:r>
          </w:p>
        </w:tc>
        <w:tc>
          <w:tcPr/>
          <w:p>
            <w:pPr>
              <w:pStyle w:val="Compact"/>
              <w:jc w:val="right"/>
            </w:pPr>
            <w:r>
              <w:t xml:space="preserve">0.975</w:t>
            </w:r>
          </w:p>
        </w:tc>
        <w:tc>
          <w:tcPr/>
          <w:p>
            <w:pPr>
              <w:pStyle w:val="Compact"/>
              <w:jc w:val="right"/>
            </w:pPr>
            <w:r>
              <w:t xml:space="preserve">0.458</w:t>
            </w:r>
          </w:p>
        </w:tc>
        <w:tc>
          <w:tcPr/>
          <w:p>
            <w:pPr>
              <w:pStyle w:val="Compact"/>
              <w:jc w:val="right"/>
            </w:pPr>
            <w:r>
              <w:t xml:space="preserve">0.811</w:t>
            </w:r>
          </w:p>
        </w:tc>
      </w:tr>
      <w:tr>
        <w:tc>
          <w:tcPr/>
          <w:p>
            <w:pPr>
              <w:pStyle w:val="Compact"/>
              <w:jc w:val="right"/>
            </w:pPr>
            <w:r>
              <w:t xml:space="preserve">1.0</w:t>
            </w:r>
          </w:p>
        </w:tc>
        <w:tc>
          <w:tcPr/>
          <w:p>
            <w:pPr>
              <w:pStyle w:val="Compact"/>
              <w:jc w:val="left"/>
            </w:pPr>
            <w:r>
              <w:t xml:space="preserve">anchors + rank regression</w:t>
            </w:r>
          </w:p>
        </w:tc>
        <w:tc>
          <w:tcPr/>
          <w:p>
            <w:pPr>
              <w:pStyle w:val="Compact"/>
              <w:jc w:val="right"/>
            </w:pPr>
            <w:r>
              <w:t xml:space="preserve">16</w:t>
            </w:r>
          </w:p>
        </w:tc>
        <w:tc>
          <w:tcPr/>
          <w:p>
            <w:pPr>
              <w:pStyle w:val="Compact"/>
              <w:jc w:val="right"/>
            </w:pPr>
            <w:r>
              <w:t xml:space="preserve">0.775</w:t>
            </w:r>
          </w:p>
        </w:tc>
        <w:tc>
          <w:tcPr/>
          <w:p>
            <w:pPr>
              <w:pStyle w:val="Compact"/>
              <w:jc w:val="right"/>
            </w:pPr>
            <w:r>
              <w:t xml:space="preserve">0.395</w:t>
            </w:r>
          </w:p>
        </w:tc>
        <w:tc>
          <w:tcPr/>
          <w:p>
            <w:pPr>
              <w:pStyle w:val="Compact"/>
              <w:jc w:val="right"/>
            </w:pPr>
            <w:r>
              <w:t xml:space="preserve">0.303</w:t>
            </w:r>
          </w:p>
        </w:tc>
        <w:tc>
          <w:tcPr/>
          <w:p>
            <w:pPr>
              <w:pStyle w:val="Compact"/>
              <w:jc w:val="right"/>
            </w:pPr>
            <w:r>
              <w:t xml:space="preserve">0.361</w:t>
            </w:r>
          </w:p>
        </w:tc>
        <w:tc>
          <w:tcPr/>
          <w:p>
            <w:pPr>
              <w:pStyle w:val="Compact"/>
              <w:jc w:val="right"/>
            </w:pPr>
            <w:r>
              <w:t xml:space="preserve">0.419</w:t>
            </w:r>
          </w:p>
        </w:tc>
        <w:tc>
          <w:tcPr/>
          <w:p>
            <w:pPr>
              <w:pStyle w:val="Compact"/>
              <w:jc w:val="right"/>
            </w:pPr>
            <w:r>
              <w:t xml:space="preserve">0.936</w:t>
            </w:r>
          </w:p>
        </w:tc>
        <w:tc>
          <w:tcPr/>
          <w:p>
            <w:pPr>
              <w:pStyle w:val="Compact"/>
              <w:jc w:val="right"/>
            </w:pPr>
            <w:r>
              <w:t xml:space="preserve">0.174</w:t>
            </w:r>
          </w:p>
        </w:tc>
        <w:tc>
          <w:tcPr/>
          <w:p>
            <w:pPr>
              <w:pStyle w:val="Compact"/>
              <w:jc w:val="right"/>
            </w:pPr>
            <w:r>
              <w:t xml:space="preserve">0.485</w:t>
            </w:r>
          </w:p>
        </w:tc>
      </w:tr>
      <w:tr>
        <w:tc>
          <w:tcPr/>
          <w:p>
            <w:pPr>
              <w:pStyle w:val="Compact"/>
              <w:jc w:val="right"/>
            </w:pPr>
            <w:r>
              <w:t xml:space="preserve">1.0</w:t>
            </w:r>
          </w:p>
        </w:tc>
        <w:tc>
          <w:tcPr/>
          <w:p>
            <w:pPr>
              <w:pStyle w:val="Compact"/>
              <w:jc w:val="left"/>
            </w:pPr>
            <w:r>
              <w:t xml:space="preserve">Pilea gates off: FracMinHash + rank</w:t>
            </w:r>
          </w:p>
        </w:tc>
        <w:tc>
          <w:tcPr/>
          <w:p>
            <w:pPr>
              <w:pStyle w:val="Compact"/>
              <w:jc w:val="right"/>
            </w:pPr>
            <w:r>
              <w:t xml:space="preserve">16</w:t>
            </w:r>
          </w:p>
        </w:tc>
        <w:tc>
          <w:tcPr/>
          <w:p>
            <w:pPr>
              <w:pStyle w:val="Compact"/>
              <w:jc w:val="right"/>
            </w:pPr>
            <w:r>
              <w:t xml:space="preserve">0.778</w:t>
            </w:r>
          </w:p>
        </w:tc>
        <w:tc>
          <w:tcPr/>
          <w:p>
            <w:pPr>
              <w:pStyle w:val="Compact"/>
              <w:jc w:val="right"/>
            </w:pPr>
            <w:r>
              <w:t xml:space="preserve">0.555</w:t>
            </w:r>
          </w:p>
        </w:tc>
        <w:tc>
          <w:tcPr/>
          <w:p>
            <w:pPr>
              <w:pStyle w:val="Compact"/>
              <w:jc w:val="right"/>
            </w:pPr>
            <w:r>
              <w:t xml:space="preserve">0.509</w:t>
            </w:r>
          </w:p>
        </w:tc>
        <w:tc>
          <w:tcPr/>
          <w:p>
            <w:pPr>
              <w:pStyle w:val="Compact"/>
              <w:jc w:val="right"/>
            </w:pPr>
            <w:r>
              <w:t xml:space="preserve">0.487</w:t>
            </w:r>
          </w:p>
        </w:tc>
        <w:tc>
          <w:tcPr/>
          <w:p>
            <w:pPr>
              <w:pStyle w:val="Compact"/>
              <w:jc w:val="right"/>
            </w:pPr>
            <w:r>
              <w:t xml:space="preserve">0.478</w:t>
            </w:r>
          </w:p>
        </w:tc>
        <w:tc>
          <w:tcPr/>
          <w:p>
            <w:pPr>
              <w:pStyle w:val="Compact"/>
              <w:jc w:val="right"/>
            </w:pPr>
            <w:r>
              <w:t xml:space="preserve">0.940</w:t>
            </w:r>
          </w:p>
        </w:tc>
        <w:tc>
          <w:tcPr/>
          <w:p>
            <w:pPr>
              <w:pStyle w:val="Compact"/>
              <w:jc w:val="right"/>
            </w:pPr>
            <w:r>
              <w:t xml:space="preserve">0.279</w:t>
            </w:r>
          </w:p>
        </w:tc>
        <w:tc>
          <w:tcPr/>
          <w:p>
            <w:pPr>
              <w:pStyle w:val="Compact"/>
              <w:jc w:val="right"/>
            </w:pPr>
            <w:r>
              <w:t xml:space="preserve">0.662</w:t>
            </w:r>
          </w:p>
        </w:tc>
      </w:tr>
      <w:tr>
        <w:tc>
          <w:tcPr/>
          <w:p>
            <w:pPr>
              <w:pStyle w:val="Compact"/>
              <w:jc w:val="right"/>
            </w:pPr>
            <w:r>
              <w:t xml:space="preserve">1.0</w:t>
            </w:r>
          </w:p>
        </w:tc>
        <w:tc>
          <w:tcPr/>
          <w:p>
            <w:pPr>
              <w:pStyle w:val="Compact"/>
              <w:jc w:val="left"/>
            </w:pPr>
            <w:r>
              <w:t xml:space="preserve">Pilea (defaults)</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right"/>
            </w:pPr>
            <w:r>
              <w:t xml:space="preserve">2.0</w:t>
            </w:r>
          </w:p>
        </w:tc>
        <w:tc>
          <w:tcPr/>
          <w:p>
            <w:pPr>
              <w:pStyle w:val="Compact"/>
              <w:jc w:val="left"/>
            </w:pPr>
            <w:r>
              <w:t xml:space="preserve">sk2bGrow: anchors + V-fit</w:t>
            </w:r>
          </w:p>
        </w:tc>
        <w:tc>
          <w:tcPr/>
          <w:p>
            <w:pPr>
              <w:pStyle w:val="Compact"/>
              <w:jc w:val="right"/>
            </w:pPr>
            <w:r>
              <w:t xml:space="preserve">16</w:t>
            </w:r>
          </w:p>
        </w:tc>
        <w:tc>
          <w:tcPr/>
          <w:p>
            <w:pPr>
              <w:pStyle w:val="Compact"/>
              <w:jc w:val="right"/>
            </w:pPr>
            <w:r>
              <w:t xml:space="preserve">0.958</w:t>
            </w:r>
          </w:p>
        </w:tc>
        <w:tc>
          <w:tcPr/>
          <w:p>
            <w:pPr>
              <w:pStyle w:val="Compact"/>
              <w:jc w:val="right"/>
            </w:pPr>
            <w:r>
              <w:t xml:space="preserve">0.153</w:t>
            </w:r>
          </w:p>
        </w:tc>
        <w:tc>
          <w:tcPr/>
          <w:p>
            <w:pPr>
              <w:pStyle w:val="Compact"/>
              <w:jc w:val="right"/>
            </w:pPr>
            <w:r>
              <w:t xml:space="preserve">-0.113</w:t>
            </w:r>
          </w:p>
        </w:tc>
        <w:tc>
          <w:tcPr/>
          <w:p>
            <w:pPr>
              <w:pStyle w:val="Compact"/>
              <w:jc w:val="right"/>
            </w:pPr>
            <w:r>
              <w:t xml:space="preserve">0.789</w:t>
            </w:r>
          </w:p>
        </w:tc>
        <w:tc>
          <w:tcPr/>
          <w:p>
            <w:pPr>
              <w:pStyle w:val="Compact"/>
              <w:jc w:val="right"/>
            </w:pPr>
            <w:r>
              <w:t xml:space="preserve">0.904</w:t>
            </w:r>
          </w:p>
        </w:tc>
        <w:tc>
          <w:tcPr/>
          <w:p>
            <w:pPr>
              <w:pStyle w:val="Compact"/>
              <w:jc w:val="right"/>
            </w:pPr>
            <w:r>
              <w:t xml:space="preserve">0.985</w:t>
            </w:r>
          </w:p>
        </w:tc>
        <w:tc>
          <w:tcPr/>
          <w:p>
            <w:pPr>
              <w:pStyle w:val="Compact"/>
              <w:jc w:val="right"/>
            </w:pPr>
            <w:r>
              <w:t xml:space="preserve">0.639</w:t>
            </w:r>
          </w:p>
        </w:tc>
        <w:tc>
          <w:tcPr/>
          <w:p>
            <w:pPr>
              <w:pStyle w:val="Compact"/>
              <w:jc w:val="right"/>
            </w:pPr>
            <w:r>
              <w:t xml:space="preserve">0.907</w:t>
            </w:r>
          </w:p>
        </w:tc>
      </w:tr>
      <w:tr>
        <w:tc>
          <w:tcPr/>
          <w:p>
            <w:pPr>
              <w:pStyle w:val="Compact"/>
              <w:jc w:val="right"/>
            </w:pPr>
            <w:r>
              <w:t xml:space="preserve">2.0</w:t>
            </w:r>
          </w:p>
        </w:tc>
        <w:tc>
          <w:tcPr/>
          <w:p>
            <w:pPr>
              <w:pStyle w:val="Compact"/>
              <w:jc w:val="left"/>
            </w:pPr>
            <w:r>
              <w:t xml:space="preserve">FracMinHash + V-fit</w:t>
            </w:r>
          </w:p>
        </w:tc>
        <w:tc>
          <w:tcPr/>
          <w:p>
            <w:pPr>
              <w:pStyle w:val="Compact"/>
              <w:jc w:val="right"/>
            </w:pPr>
            <w:r>
              <w:t xml:space="preserve">16</w:t>
            </w:r>
          </w:p>
        </w:tc>
        <w:tc>
          <w:tcPr/>
          <w:p>
            <w:pPr>
              <w:pStyle w:val="Compact"/>
              <w:jc w:val="right"/>
            </w:pPr>
            <w:r>
              <w:t xml:space="preserve">0.958</w:t>
            </w:r>
          </w:p>
        </w:tc>
        <w:tc>
          <w:tcPr/>
          <w:p>
            <w:pPr>
              <w:pStyle w:val="Compact"/>
              <w:jc w:val="right"/>
            </w:pPr>
            <w:r>
              <w:t xml:space="preserve">0.182</w:t>
            </w:r>
          </w:p>
        </w:tc>
        <w:tc>
          <w:tcPr/>
          <w:p>
            <w:pPr>
              <w:pStyle w:val="Compact"/>
              <w:jc w:val="right"/>
            </w:pPr>
            <w:r>
              <w:t xml:space="preserve">-0.147</w:t>
            </w:r>
          </w:p>
        </w:tc>
        <w:tc>
          <w:tcPr/>
          <w:p>
            <w:pPr>
              <w:pStyle w:val="Compact"/>
              <w:jc w:val="right"/>
            </w:pPr>
            <w:r>
              <w:t xml:space="preserve">0.783</w:t>
            </w:r>
          </w:p>
        </w:tc>
        <w:tc>
          <w:tcPr/>
          <w:p>
            <w:pPr>
              <w:pStyle w:val="Compact"/>
              <w:jc w:val="right"/>
            </w:pPr>
            <w:r>
              <w:t xml:space="preserve">0.891</w:t>
            </w:r>
          </w:p>
        </w:tc>
        <w:tc>
          <w:tcPr/>
          <w:p>
            <w:pPr>
              <w:pStyle w:val="Compact"/>
              <w:jc w:val="right"/>
            </w:pPr>
            <w:r>
              <w:t xml:space="preserve">0.987</w:t>
            </w:r>
          </w:p>
        </w:tc>
        <w:tc>
          <w:tcPr/>
          <w:p>
            <w:pPr>
              <w:pStyle w:val="Compact"/>
              <w:jc w:val="right"/>
            </w:pPr>
            <w:r>
              <w:t xml:space="preserve">0.657</w:t>
            </w:r>
          </w:p>
        </w:tc>
        <w:tc>
          <w:tcPr/>
          <w:p>
            <w:pPr>
              <w:pStyle w:val="Compact"/>
              <w:jc w:val="right"/>
            </w:pPr>
            <w:r>
              <w:t xml:space="preserve">0.892</w:t>
            </w:r>
          </w:p>
        </w:tc>
      </w:tr>
      <w:tr>
        <w:tc>
          <w:tcPr/>
          <w:p>
            <w:pPr>
              <w:pStyle w:val="Compact"/>
              <w:jc w:val="right"/>
            </w:pPr>
            <w:r>
              <w:t xml:space="preserve">2.0</w:t>
            </w:r>
          </w:p>
        </w:tc>
        <w:tc>
          <w:tcPr/>
          <w:p>
            <w:pPr>
              <w:pStyle w:val="Compact"/>
              <w:jc w:val="left"/>
            </w:pPr>
            <w:r>
              <w:t xml:space="preserve">anchors + rank regression</w:t>
            </w:r>
          </w:p>
        </w:tc>
        <w:tc>
          <w:tcPr/>
          <w:p>
            <w:pPr>
              <w:pStyle w:val="Compact"/>
              <w:jc w:val="right"/>
            </w:pPr>
            <w:r>
              <w:t xml:space="preserve">16</w:t>
            </w:r>
          </w:p>
        </w:tc>
        <w:tc>
          <w:tcPr/>
          <w:p>
            <w:pPr>
              <w:pStyle w:val="Compact"/>
              <w:jc w:val="right"/>
            </w:pPr>
            <w:r>
              <w:t xml:space="preserve">0.925</w:t>
            </w:r>
          </w:p>
        </w:tc>
        <w:tc>
          <w:tcPr/>
          <w:p>
            <w:pPr>
              <w:pStyle w:val="Compact"/>
              <w:jc w:val="right"/>
            </w:pPr>
            <w:r>
              <w:t xml:space="preserve">0.162</w:t>
            </w:r>
          </w:p>
        </w:tc>
        <w:tc>
          <w:tcPr/>
          <w:p>
            <w:pPr>
              <w:pStyle w:val="Compact"/>
              <w:jc w:val="right"/>
            </w:pPr>
            <w:r>
              <w:t xml:space="preserve">0.074</w:t>
            </w:r>
          </w:p>
        </w:tc>
        <w:tc>
          <w:tcPr/>
          <w:p>
            <w:pPr>
              <w:pStyle w:val="Compact"/>
              <w:jc w:val="right"/>
            </w:pPr>
            <w:r>
              <w:t xml:space="preserve">0.652</w:t>
            </w:r>
          </w:p>
        </w:tc>
        <w:tc>
          <w:tcPr/>
          <w:p>
            <w:pPr>
              <w:pStyle w:val="Compact"/>
              <w:jc w:val="right"/>
            </w:pPr>
            <w:r>
              <w:t xml:space="preserve">0.816</w:t>
            </w:r>
          </w:p>
        </w:tc>
        <w:tc>
          <w:tcPr/>
          <w:p>
            <w:pPr>
              <w:pStyle w:val="Compact"/>
              <w:jc w:val="right"/>
            </w:pPr>
            <w:r>
              <w:t xml:space="preserve">0.978</w:t>
            </w:r>
          </w:p>
        </w:tc>
        <w:tc>
          <w:tcPr/>
          <w:p>
            <w:pPr>
              <w:pStyle w:val="Compact"/>
              <w:jc w:val="right"/>
            </w:pPr>
            <w:r>
              <w:t xml:space="preserve">0.474</w:t>
            </w:r>
          </w:p>
        </w:tc>
        <w:tc>
          <w:tcPr/>
          <w:p>
            <w:pPr>
              <w:pStyle w:val="Compact"/>
              <w:jc w:val="right"/>
            </w:pPr>
            <w:r>
              <w:t xml:space="preserve">0.772</w:t>
            </w:r>
          </w:p>
        </w:tc>
      </w:tr>
      <w:tr>
        <w:tc>
          <w:tcPr/>
          <w:p>
            <w:pPr>
              <w:pStyle w:val="Compact"/>
              <w:jc w:val="right"/>
            </w:pPr>
            <w:r>
              <w:t xml:space="preserve">2.0</w:t>
            </w:r>
          </w:p>
        </w:tc>
        <w:tc>
          <w:tcPr/>
          <w:p>
            <w:pPr>
              <w:pStyle w:val="Compact"/>
              <w:jc w:val="left"/>
            </w:pPr>
            <w:r>
              <w:t xml:space="preserve">Pilea gates off: FracMinHash + rank</w:t>
            </w:r>
          </w:p>
        </w:tc>
        <w:tc>
          <w:tcPr/>
          <w:p>
            <w:pPr>
              <w:pStyle w:val="Compact"/>
              <w:jc w:val="right"/>
            </w:pPr>
            <w:r>
              <w:t xml:space="preserve">16</w:t>
            </w:r>
          </w:p>
        </w:tc>
        <w:tc>
          <w:tcPr/>
          <w:p>
            <w:pPr>
              <w:pStyle w:val="Compact"/>
              <w:jc w:val="right"/>
            </w:pPr>
            <w:r>
              <w:t xml:space="preserve">0.848</w:t>
            </w:r>
          </w:p>
        </w:tc>
        <w:tc>
          <w:tcPr/>
          <w:p>
            <w:pPr>
              <w:pStyle w:val="Compact"/>
              <w:jc w:val="right"/>
            </w:pPr>
            <w:r>
              <w:t xml:space="preserve">0.243</w:t>
            </w:r>
          </w:p>
        </w:tc>
        <w:tc>
          <w:tcPr/>
          <w:p>
            <w:pPr>
              <w:pStyle w:val="Compact"/>
              <w:jc w:val="right"/>
            </w:pPr>
            <w:r>
              <w:t xml:space="preserve">0.173</w:t>
            </w:r>
          </w:p>
        </w:tc>
        <w:tc>
          <w:tcPr/>
          <w:p>
            <w:pPr>
              <w:pStyle w:val="Compact"/>
              <w:jc w:val="right"/>
            </w:pPr>
            <w:r>
              <w:t xml:space="preserve">0.696</w:t>
            </w:r>
          </w:p>
        </w:tc>
        <w:tc>
          <w:tcPr/>
          <w:p>
            <w:pPr>
              <w:pStyle w:val="Compact"/>
              <w:jc w:val="right"/>
            </w:pPr>
            <w:r>
              <w:t xml:space="preserve">0.646</w:t>
            </w:r>
          </w:p>
        </w:tc>
        <w:tc>
          <w:tcPr/>
          <w:p>
            <w:pPr>
              <w:pStyle w:val="Compact"/>
              <w:jc w:val="right"/>
            </w:pPr>
            <w:r>
              <w:t xml:space="preserve">0.942</w:t>
            </w:r>
          </w:p>
        </w:tc>
        <w:tc>
          <w:tcPr/>
          <w:p>
            <w:pPr>
              <w:pStyle w:val="Compact"/>
              <w:jc w:val="right"/>
            </w:pPr>
            <w:r>
              <w:t xml:space="preserve">0.412</w:t>
            </w:r>
          </w:p>
        </w:tc>
        <w:tc>
          <w:tcPr/>
          <w:p>
            <w:pPr>
              <w:pStyle w:val="Compact"/>
              <w:jc w:val="right"/>
            </w:pPr>
            <w:r>
              <w:t xml:space="preserve">0.896</w:t>
            </w:r>
          </w:p>
        </w:tc>
      </w:tr>
      <w:tr>
        <w:tc>
          <w:tcPr/>
          <w:p>
            <w:pPr>
              <w:pStyle w:val="Compact"/>
              <w:jc w:val="right"/>
            </w:pPr>
            <w:r>
              <w:t xml:space="preserve">2.0</w:t>
            </w:r>
          </w:p>
        </w:tc>
        <w:tc>
          <w:tcPr/>
          <w:p>
            <w:pPr>
              <w:pStyle w:val="Compact"/>
              <w:jc w:val="left"/>
            </w:pPr>
            <w:r>
              <w:t xml:space="preserve">Pilea (defaults)</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right"/>
            </w:pPr>
            <w:r>
              <w:t xml:space="preserve">5.0</w:t>
            </w:r>
          </w:p>
        </w:tc>
        <w:tc>
          <w:tcPr/>
          <w:p>
            <w:pPr>
              <w:pStyle w:val="Compact"/>
              <w:jc w:val="left"/>
            </w:pPr>
            <w:r>
              <w:t xml:space="preserve">sk2bGrow: anchors + V-fit</w:t>
            </w:r>
          </w:p>
        </w:tc>
        <w:tc>
          <w:tcPr/>
          <w:p>
            <w:pPr>
              <w:pStyle w:val="Compact"/>
              <w:jc w:val="right"/>
            </w:pPr>
            <w:r>
              <w:t xml:space="preserve">16</w:t>
            </w:r>
          </w:p>
        </w:tc>
        <w:tc>
          <w:tcPr/>
          <w:p>
            <w:pPr>
              <w:pStyle w:val="Compact"/>
              <w:jc w:val="right"/>
            </w:pPr>
            <w:r>
              <w:t xml:space="preserve">0.970</w:t>
            </w:r>
          </w:p>
        </w:tc>
        <w:tc>
          <w:tcPr/>
          <w:p>
            <w:pPr>
              <w:pStyle w:val="Compact"/>
              <w:jc w:val="right"/>
            </w:pPr>
            <w:r>
              <w:t xml:space="preserve">0.060</w:t>
            </w:r>
          </w:p>
        </w:tc>
        <w:tc>
          <w:tcPr/>
          <w:p>
            <w:pPr>
              <w:pStyle w:val="Compact"/>
              <w:jc w:val="right"/>
            </w:pPr>
            <w:r>
              <w:t xml:space="preserve">-0.007</w:t>
            </w:r>
          </w:p>
        </w:tc>
        <w:tc>
          <w:tcPr/>
          <w:p>
            <w:pPr>
              <w:pStyle w:val="Compact"/>
              <w:jc w:val="right"/>
            </w:pPr>
            <w:r>
              <w:t xml:space="preserve">0.921</w:t>
            </w:r>
          </w:p>
        </w:tc>
        <w:tc>
          <w:tcPr/>
          <w:p>
            <w:pPr>
              <w:pStyle w:val="Compact"/>
              <w:jc w:val="right"/>
            </w:pPr>
            <w:r>
              <w:t xml:space="preserve">0.944</w:t>
            </w:r>
          </w:p>
        </w:tc>
        <w:tc>
          <w:tcPr/>
          <w:p>
            <w:pPr>
              <w:pStyle w:val="Compact"/>
              <w:jc w:val="right"/>
            </w:pPr>
            <w:r>
              <w:t xml:space="preserve">0.990</w:t>
            </w:r>
          </w:p>
        </w:tc>
        <w:tc>
          <w:tcPr/>
          <w:p>
            <w:pPr>
              <w:pStyle w:val="Compact"/>
              <w:jc w:val="right"/>
            </w:pPr>
            <w:r>
              <w:t xml:space="preserve">0.803</w:t>
            </w:r>
          </w:p>
        </w:tc>
        <w:tc>
          <w:tcPr/>
          <w:p>
            <w:pPr>
              <w:pStyle w:val="Compact"/>
              <w:jc w:val="right"/>
            </w:pPr>
            <w:r>
              <w:t xml:space="preserve">1.047</w:t>
            </w:r>
          </w:p>
        </w:tc>
      </w:tr>
      <w:tr>
        <w:tc>
          <w:tcPr/>
          <w:p>
            <w:pPr>
              <w:pStyle w:val="Compact"/>
              <w:jc w:val="right"/>
            </w:pPr>
            <w:r>
              <w:t xml:space="preserve">5.0</w:t>
            </w:r>
          </w:p>
        </w:tc>
        <w:tc>
          <w:tcPr/>
          <w:p>
            <w:pPr>
              <w:pStyle w:val="Compact"/>
              <w:jc w:val="left"/>
            </w:pPr>
            <w:r>
              <w:t xml:space="preserve">FracMinHash + V-fit</w:t>
            </w:r>
          </w:p>
        </w:tc>
        <w:tc>
          <w:tcPr/>
          <w:p>
            <w:pPr>
              <w:pStyle w:val="Compact"/>
              <w:jc w:val="right"/>
            </w:pPr>
            <w:r>
              <w:t xml:space="preserve">16</w:t>
            </w:r>
          </w:p>
        </w:tc>
        <w:tc>
          <w:tcPr/>
          <w:p>
            <w:pPr>
              <w:pStyle w:val="Compact"/>
              <w:jc w:val="right"/>
            </w:pPr>
            <w:r>
              <w:t xml:space="preserve">0.990</w:t>
            </w:r>
          </w:p>
        </w:tc>
        <w:tc>
          <w:tcPr/>
          <w:p>
            <w:pPr>
              <w:pStyle w:val="Compact"/>
              <w:jc w:val="right"/>
            </w:pPr>
            <w:r>
              <w:t xml:space="preserve">0.054</w:t>
            </w:r>
          </w:p>
        </w:tc>
        <w:tc>
          <w:tcPr/>
          <w:p>
            <w:pPr>
              <w:pStyle w:val="Compact"/>
              <w:jc w:val="right"/>
            </w:pPr>
            <w:r>
              <w:t xml:space="preserve">-0.015</w:t>
            </w:r>
          </w:p>
        </w:tc>
        <w:tc>
          <w:tcPr/>
          <w:p>
            <w:pPr>
              <w:pStyle w:val="Compact"/>
              <w:jc w:val="right"/>
            </w:pPr>
            <w:r>
              <w:t xml:space="preserve">0.924</w:t>
            </w:r>
          </w:p>
        </w:tc>
        <w:tc>
          <w:tcPr/>
          <w:p>
            <w:pPr>
              <w:pStyle w:val="Compact"/>
              <w:jc w:val="right"/>
            </w:pPr>
            <w:r>
              <w:t xml:space="preserve">0.976</w:t>
            </w:r>
          </w:p>
        </w:tc>
        <w:tc>
          <w:tcPr/>
          <w:p>
            <w:pPr>
              <w:pStyle w:val="Compact"/>
              <w:jc w:val="right"/>
            </w:pPr>
            <w:r>
              <w:t xml:space="preserve">0.997</w:t>
            </w:r>
          </w:p>
        </w:tc>
        <w:tc>
          <w:tcPr/>
          <w:p>
            <w:pPr>
              <w:pStyle w:val="Compact"/>
              <w:jc w:val="right"/>
            </w:pPr>
            <w:r>
              <w:t xml:space="preserve">0.865</w:t>
            </w:r>
          </w:p>
        </w:tc>
        <w:tc>
          <w:tcPr/>
          <w:p>
            <w:pPr>
              <w:pStyle w:val="Compact"/>
              <w:jc w:val="right"/>
            </w:pPr>
            <w:r>
              <w:t xml:space="preserve">0.990</w:t>
            </w:r>
          </w:p>
        </w:tc>
      </w:tr>
      <w:tr>
        <w:tc>
          <w:tcPr/>
          <w:p>
            <w:pPr>
              <w:pStyle w:val="Compact"/>
              <w:jc w:val="right"/>
            </w:pPr>
            <w:r>
              <w:t xml:space="preserve">5.0</w:t>
            </w:r>
          </w:p>
        </w:tc>
        <w:tc>
          <w:tcPr/>
          <w:p>
            <w:pPr>
              <w:pStyle w:val="Compact"/>
              <w:jc w:val="left"/>
            </w:pPr>
            <w:r>
              <w:t xml:space="preserve">anchors + rank regression</w:t>
            </w:r>
          </w:p>
        </w:tc>
        <w:tc>
          <w:tcPr/>
          <w:p>
            <w:pPr>
              <w:pStyle w:val="Compact"/>
              <w:jc w:val="right"/>
            </w:pPr>
            <w:r>
              <w:t xml:space="preserve">16</w:t>
            </w:r>
          </w:p>
        </w:tc>
        <w:tc>
          <w:tcPr/>
          <w:p>
            <w:pPr>
              <w:pStyle w:val="Compact"/>
              <w:jc w:val="right"/>
            </w:pPr>
            <w:r>
              <w:t xml:space="preserve">0.947</w:t>
            </w:r>
          </w:p>
        </w:tc>
        <w:tc>
          <w:tcPr/>
          <w:p>
            <w:pPr>
              <w:pStyle w:val="Compact"/>
              <w:jc w:val="right"/>
            </w:pPr>
            <w:r>
              <w:t xml:space="preserve">0.089</w:t>
            </w:r>
          </w:p>
        </w:tc>
        <w:tc>
          <w:tcPr/>
          <w:p>
            <w:pPr>
              <w:pStyle w:val="Compact"/>
              <w:jc w:val="right"/>
            </w:pPr>
            <w:r>
              <w:t xml:space="preserve">0.049</w:t>
            </w:r>
          </w:p>
        </w:tc>
        <w:tc>
          <w:tcPr/>
          <w:p>
            <w:pPr>
              <w:pStyle w:val="Compact"/>
              <w:jc w:val="right"/>
            </w:pPr>
            <w:r>
              <w:t xml:space="preserve">0.868</w:t>
            </w:r>
          </w:p>
        </w:tc>
        <w:tc>
          <w:tcPr/>
          <w:p>
            <w:pPr>
              <w:pStyle w:val="Compact"/>
              <w:jc w:val="right"/>
            </w:pPr>
            <w:r>
              <w:t xml:space="preserve">0.880</w:t>
            </w:r>
          </w:p>
        </w:tc>
        <w:tc>
          <w:tcPr/>
          <w:p>
            <w:pPr>
              <w:pStyle w:val="Compact"/>
              <w:jc w:val="right"/>
            </w:pPr>
            <w:r>
              <w:t xml:space="preserve">0.985</w:t>
            </w:r>
          </w:p>
        </w:tc>
        <w:tc>
          <w:tcPr/>
          <w:p>
            <w:pPr>
              <w:pStyle w:val="Compact"/>
              <w:jc w:val="right"/>
            </w:pPr>
            <w:r>
              <w:t xml:space="preserve">0.714</w:t>
            </w:r>
          </w:p>
        </w:tc>
        <w:tc>
          <w:tcPr/>
          <w:p>
            <w:pPr>
              <w:pStyle w:val="Compact"/>
              <w:jc w:val="right"/>
            </w:pPr>
            <w:r>
              <w:t xml:space="preserve">1.017</w:t>
            </w:r>
          </w:p>
        </w:tc>
      </w:tr>
      <w:tr>
        <w:tc>
          <w:tcPr/>
          <w:p>
            <w:pPr>
              <w:pStyle w:val="Compact"/>
              <w:jc w:val="right"/>
            </w:pPr>
            <w:r>
              <w:t xml:space="preserve">5.0</w:t>
            </w:r>
          </w:p>
        </w:tc>
        <w:tc>
          <w:tcPr/>
          <w:p>
            <w:pPr>
              <w:pStyle w:val="Compact"/>
              <w:jc w:val="left"/>
            </w:pPr>
            <w:r>
              <w:t xml:space="preserve">Pilea gates off: FracMinHash + rank</w:t>
            </w:r>
          </w:p>
        </w:tc>
        <w:tc>
          <w:tcPr/>
          <w:p>
            <w:pPr>
              <w:pStyle w:val="Compact"/>
              <w:jc w:val="right"/>
            </w:pPr>
            <w:r>
              <w:t xml:space="preserve">16</w:t>
            </w:r>
          </w:p>
        </w:tc>
        <w:tc>
          <w:tcPr/>
          <w:p>
            <w:pPr>
              <w:pStyle w:val="Compact"/>
              <w:jc w:val="right"/>
            </w:pPr>
            <w:r>
              <w:t xml:space="preserve">0.988</w:t>
            </w:r>
          </w:p>
        </w:tc>
        <w:tc>
          <w:tcPr/>
          <w:p>
            <w:pPr>
              <w:pStyle w:val="Compact"/>
              <w:jc w:val="right"/>
            </w:pPr>
            <w:r>
              <w:t xml:space="preserve">0.113</w:t>
            </w:r>
          </w:p>
        </w:tc>
        <w:tc>
          <w:tcPr/>
          <w:p>
            <w:pPr>
              <w:pStyle w:val="Compact"/>
              <w:jc w:val="right"/>
            </w:pPr>
            <w:r>
              <w:t xml:space="preserve">0.091</w:t>
            </w:r>
          </w:p>
        </w:tc>
        <w:tc>
          <w:tcPr/>
          <w:p>
            <w:pPr>
              <w:pStyle w:val="Compact"/>
              <w:jc w:val="right"/>
            </w:pPr>
            <w:r>
              <w:t xml:space="preserve">0.800</w:t>
            </w:r>
          </w:p>
        </w:tc>
        <w:tc>
          <w:tcPr/>
          <w:p>
            <w:pPr>
              <w:pStyle w:val="Compact"/>
              <w:jc w:val="right"/>
            </w:pPr>
            <w:r>
              <w:t xml:space="preserve">0.970</w:t>
            </w:r>
          </w:p>
        </w:tc>
        <w:tc>
          <w:tcPr/>
          <w:p>
            <w:pPr>
              <w:pStyle w:val="Compact"/>
              <w:jc w:val="right"/>
            </w:pPr>
            <w:r>
              <w:t xml:space="preserve">0.997</w:t>
            </w:r>
          </w:p>
        </w:tc>
        <w:tc>
          <w:tcPr/>
          <w:p>
            <w:pPr>
              <w:pStyle w:val="Compact"/>
              <w:jc w:val="right"/>
            </w:pPr>
            <w:r>
              <w:t xml:space="preserve">0.743</w:t>
            </w:r>
          </w:p>
        </w:tc>
        <w:tc>
          <w:tcPr/>
          <w:p>
            <w:pPr>
              <w:pStyle w:val="Compact"/>
              <w:jc w:val="right"/>
            </w:pPr>
            <w:r>
              <w:t xml:space="preserve">0.858</w:t>
            </w:r>
          </w:p>
        </w:tc>
      </w:tr>
      <w:tr>
        <w:tc>
          <w:tcPr/>
          <w:p>
            <w:pPr>
              <w:pStyle w:val="Compact"/>
              <w:jc w:val="right"/>
            </w:pPr>
            <w:r>
              <w:t xml:space="preserve">5.0</w:t>
            </w:r>
          </w:p>
        </w:tc>
        <w:tc>
          <w:tcPr/>
          <w:p>
            <w:pPr>
              <w:pStyle w:val="Compact"/>
              <w:jc w:val="left"/>
            </w:pPr>
            <w:r>
              <w:t xml:space="preserve">Pilea (defaults)</w:t>
            </w:r>
          </w:p>
        </w:tc>
        <w:tc>
          <w:tcPr/>
          <w:p>
            <w:pPr>
              <w:pStyle w:val="Compact"/>
              <w:jc w:val="right"/>
            </w:pPr>
            <w:r>
              <w:t xml:space="preserve">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r>
        <w:tc>
          <w:tcPr/>
          <w:p>
            <w:pPr>
              <w:pStyle w:val="Compact"/>
              <w:jc w:val="right"/>
            </w:pPr>
            <w:r>
              <w:t xml:space="preserve">10.0</w:t>
            </w:r>
          </w:p>
        </w:tc>
        <w:tc>
          <w:tcPr/>
          <w:p>
            <w:pPr>
              <w:pStyle w:val="Compact"/>
              <w:jc w:val="left"/>
            </w:pPr>
            <w:r>
              <w:t xml:space="preserve">sk2bGrow: anchors + V-fit</w:t>
            </w:r>
          </w:p>
        </w:tc>
        <w:tc>
          <w:tcPr/>
          <w:p>
            <w:pPr>
              <w:pStyle w:val="Compact"/>
              <w:jc w:val="right"/>
            </w:pPr>
            <w:r>
              <w:t xml:space="preserve">16</w:t>
            </w:r>
          </w:p>
        </w:tc>
        <w:tc>
          <w:tcPr/>
          <w:p>
            <w:pPr>
              <w:pStyle w:val="Compact"/>
              <w:jc w:val="right"/>
            </w:pPr>
            <w:r>
              <w:t xml:space="preserve">0.970</w:t>
            </w:r>
          </w:p>
        </w:tc>
        <w:tc>
          <w:tcPr/>
          <w:p>
            <w:pPr>
              <w:pStyle w:val="Compact"/>
              <w:jc w:val="right"/>
            </w:pPr>
            <w:r>
              <w:t xml:space="preserve">0.047</w:t>
            </w:r>
          </w:p>
        </w:tc>
        <w:tc>
          <w:tcPr/>
          <w:p>
            <w:pPr>
              <w:pStyle w:val="Compact"/>
              <w:jc w:val="right"/>
            </w:pPr>
            <w:r>
              <w:t xml:space="preserve">0.021</w:t>
            </w:r>
          </w:p>
        </w:tc>
        <w:tc>
          <w:tcPr/>
          <w:p>
            <w:pPr>
              <w:pStyle w:val="Compact"/>
              <w:jc w:val="right"/>
            </w:pPr>
            <w:r>
              <w:t xml:space="preserve">0.948</w:t>
            </w:r>
          </w:p>
        </w:tc>
        <w:tc>
          <w:tcPr/>
          <w:p>
            <w:pPr>
              <w:pStyle w:val="Compact"/>
              <w:jc w:val="right"/>
            </w:pPr>
            <w:r>
              <w:t xml:space="preserve">0.933</w:t>
            </w:r>
          </w:p>
        </w:tc>
        <w:tc>
          <w:tcPr/>
          <w:p>
            <w:pPr>
              <w:pStyle w:val="Compact"/>
              <w:jc w:val="right"/>
            </w:pPr>
            <w:r>
              <w:t xml:space="preserve">0.990</w:t>
            </w:r>
          </w:p>
        </w:tc>
        <w:tc>
          <w:tcPr/>
          <w:p>
            <w:pPr>
              <w:pStyle w:val="Compact"/>
              <w:jc w:val="right"/>
            </w:pPr>
            <w:r>
              <w:t xml:space="preserve">0.831</w:t>
            </w:r>
          </w:p>
        </w:tc>
        <w:tc>
          <w:tcPr/>
          <w:p>
            <w:pPr>
              <w:pStyle w:val="Compact"/>
              <w:jc w:val="right"/>
            </w:pPr>
            <w:r>
              <w:t xml:space="preserve">1.062</w:t>
            </w:r>
          </w:p>
        </w:tc>
      </w:tr>
      <w:tr>
        <w:tc>
          <w:tcPr/>
          <w:p>
            <w:pPr>
              <w:pStyle w:val="Compact"/>
              <w:jc w:val="right"/>
            </w:pPr>
            <w:r>
              <w:t xml:space="preserve">10.0</w:t>
            </w:r>
          </w:p>
        </w:tc>
        <w:tc>
          <w:tcPr/>
          <w:p>
            <w:pPr>
              <w:pStyle w:val="Compact"/>
              <w:jc w:val="left"/>
            </w:pPr>
            <w:r>
              <w:t xml:space="preserve">FracMinHash + V-fit</w:t>
            </w:r>
          </w:p>
        </w:tc>
        <w:tc>
          <w:tcPr/>
          <w:p>
            <w:pPr>
              <w:pStyle w:val="Compact"/>
              <w:jc w:val="right"/>
            </w:pPr>
            <w:r>
              <w:t xml:space="preserve">16</w:t>
            </w:r>
          </w:p>
        </w:tc>
        <w:tc>
          <w:tcPr/>
          <w:p>
            <w:pPr>
              <w:pStyle w:val="Compact"/>
              <w:jc w:val="right"/>
            </w:pPr>
            <w:r>
              <w:t xml:space="preserve">0.985</w:t>
            </w:r>
          </w:p>
        </w:tc>
        <w:tc>
          <w:tcPr/>
          <w:p>
            <w:pPr>
              <w:pStyle w:val="Compact"/>
              <w:jc w:val="right"/>
            </w:pPr>
            <w:r>
              <w:t xml:space="preserve">0.038</w:t>
            </w:r>
          </w:p>
        </w:tc>
        <w:tc>
          <w:tcPr/>
          <w:p>
            <w:pPr>
              <w:pStyle w:val="Compact"/>
              <w:jc w:val="right"/>
            </w:pPr>
            <w:r>
              <w:t xml:space="preserve">0.011</w:t>
            </w:r>
          </w:p>
        </w:tc>
        <w:tc>
          <w:tcPr/>
          <w:p>
            <w:pPr>
              <w:pStyle w:val="Compact"/>
              <w:jc w:val="right"/>
            </w:pPr>
            <w:r>
              <w:t xml:space="preserve">0.938</w:t>
            </w:r>
          </w:p>
        </w:tc>
        <w:tc>
          <w:tcPr/>
          <w:p>
            <w:pPr>
              <w:pStyle w:val="Compact"/>
              <w:jc w:val="right"/>
            </w:pPr>
            <w:r>
              <w:t xml:space="preserve">0.967</w:t>
            </w:r>
          </w:p>
        </w:tc>
        <w:tc>
          <w:tcPr/>
          <w:p>
            <w:pPr>
              <w:pStyle w:val="Compact"/>
              <w:jc w:val="right"/>
            </w:pPr>
            <w:r>
              <w:t xml:space="preserve">0.995</w:t>
            </w:r>
          </w:p>
        </w:tc>
        <w:tc>
          <w:tcPr/>
          <w:p>
            <w:pPr>
              <w:pStyle w:val="Compact"/>
              <w:jc w:val="right"/>
            </w:pPr>
            <w:r>
              <w:t xml:space="preserve">0.853</w:t>
            </w:r>
          </w:p>
        </w:tc>
        <w:tc>
          <w:tcPr/>
          <w:p>
            <w:pPr>
              <w:pStyle w:val="Compact"/>
              <w:jc w:val="right"/>
            </w:pPr>
            <w:r>
              <w:t xml:space="preserve">1.012</w:t>
            </w:r>
          </w:p>
        </w:tc>
      </w:tr>
      <w:tr>
        <w:tc>
          <w:tcPr/>
          <w:p>
            <w:pPr>
              <w:pStyle w:val="Compact"/>
              <w:jc w:val="right"/>
            </w:pPr>
            <w:r>
              <w:t xml:space="preserve">10.0</w:t>
            </w:r>
          </w:p>
        </w:tc>
        <w:tc>
          <w:tcPr/>
          <w:p>
            <w:pPr>
              <w:pStyle w:val="Compact"/>
              <w:jc w:val="left"/>
            </w:pPr>
            <w:r>
              <w:t xml:space="preserve">anchors + rank regression</w:t>
            </w:r>
          </w:p>
        </w:tc>
        <w:tc>
          <w:tcPr/>
          <w:p>
            <w:pPr>
              <w:pStyle w:val="Compact"/>
              <w:jc w:val="right"/>
            </w:pPr>
            <w:r>
              <w:t xml:space="preserve">16</w:t>
            </w:r>
          </w:p>
        </w:tc>
        <w:tc>
          <w:tcPr/>
          <w:p>
            <w:pPr>
              <w:pStyle w:val="Compact"/>
              <w:jc w:val="right"/>
            </w:pPr>
            <w:r>
              <w:t xml:space="preserve">0.938</w:t>
            </w:r>
          </w:p>
        </w:tc>
        <w:tc>
          <w:tcPr/>
          <w:p>
            <w:pPr>
              <w:pStyle w:val="Compact"/>
              <w:jc w:val="right"/>
            </w:pPr>
            <w:r>
              <w:t xml:space="preserve">0.105</w:t>
            </w:r>
          </w:p>
        </w:tc>
        <w:tc>
          <w:tcPr/>
          <w:p>
            <w:pPr>
              <w:pStyle w:val="Compact"/>
              <w:jc w:val="right"/>
            </w:pPr>
            <w:r>
              <w:t xml:space="preserve">0.062</w:t>
            </w:r>
          </w:p>
        </w:tc>
        <w:tc>
          <w:tcPr/>
          <w:p>
            <w:pPr>
              <w:pStyle w:val="Compact"/>
              <w:jc w:val="right"/>
            </w:pPr>
            <w:r>
              <w:t xml:space="preserve">0.900</w:t>
            </w:r>
          </w:p>
        </w:tc>
        <w:tc>
          <w:tcPr/>
          <w:p>
            <w:pPr>
              <w:pStyle w:val="Compact"/>
              <w:jc w:val="right"/>
            </w:pPr>
            <w:r>
              <w:t xml:space="preserve">0.828</w:t>
            </w:r>
          </w:p>
        </w:tc>
        <w:tc>
          <w:tcPr/>
          <w:p>
            <w:pPr>
              <w:pStyle w:val="Compact"/>
              <w:jc w:val="right"/>
            </w:pPr>
            <w:r>
              <w:t xml:space="preserve">0.985</w:t>
            </w:r>
          </w:p>
        </w:tc>
        <w:tc>
          <w:tcPr/>
          <w:p>
            <w:pPr>
              <w:pStyle w:val="Compact"/>
              <w:jc w:val="right"/>
            </w:pPr>
            <w:r>
              <w:t xml:space="preserve">0.725</w:t>
            </w:r>
          </w:p>
        </w:tc>
        <w:tc>
          <w:tcPr/>
          <w:p>
            <w:pPr>
              <w:pStyle w:val="Compact"/>
              <w:jc w:val="right"/>
            </w:pPr>
            <w:r>
              <w:t xml:space="preserve">1.047</w:t>
            </w:r>
          </w:p>
        </w:tc>
      </w:tr>
      <w:tr>
        <w:tc>
          <w:tcPr/>
          <w:p>
            <w:pPr>
              <w:pStyle w:val="Compact"/>
              <w:jc w:val="right"/>
            </w:pPr>
            <w:r>
              <w:t xml:space="preserve">10.0</w:t>
            </w:r>
          </w:p>
        </w:tc>
        <w:tc>
          <w:tcPr/>
          <w:p>
            <w:pPr>
              <w:pStyle w:val="Compact"/>
              <w:jc w:val="left"/>
            </w:pPr>
            <w:r>
              <w:t xml:space="preserve">Pilea gates off: FracMinHash + rank</w:t>
            </w:r>
          </w:p>
        </w:tc>
        <w:tc>
          <w:tcPr/>
          <w:p>
            <w:pPr>
              <w:pStyle w:val="Compact"/>
              <w:jc w:val="right"/>
            </w:pPr>
            <w:r>
              <w:t xml:space="preserve">16</w:t>
            </w:r>
          </w:p>
        </w:tc>
        <w:tc>
          <w:tcPr/>
          <w:p>
            <w:pPr>
              <w:pStyle w:val="Compact"/>
              <w:jc w:val="right"/>
            </w:pPr>
            <w:r>
              <w:t xml:space="preserve">0.973</w:t>
            </w:r>
          </w:p>
        </w:tc>
        <w:tc>
          <w:tcPr/>
          <w:p>
            <w:pPr>
              <w:pStyle w:val="Compact"/>
              <w:jc w:val="right"/>
            </w:pPr>
            <w:r>
              <w:t xml:space="preserve">0.117</w:t>
            </w:r>
          </w:p>
        </w:tc>
        <w:tc>
          <w:tcPr/>
          <w:p>
            <w:pPr>
              <w:pStyle w:val="Compact"/>
              <w:jc w:val="right"/>
            </w:pPr>
            <w:r>
              <w:t xml:space="preserve">-0.104</w:t>
            </w:r>
          </w:p>
        </w:tc>
        <w:tc>
          <w:tcPr/>
          <w:p>
            <w:pPr>
              <w:pStyle w:val="Compact"/>
              <w:jc w:val="right"/>
            </w:pPr>
            <w:r>
              <w:t xml:space="preserve">0.822</w:t>
            </w:r>
          </w:p>
        </w:tc>
        <w:tc>
          <w:tcPr/>
          <w:p>
            <w:pPr>
              <w:pStyle w:val="Compact"/>
              <w:jc w:val="right"/>
            </w:pPr>
            <w:r>
              <w:t xml:space="preserve">0.941</w:t>
            </w:r>
          </w:p>
        </w:tc>
        <w:tc>
          <w:tcPr/>
          <w:p>
            <w:pPr>
              <w:pStyle w:val="Compact"/>
              <w:jc w:val="right"/>
            </w:pPr>
            <w:r>
              <w:t xml:space="preserve">0.992</w:t>
            </w:r>
          </w:p>
        </w:tc>
        <w:tc>
          <w:tcPr/>
          <w:p>
            <w:pPr>
              <w:pStyle w:val="Compact"/>
              <w:jc w:val="right"/>
            </w:pPr>
            <w:r>
              <w:t xml:space="preserve">0.707</w:t>
            </w:r>
          </w:p>
        </w:tc>
        <w:tc>
          <w:tcPr/>
          <w:p>
            <w:pPr>
              <w:pStyle w:val="Compact"/>
              <w:jc w:val="right"/>
            </w:pPr>
            <w:r>
              <w:t xml:space="preserve">0.912</w:t>
            </w:r>
          </w:p>
        </w:tc>
      </w:tr>
      <w:tr>
        <w:tc>
          <w:tcPr/>
          <w:p>
            <w:pPr>
              <w:pStyle w:val="Compact"/>
              <w:jc w:val="right"/>
            </w:pPr>
            <w:r>
              <w:t xml:space="preserve">10.0</w:t>
            </w:r>
          </w:p>
        </w:tc>
        <w:tc>
          <w:tcPr/>
          <w:p>
            <w:pPr>
              <w:pStyle w:val="Compact"/>
              <w:jc w:val="left"/>
            </w:pPr>
            <w:r>
              <w:t xml:space="preserve">Pilea (defaults)</w:t>
            </w:r>
          </w:p>
        </w:tc>
        <w:tc>
          <w:tcPr/>
          <w:p>
            <w:pPr>
              <w:pStyle w:val="Compact"/>
              <w:jc w:val="right"/>
            </w:pPr>
            <w:r>
              <w:t xml:space="preserve">16</w:t>
            </w:r>
          </w:p>
        </w:tc>
        <w:tc>
          <w:tcPr/>
          <w:p>
            <w:pPr>
              <w:pStyle w:val="Compact"/>
              <w:jc w:val="right"/>
            </w:pPr>
            <w:r>
              <w:t xml:space="preserve">0.973</w:t>
            </w:r>
          </w:p>
        </w:tc>
        <w:tc>
          <w:tcPr/>
          <w:p>
            <w:pPr>
              <w:pStyle w:val="Compact"/>
              <w:jc w:val="right"/>
            </w:pPr>
            <w:r>
              <w:t xml:space="preserve">0.117</w:t>
            </w:r>
          </w:p>
        </w:tc>
        <w:tc>
          <w:tcPr/>
          <w:p>
            <w:pPr>
              <w:pStyle w:val="Compact"/>
              <w:jc w:val="right"/>
            </w:pPr>
            <w:r>
              <w:t xml:space="preserve">-0.104</w:t>
            </w:r>
          </w:p>
        </w:tc>
        <w:tc>
          <w:tcPr/>
          <w:p>
            <w:pPr>
              <w:pStyle w:val="Compact"/>
              <w:jc w:val="right"/>
            </w:pPr>
            <w:r>
              <w:t xml:space="preserve">0.822</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nan</w:t>
            </w:r>
          </w:p>
        </w:tc>
      </w:tr>
    </w:tbl>
    <w:p>
      <w:pPr>
        <w:pStyle w:val="BodyText"/>
      </w:pPr>
      <w:r>
        <w:t xml:space="preserve">Pearson r is against independently measured growth rate. RMSE is against the lambda*C-derived prediction, which is NOT independent (derived from the same reads by marker-frequency analysis). Blank rows: the method returned no estimate, or a constant. The first four methods are the 2x2 of sketch (2bRAD anchors vs FracMinHash) by estimator (coordinate V-fit vs sorted-rank regression), all run on the same subsampled reads. pearson_r and slope carry 95% CIs from a media bootstrap (10,000 resamples of the 16 media; data/ci_bootstrap/table2_ci.tsv).</w:t>
      </w:r>
    </w:p>
    <w:p>
      <w:pPr>
        <w:pStyle w:val="BodyText"/>
      </w:pPr>
      <w:r>
        <w:rPr>
          <w:b/>
          <w:bCs/>
        </w:rPr>
        <w:t xml:space="preserve">Table 3. Multi-strain simulation: accuracy and computational cost</w:t>
      </w:r>
    </w:p>
    <w:tbl>
      <w:tblPr>
        <w:tblStyle w:val="Table"/>
        <w:tblW w:type="pct" w:w="5000"/>
        <w:tblLayout w:type="fixed"/>
        <w:tblLook w:firstRow="1" w:lastRow="0" w:firstColumn="0" w:lastColumn="0" w:noHBand="0" w:noVBand="0" w:val="0020"/>
      </w:tblPr>
      <w:tblGrid>
        <w:gridCol w:w="1535"/>
        <w:gridCol w:w="1050"/>
        <w:gridCol w:w="969"/>
        <w:gridCol w:w="808"/>
        <w:gridCol w:w="727"/>
        <w:gridCol w:w="727"/>
        <w:gridCol w:w="888"/>
        <w:gridCol w:w="1212"/>
      </w:tblGrid>
      <w:tr>
        <w:trPr>
          <w:tblHeader w:val="on"/>
        </w:trPr>
        <w:tc>
          <w:tcPr/>
          <w:p>
            <w:pPr>
              <w:pStyle w:val="Compact"/>
              <w:jc w:val="left"/>
            </w:pPr>
            <w:r>
              <w:t xml:space="preserve">arm</w:t>
            </w:r>
          </w:p>
        </w:tc>
        <w:tc>
          <w:tcPr/>
          <w:p>
            <w:pPr>
              <w:pStyle w:val="Compact"/>
              <w:jc w:val="right"/>
            </w:pPr>
            <w:r>
              <w:t xml:space="preserve">n_strains</w:t>
            </w:r>
          </w:p>
        </w:tc>
        <w:tc>
          <w:tcPr/>
          <w:p>
            <w:pPr>
              <w:pStyle w:val="Compact"/>
              <w:jc w:val="right"/>
            </w:pPr>
            <w:r>
              <w:t xml:space="preserve">coverage</w:t>
            </w:r>
          </w:p>
        </w:tc>
        <w:tc>
          <w:tcPr/>
          <w:p>
            <w:pPr>
              <w:pStyle w:val="Compact"/>
              <w:jc w:val="right"/>
            </w:pPr>
            <w:r>
              <w:t xml:space="preserve">recall</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seconds</w:t>
            </w:r>
          </w:p>
        </w:tc>
        <w:tc>
          <w:tcPr/>
          <w:p>
            <w:pPr>
              <w:pStyle w:val="Compact"/>
              <w:jc w:val="right"/>
            </w:pPr>
            <w:r>
              <w:t xml:space="preserve">peak_rss_mb</w:t>
            </w:r>
          </w:p>
        </w:tc>
      </w:tr>
      <w:tr>
        <w:tc>
          <w:tcPr/>
          <w:p>
            <w:pPr>
              <w:pStyle w:val="Compact"/>
              <w:jc w:val="left"/>
            </w:pPr>
            <w:r>
              <w:t xml:space="preserve">Pilea (defaults)</w:t>
            </w:r>
          </w:p>
        </w:tc>
        <w:tc>
          <w:tcPr/>
          <w:p>
            <w:pPr>
              <w:pStyle w:val="Compact"/>
              <w:jc w:val="right"/>
            </w:pPr>
            <w:r>
              <w:t xml:space="preserve">4</w:t>
            </w:r>
          </w:p>
        </w:tc>
        <w:tc>
          <w:tcPr/>
          <w:p>
            <w:pPr>
              <w:pStyle w:val="Compact"/>
              <w:jc w:val="right"/>
            </w:pPr>
            <w:r>
              <w:t xml:space="preserve">1.0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1.210</w:t>
            </w:r>
          </w:p>
        </w:tc>
        <w:tc>
          <w:tcPr/>
          <w:p>
            <w:pPr>
              <w:pStyle w:val="Compact"/>
              <w:jc w:val="right"/>
            </w:pPr>
            <w:r>
              <w:t xml:space="preserve">181.674</w:t>
            </w:r>
          </w:p>
        </w:tc>
      </w:tr>
      <w:tr>
        <w:tc>
          <w:tcPr/>
          <w:p>
            <w:pPr>
              <w:pStyle w:val="Compact"/>
              <w:jc w:val="left"/>
            </w:pPr>
            <w:r>
              <w:t xml:space="preserve">Pilea (defaults)</w:t>
            </w:r>
          </w:p>
        </w:tc>
        <w:tc>
          <w:tcPr/>
          <w:p>
            <w:pPr>
              <w:pStyle w:val="Compact"/>
              <w:jc w:val="right"/>
            </w:pPr>
            <w:r>
              <w:t xml:space="preserve">4</w:t>
            </w:r>
          </w:p>
        </w:tc>
        <w:tc>
          <w:tcPr/>
          <w:p>
            <w:pPr>
              <w:pStyle w:val="Compact"/>
              <w:jc w:val="right"/>
            </w:pPr>
            <w:r>
              <w:t xml:space="preserve">2.0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1.160</w:t>
            </w:r>
          </w:p>
        </w:tc>
        <w:tc>
          <w:tcPr/>
          <w:p>
            <w:pPr>
              <w:pStyle w:val="Compact"/>
              <w:jc w:val="right"/>
            </w:pPr>
            <w:r>
              <w:t xml:space="preserve">192.471</w:t>
            </w:r>
          </w:p>
        </w:tc>
      </w:tr>
      <w:tr>
        <w:tc>
          <w:tcPr/>
          <w:p>
            <w:pPr>
              <w:pStyle w:val="Compact"/>
              <w:jc w:val="left"/>
            </w:pPr>
            <w:r>
              <w:t xml:space="preserve">Pilea (defaults)</w:t>
            </w:r>
          </w:p>
        </w:tc>
        <w:tc>
          <w:tcPr/>
          <w:p>
            <w:pPr>
              <w:pStyle w:val="Compact"/>
              <w:jc w:val="right"/>
            </w:pPr>
            <w:r>
              <w:t xml:space="preserve">4</w:t>
            </w:r>
          </w:p>
        </w:tc>
        <w:tc>
          <w:tcPr/>
          <w:p>
            <w:pPr>
              <w:pStyle w:val="Compact"/>
              <w:jc w:val="right"/>
            </w:pPr>
            <w:r>
              <w:t xml:space="preserve">4.0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1.300</w:t>
            </w:r>
          </w:p>
        </w:tc>
        <w:tc>
          <w:tcPr/>
          <w:p>
            <w:pPr>
              <w:pStyle w:val="Compact"/>
              <w:jc w:val="right"/>
            </w:pPr>
            <w:r>
              <w:t xml:space="preserve">195.445</w:t>
            </w:r>
          </w:p>
        </w:tc>
      </w:tr>
      <w:tr>
        <w:tc>
          <w:tcPr/>
          <w:p>
            <w:pPr>
              <w:pStyle w:val="Compact"/>
              <w:jc w:val="left"/>
            </w:pPr>
            <w:r>
              <w:t xml:space="preserve">Pilea (defaults)</w:t>
            </w:r>
          </w:p>
        </w:tc>
        <w:tc>
          <w:tcPr/>
          <w:p>
            <w:pPr>
              <w:pStyle w:val="Compact"/>
              <w:jc w:val="right"/>
            </w:pPr>
            <w:r>
              <w:t xml:space="preserve">4</w:t>
            </w:r>
          </w:p>
        </w:tc>
        <w:tc>
          <w:tcPr/>
          <w:p>
            <w:pPr>
              <w:pStyle w:val="Compact"/>
              <w:jc w:val="right"/>
            </w:pPr>
            <w:r>
              <w:t xml:space="preserve">8.0</w:t>
            </w:r>
          </w:p>
        </w:tc>
        <w:tc>
          <w:tcPr/>
          <w:p>
            <w:pPr>
              <w:pStyle w:val="Compact"/>
              <w:jc w:val="right"/>
            </w:pPr>
            <w:r>
              <w:t xml:space="preserve">1.000</w:t>
            </w:r>
          </w:p>
        </w:tc>
        <w:tc>
          <w:tcPr/>
          <w:p>
            <w:pPr>
              <w:pStyle w:val="Compact"/>
              <w:jc w:val="right"/>
            </w:pPr>
            <w:r>
              <w:t xml:space="preserve">0.075</w:t>
            </w:r>
          </w:p>
        </w:tc>
        <w:tc>
          <w:tcPr/>
          <w:p>
            <w:pPr>
              <w:pStyle w:val="Compact"/>
              <w:jc w:val="right"/>
            </w:pPr>
            <w:r>
              <w:t xml:space="preserve">-0.038</w:t>
            </w:r>
          </w:p>
        </w:tc>
        <w:tc>
          <w:tcPr/>
          <w:p>
            <w:pPr>
              <w:pStyle w:val="Compact"/>
              <w:jc w:val="right"/>
            </w:pPr>
            <w:r>
              <w:t xml:space="preserve">4.865</w:t>
            </w:r>
          </w:p>
        </w:tc>
        <w:tc>
          <w:tcPr/>
          <w:p>
            <w:pPr>
              <w:pStyle w:val="Compact"/>
              <w:jc w:val="right"/>
            </w:pPr>
            <w:r>
              <w:t xml:space="preserve">199.590</w:t>
            </w:r>
          </w:p>
        </w:tc>
      </w:tr>
      <w:tr>
        <w:tc>
          <w:tcPr/>
          <w:p>
            <w:pPr>
              <w:pStyle w:val="Compact"/>
              <w:jc w:val="left"/>
            </w:pPr>
            <w:r>
              <w:t xml:space="preserve">Pilea (defaults)</w:t>
            </w:r>
          </w:p>
        </w:tc>
        <w:tc>
          <w:tcPr/>
          <w:p>
            <w:pPr>
              <w:pStyle w:val="Compact"/>
              <w:jc w:val="right"/>
            </w:pPr>
            <w:r>
              <w:t xml:space="preserve">8</w:t>
            </w:r>
          </w:p>
        </w:tc>
        <w:tc>
          <w:tcPr/>
          <w:p>
            <w:pPr>
              <w:pStyle w:val="Compact"/>
              <w:jc w:val="right"/>
            </w:pPr>
            <w:r>
              <w:t xml:space="preserve">1.0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1.185</w:t>
            </w:r>
          </w:p>
        </w:tc>
        <w:tc>
          <w:tcPr/>
          <w:p>
            <w:pPr>
              <w:pStyle w:val="Compact"/>
              <w:jc w:val="right"/>
            </w:pPr>
            <w:r>
              <w:t xml:space="preserve">201.015</w:t>
            </w:r>
          </w:p>
        </w:tc>
      </w:tr>
      <w:tr>
        <w:tc>
          <w:tcPr/>
          <w:p>
            <w:pPr>
              <w:pStyle w:val="Compact"/>
              <w:jc w:val="left"/>
            </w:pPr>
            <w:r>
              <w:t xml:space="preserve">Pilea (defaults)</w:t>
            </w:r>
          </w:p>
        </w:tc>
        <w:tc>
          <w:tcPr/>
          <w:p>
            <w:pPr>
              <w:pStyle w:val="Compact"/>
              <w:jc w:val="right"/>
            </w:pPr>
            <w:r>
              <w:t xml:space="preserve">8</w:t>
            </w:r>
          </w:p>
        </w:tc>
        <w:tc>
          <w:tcPr/>
          <w:p>
            <w:pPr>
              <w:pStyle w:val="Compact"/>
              <w:jc w:val="right"/>
            </w:pPr>
            <w:r>
              <w:t xml:space="preserve">2.0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1.300</w:t>
            </w:r>
          </w:p>
        </w:tc>
        <w:tc>
          <w:tcPr/>
          <w:p>
            <w:pPr>
              <w:pStyle w:val="Compact"/>
              <w:jc w:val="right"/>
            </w:pPr>
            <w:r>
              <w:t xml:space="preserve">205.234</w:t>
            </w:r>
          </w:p>
        </w:tc>
      </w:tr>
      <w:tr>
        <w:tc>
          <w:tcPr/>
          <w:p>
            <w:pPr>
              <w:pStyle w:val="Compact"/>
              <w:jc w:val="left"/>
            </w:pPr>
            <w:r>
              <w:t xml:space="preserve">Pilea (defaults)</w:t>
            </w:r>
          </w:p>
        </w:tc>
        <w:tc>
          <w:tcPr/>
          <w:p>
            <w:pPr>
              <w:pStyle w:val="Compact"/>
              <w:jc w:val="right"/>
            </w:pPr>
            <w:r>
              <w:t xml:space="preserve">8</w:t>
            </w:r>
          </w:p>
        </w:tc>
        <w:tc>
          <w:tcPr/>
          <w:p>
            <w:pPr>
              <w:pStyle w:val="Compact"/>
              <w:jc w:val="right"/>
            </w:pPr>
            <w:r>
              <w:t xml:space="preserve">4.0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1.850</w:t>
            </w:r>
          </w:p>
        </w:tc>
        <w:tc>
          <w:tcPr/>
          <w:p>
            <w:pPr>
              <w:pStyle w:val="Compact"/>
              <w:jc w:val="right"/>
            </w:pPr>
            <w:r>
              <w:t xml:space="preserve">212.140</w:t>
            </w:r>
          </w:p>
        </w:tc>
      </w:tr>
      <w:tr>
        <w:tc>
          <w:tcPr/>
          <w:p>
            <w:pPr>
              <w:pStyle w:val="Compact"/>
              <w:jc w:val="left"/>
            </w:pPr>
            <w:r>
              <w:t xml:space="preserve">Pilea (defaults)</w:t>
            </w:r>
          </w:p>
        </w:tc>
        <w:tc>
          <w:tcPr/>
          <w:p>
            <w:pPr>
              <w:pStyle w:val="Compact"/>
              <w:jc w:val="right"/>
            </w:pPr>
            <w:r>
              <w:t xml:space="preserve">8</w:t>
            </w:r>
          </w:p>
        </w:tc>
        <w:tc>
          <w:tcPr/>
          <w:p>
            <w:pPr>
              <w:pStyle w:val="Compact"/>
              <w:jc w:val="right"/>
            </w:pPr>
            <w:r>
              <w:t xml:space="preserve">8.0</w:t>
            </w:r>
          </w:p>
        </w:tc>
        <w:tc>
          <w:tcPr/>
          <w:p>
            <w:pPr>
              <w:pStyle w:val="Compact"/>
              <w:jc w:val="right"/>
            </w:pPr>
            <w:r>
              <w:t xml:space="preserve">0.938</w:t>
            </w:r>
          </w:p>
        </w:tc>
        <w:tc>
          <w:tcPr/>
          <w:p>
            <w:pPr>
              <w:pStyle w:val="Compact"/>
              <w:jc w:val="right"/>
            </w:pPr>
            <w:r>
              <w:t xml:space="preserve">0.080</w:t>
            </w:r>
          </w:p>
        </w:tc>
        <w:tc>
          <w:tcPr/>
          <w:p>
            <w:pPr>
              <w:pStyle w:val="Compact"/>
              <w:jc w:val="right"/>
            </w:pPr>
            <w:r>
              <w:t xml:space="preserve">-0.038</w:t>
            </w:r>
          </w:p>
        </w:tc>
        <w:tc>
          <w:tcPr/>
          <w:p>
            <w:pPr>
              <w:pStyle w:val="Compact"/>
              <w:jc w:val="right"/>
            </w:pPr>
            <w:r>
              <w:t xml:space="preserve">6.740</w:t>
            </w:r>
          </w:p>
        </w:tc>
        <w:tc>
          <w:tcPr/>
          <w:p>
            <w:pPr>
              <w:pStyle w:val="Compact"/>
              <w:jc w:val="right"/>
            </w:pPr>
            <w:r>
              <w:t xml:space="preserve">229.229</w:t>
            </w:r>
          </w:p>
        </w:tc>
      </w:tr>
      <w:tr>
        <w:tc>
          <w:tcPr/>
          <w:p>
            <w:pPr>
              <w:pStyle w:val="Compact"/>
              <w:jc w:val="left"/>
            </w:pPr>
            <w:r>
              <w:t xml:space="preserve">Pilea (defaults)</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1.550</w:t>
            </w:r>
          </w:p>
        </w:tc>
        <w:tc>
          <w:tcPr/>
          <w:p>
            <w:pPr>
              <w:pStyle w:val="Compact"/>
              <w:jc w:val="right"/>
            </w:pPr>
            <w:r>
              <w:t xml:space="preserve">229.736</w:t>
            </w:r>
          </w:p>
        </w:tc>
      </w:tr>
      <w:tr>
        <w:tc>
          <w:tcPr/>
          <w:p>
            <w:pPr>
              <w:pStyle w:val="Compact"/>
              <w:jc w:val="left"/>
            </w:pPr>
            <w:r>
              <w:t xml:space="preserve">Pilea (defaults)</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1.970</w:t>
            </w:r>
          </w:p>
        </w:tc>
        <w:tc>
          <w:tcPr/>
          <w:p>
            <w:pPr>
              <w:pStyle w:val="Compact"/>
              <w:jc w:val="right"/>
            </w:pPr>
            <w:r>
              <w:t xml:space="preserve">246.948</w:t>
            </w:r>
          </w:p>
        </w:tc>
      </w:tr>
      <w:tr>
        <w:tc>
          <w:tcPr/>
          <w:p>
            <w:pPr>
              <w:pStyle w:val="Compact"/>
              <w:jc w:val="left"/>
            </w:pPr>
            <w:r>
              <w:t xml:space="preserve">Pilea (defaults)</w:t>
            </w:r>
          </w:p>
        </w:tc>
        <w:tc>
          <w:tcPr/>
          <w:p>
            <w:pPr>
              <w:pStyle w:val="Compact"/>
              <w:jc w:val="right"/>
            </w:pPr>
            <w:r>
              <w:t xml:space="preserve">16</w:t>
            </w:r>
          </w:p>
        </w:tc>
        <w:tc>
          <w:tcPr/>
          <w:p>
            <w:pPr>
              <w:pStyle w:val="Compact"/>
              <w:jc w:val="right"/>
            </w:pPr>
            <w:r>
              <w:t xml:space="preserve">4.0</w:t>
            </w:r>
          </w:p>
        </w:tc>
        <w:tc>
          <w:tcPr/>
          <w:p>
            <w:pPr>
              <w:pStyle w:val="Compact"/>
              <w:jc w:val="right"/>
            </w:pPr>
            <w:r>
              <w:t xml:space="preserve">0.000</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2.545</w:t>
            </w:r>
          </w:p>
        </w:tc>
        <w:tc>
          <w:tcPr/>
          <w:p>
            <w:pPr>
              <w:pStyle w:val="Compact"/>
              <w:jc w:val="right"/>
            </w:pPr>
            <w:r>
              <w:t xml:space="preserve">288.670</w:t>
            </w:r>
          </w:p>
        </w:tc>
      </w:tr>
      <w:tr>
        <w:tc>
          <w:tcPr/>
          <w:p>
            <w:pPr>
              <w:pStyle w:val="Compact"/>
              <w:jc w:val="left"/>
            </w:pPr>
            <w:r>
              <w:t xml:space="preserve">Pilea (defaults)</w:t>
            </w:r>
          </w:p>
        </w:tc>
        <w:tc>
          <w:tcPr/>
          <w:p>
            <w:pPr>
              <w:pStyle w:val="Compact"/>
              <w:jc w:val="right"/>
            </w:pPr>
            <w:r>
              <w:t xml:space="preserve">16</w:t>
            </w:r>
          </w:p>
        </w:tc>
        <w:tc>
          <w:tcPr/>
          <w:p>
            <w:pPr>
              <w:pStyle w:val="Compact"/>
              <w:jc w:val="right"/>
            </w:pPr>
            <w:r>
              <w:t xml:space="preserve">8.0</w:t>
            </w:r>
          </w:p>
        </w:tc>
        <w:tc>
          <w:tcPr/>
          <w:p>
            <w:pPr>
              <w:pStyle w:val="Compact"/>
              <w:jc w:val="right"/>
            </w:pPr>
            <w:r>
              <w:t xml:space="preserve">0.750</w:t>
            </w:r>
          </w:p>
        </w:tc>
        <w:tc>
          <w:tcPr/>
          <w:p>
            <w:pPr>
              <w:pStyle w:val="Compact"/>
              <w:jc w:val="right"/>
            </w:pPr>
            <w:r>
              <w:t xml:space="preserve">0.095</w:t>
            </w:r>
          </w:p>
        </w:tc>
        <w:tc>
          <w:tcPr/>
          <w:p>
            <w:pPr>
              <w:pStyle w:val="Compact"/>
              <w:jc w:val="right"/>
            </w:pPr>
            <w:r>
              <w:t xml:space="preserve">-0.059</w:t>
            </w:r>
          </w:p>
        </w:tc>
        <w:tc>
          <w:tcPr/>
          <w:p>
            <w:pPr>
              <w:pStyle w:val="Compact"/>
              <w:jc w:val="right"/>
            </w:pPr>
            <w:r>
              <w:t xml:space="preserve">8.340</w:t>
            </w:r>
          </w:p>
        </w:tc>
        <w:tc>
          <w:tcPr/>
          <w:p>
            <w:pPr>
              <w:pStyle w:val="Compact"/>
              <w:jc w:val="right"/>
            </w:pPr>
            <w:r>
              <w:t xml:space="preserve">296.116</w:t>
            </w:r>
          </w:p>
        </w:tc>
      </w:tr>
      <w:tr>
        <w:tc>
          <w:tcPr/>
          <w:p>
            <w:pPr>
              <w:pStyle w:val="Compact"/>
              <w:jc w:val="left"/>
            </w:pPr>
            <w:r>
              <w:t xml:space="preserve">Pilea (gates off)</w:t>
            </w:r>
          </w:p>
        </w:tc>
        <w:tc>
          <w:tcPr/>
          <w:p>
            <w:pPr>
              <w:pStyle w:val="Compact"/>
              <w:jc w:val="right"/>
            </w:pPr>
            <w:r>
              <w:t xml:space="preserve">4</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0.386</w:t>
            </w:r>
          </w:p>
        </w:tc>
        <w:tc>
          <w:tcPr/>
          <w:p>
            <w:pPr>
              <w:pStyle w:val="Compact"/>
              <w:jc w:val="right"/>
            </w:pPr>
            <w:r>
              <w:t xml:space="preserve">0.226</w:t>
            </w:r>
          </w:p>
        </w:tc>
        <w:tc>
          <w:tcPr/>
          <w:p>
            <w:pPr>
              <w:pStyle w:val="Compact"/>
              <w:jc w:val="right"/>
            </w:pPr>
            <w:r>
              <w:t xml:space="preserve">21.125</w:t>
            </w:r>
          </w:p>
        </w:tc>
        <w:tc>
          <w:tcPr/>
          <w:p>
            <w:pPr>
              <w:pStyle w:val="Compact"/>
              <w:jc w:val="right"/>
            </w:pPr>
            <w:r>
              <w:t xml:space="preserve">181.166</w:t>
            </w:r>
          </w:p>
        </w:tc>
      </w:tr>
      <w:tr>
        <w:tc>
          <w:tcPr/>
          <w:p>
            <w:pPr>
              <w:pStyle w:val="Compact"/>
              <w:jc w:val="left"/>
            </w:pPr>
            <w:r>
              <w:t xml:space="preserve">Pilea (gates off)</w:t>
            </w:r>
          </w:p>
        </w:tc>
        <w:tc>
          <w:tcPr/>
          <w:p>
            <w:pPr>
              <w:pStyle w:val="Compact"/>
              <w:jc w:val="right"/>
            </w:pPr>
            <w:r>
              <w:t xml:space="preserve">4</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0.297</w:t>
            </w:r>
          </w:p>
        </w:tc>
        <w:tc>
          <w:tcPr/>
          <w:p>
            <w:pPr>
              <w:pStyle w:val="Compact"/>
              <w:jc w:val="right"/>
            </w:pPr>
            <w:r>
              <w:t xml:space="preserve">0.271</w:t>
            </w:r>
          </w:p>
        </w:tc>
        <w:tc>
          <w:tcPr/>
          <w:p>
            <w:pPr>
              <w:pStyle w:val="Compact"/>
              <w:jc w:val="right"/>
            </w:pPr>
            <w:r>
              <w:t xml:space="preserve">21.060</w:t>
            </w:r>
          </w:p>
        </w:tc>
        <w:tc>
          <w:tcPr/>
          <w:p>
            <w:pPr>
              <w:pStyle w:val="Compact"/>
              <w:jc w:val="right"/>
            </w:pPr>
            <w:r>
              <w:t xml:space="preserve">191.734</w:t>
            </w:r>
          </w:p>
        </w:tc>
      </w:tr>
      <w:tr>
        <w:tc>
          <w:tcPr/>
          <w:p>
            <w:pPr>
              <w:pStyle w:val="Compact"/>
              <w:jc w:val="left"/>
            </w:pPr>
            <w:r>
              <w:t xml:space="preserve">Pilea (gates off)</w:t>
            </w:r>
          </w:p>
        </w:tc>
        <w:tc>
          <w:tcPr/>
          <w:p>
            <w:pPr>
              <w:pStyle w:val="Compact"/>
              <w:jc w:val="right"/>
            </w:pPr>
            <w:r>
              <w:t xml:space="preserve">4</w:t>
            </w:r>
          </w:p>
        </w:tc>
        <w:tc>
          <w:tcPr/>
          <w:p>
            <w:pPr>
              <w:pStyle w:val="Compact"/>
              <w:jc w:val="right"/>
            </w:pPr>
            <w:r>
              <w:t xml:space="preserve">4.0</w:t>
            </w:r>
          </w:p>
        </w:tc>
        <w:tc>
          <w:tcPr/>
          <w:p>
            <w:pPr>
              <w:pStyle w:val="Compact"/>
              <w:jc w:val="right"/>
            </w:pPr>
            <w:r>
              <w:t xml:space="preserve">1.000</w:t>
            </w:r>
          </w:p>
        </w:tc>
        <w:tc>
          <w:tcPr/>
          <w:p>
            <w:pPr>
              <w:pStyle w:val="Compact"/>
              <w:jc w:val="right"/>
            </w:pPr>
            <w:r>
              <w:t xml:space="preserve">0.119</w:t>
            </w:r>
          </w:p>
        </w:tc>
        <w:tc>
          <w:tcPr/>
          <w:p>
            <w:pPr>
              <w:pStyle w:val="Compact"/>
              <w:jc w:val="right"/>
            </w:pPr>
            <w:r>
              <w:t xml:space="preserve">0.030</w:t>
            </w:r>
          </w:p>
        </w:tc>
        <w:tc>
          <w:tcPr/>
          <w:p>
            <w:pPr>
              <w:pStyle w:val="Compact"/>
              <w:jc w:val="right"/>
            </w:pPr>
            <w:r>
              <w:t xml:space="preserve">14.515</w:t>
            </w:r>
          </w:p>
        </w:tc>
        <w:tc>
          <w:tcPr/>
          <w:p>
            <w:pPr>
              <w:pStyle w:val="Compact"/>
              <w:jc w:val="right"/>
            </w:pPr>
            <w:r>
              <w:t xml:space="preserve">195.994</w:t>
            </w:r>
          </w:p>
        </w:tc>
      </w:tr>
      <w:tr>
        <w:tc>
          <w:tcPr/>
          <w:p>
            <w:pPr>
              <w:pStyle w:val="Compact"/>
              <w:jc w:val="left"/>
            </w:pPr>
            <w:r>
              <w:t xml:space="preserve">Pilea (gates off)</w:t>
            </w:r>
          </w:p>
        </w:tc>
        <w:tc>
          <w:tcPr/>
          <w:p>
            <w:pPr>
              <w:pStyle w:val="Compact"/>
              <w:jc w:val="right"/>
            </w:pPr>
            <w:r>
              <w:t xml:space="preserve">4</w:t>
            </w:r>
          </w:p>
        </w:tc>
        <w:tc>
          <w:tcPr/>
          <w:p>
            <w:pPr>
              <w:pStyle w:val="Compact"/>
              <w:jc w:val="right"/>
            </w:pPr>
            <w:r>
              <w:t xml:space="preserve">8.0</w:t>
            </w:r>
          </w:p>
        </w:tc>
        <w:tc>
          <w:tcPr/>
          <w:p>
            <w:pPr>
              <w:pStyle w:val="Compact"/>
              <w:jc w:val="right"/>
            </w:pPr>
            <w:r>
              <w:t xml:space="preserve">1.000</w:t>
            </w:r>
          </w:p>
        </w:tc>
        <w:tc>
          <w:tcPr/>
          <w:p>
            <w:pPr>
              <w:pStyle w:val="Compact"/>
              <w:jc w:val="right"/>
            </w:pPr>
            <w:r>
              <w:t xml:space="preserve">0.075</w:t>
            </w:r>
          </w:p>
        </w:tc>
        <w:tc>
          <w:tcPr/>
          <w:p>
            <w:pPr>
              <w:pStyle w:val="Compact"/>
              <w:jc w:val="right"/>
            </w:pPr>
            <w:r>
              <w:t xml:space="preserve">-0.038</w:t>
            </w:r>
          </w:p>
        </w:tc>
        <w:tc>
          <w:tcPr/>
          <w:p>
            <w:pPr>
              <w:pStyle w:val="Compact"/>
              <w:jc w:val="right"/>
            </w:pPr>
            <w:r>
              <w:t xml:space="preserve">4.660</w:t>
            </w:r>
          </w:p>
        </w:tc>
        <w:tc>
          <w:tcPr/>
          <w:p>
            <w:pPr>
              <w:pStyle w:val="Compact"/>
              <w:jc w:val="right"/>
            </w:pPr>
            <w:r>
              <w:t xml:space="preserve">193.749</w:t>
            </w:r>
          </w:p>
        </w:tc>
      </w:tr>
      <w:tr>
        <w:tc>
          <w:tcPr/>
          <w:p>
            <w:pPr>
              <w:pStyle w:val="Compact"/>
              <w:jc w:val="left"/>
            </w:pPr>
            <w:r>
              <w:t xml:space="preserve">Pilea (gates off)</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0.535</w:t>
            </w:r>
          </w:p>
        </w:tc>
        <w:tc>
          <w:tcPr/>
          <w:p>
            <w:pPr>
              <w:pStyle w:val="Compact"/>
              <w:jc w:val="right"/>
            </w:pPr>
            <w:r>
              <w:t xml:space="preserve">0.479</w:t>
            </w:r>
          </w:p>
        </w:tc>
        <w:tc>
          <w:tcPr/>
          <w:p>
            <w:pPr>
              <w:pStyle w:val="Compact"/>
              <w:jc w:val="right"/>
            </w:pPr>
            <w:r>
              <w:t xml:space="preserve">22.040</w:t>
            </w:r>
          </w:p>
        </w:tc>
        <w:tc>
          <w:tcPr/>
          <w:p>
            <w:pPr>
              <w:pStyle w:val="Compact"/>
              <w:jc w:val="right"/>
            </w:pPr>
            <w:r>
              <w:t xml:space="preserve">201.990</w:t>
            </w:r>
          </w:p>
        </w:tc>
      </w:tr>
      <w:tr>
        <w:tc>
          <w:tcPr/>
          <w:p>
            <w:pPr>
              <w:pStyle w:val="Compact"/>
              <w:jc w:val="left"/>
            </w:pPr>
            <w:r>
              <w:t xml:space="preserve">Pilea (gates off)</w:t>
            </w:r>
          </w:p>
        </w:tc>
        <w:tc>
          <w:tcPr/>
          <w:p>
            <w:pPr>
              <w:pStyle w:val="Compact"/>
              <w:jc w:val="right"/>
            </w:pPr>
            <w:r>
              <w:t xml:space="preserve">8</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0.340</w:t>
            </w:r>
          </w:p>
        </w:tc>
        <w:tc>
          <w:tcPr/>
          <w:p>
            <w:pPr>
              <w:pStyle w:val="Compact"/>
              <w:jc w:val="right"/>
            </w:pPr>
            <w:r>
              <w:t xml:space="preserve">0.291</w:t>
            </w:r>
          </w:p>
        </w:tc>
        <w:tc>
          <w:tcPr/>
          <w:p>
            <w:pPr>
              <w:pStyle w:val="Compact"/>
              <w:jc w:val="right"/>
            </w:pPr>
            <w:r>
              <w:t xml:space="preserve">21.610</w:t>
            </w:r>
          </w:p>
        </w:tc>
        <w:tc>
          <w:tcPr/>
          <w:p>
            <w:pPr>
              <w:pStyle w:val="Compact"/>
              <w:jc w:val="right"/>
            </w:pPr>
            <w:r>
              <w:t xml:space="preserve">206.340</w:t>
            </w:r>
          </w:p>
        </w:tc>
      </w:tr>
      <w:tr>
        <w:tc>
          <w:tcPr/>
          <w:p>
            <w:pPr>
              <w:pStyle w:val="Compact"/>
              <w:jc w:val="left"/>
            </w:pPr>
            <w:r>
              <w:t xml:space="preserve">Pilea (gates off)</w:t>
            </w:r>
          </w:p>
        </w:tc>
        <w:tc>
          <w:tcPr/>
          <w:p>
            <w:pPr>
              <w:pStyle w:val="Compact"/>
              <w:jc w:val="right"/>
            </w:pPr>
            <w:r>
              <w:t xml:space="preserve">8</w:t>
            </w:r>
          </w:p>
        </w:tc>
        <w:tc>
          <w:tcPr/>
          <w:p>
            <w:pPr>
              <w:pStyle w:val="Compact"/>
              <w:jc w:val="right"/>
            </w:pPr>
            <w:r>
              <w:t xml:space="preserve">4.0</w:t>
            </w:r>
          </w:p>
        </w:tc>
        <w:tc>
          <w:tcPr/>
          <w:p>
            <w:pPr>
              <w:pStyle w:val="Compact"/>
              <w:jc w:val="right"/>
            </w:pPr>
            <w:r>
              <w:t xml:space="preserve">1.000</w:t>
            </w:r>
          </w:p>
        </w:tc>
        <w:tc>
          <w:tcPr/>
          <w:p>
            <w:pPr>
              <w:pStyle w:val="Compact"/>
              <w:jc w:val="right"/>
            </w:pPr>
            <w:r>
              <w:t xml:space="preserve">0.170</w:t>
            </w:r>
          </w:p>
        </w:tc>
        <w:tc>
          <w:tcPr/>
          <w:p>
            <w:pPr>
              <w:pStyle w:val="Compact"/>
              <w:jc w:val="right"/>
            </w:pPr>
            <w:r>
              <w:t xml:space="preserve">0.100</w:t>
            </w:r>
          </w:p>
        </w:tc>
        <w:tc>
          <w:tcPr/>
          <w:p>
            <w:pPr>
              <w:pStyle w:val="Compact"/>
              <w:jc w:val="right"/>
            </w:pPr>
            <w:r>
              <w:t xml:space="preserve">11.690</w:t>
            </w:r>
          </w:p>
        </w:tc>
        <w:tc>
          <w:tcPr/>
          <w:p>
            <w:pPr>
              <w:pStyle w:val="Compact"/>
              <w:jc w:val="right"/>
            </w:pPr>
            <w:r>
              <w:t xml:space="preserve">211.780</w:t>
            </w:r>
          </w:p>
        </w:tc>
      </w:tr>
      <w:tr>
        <w:tc>
          <w:tcPr/>
          <w:p>
            <w:pPr>
              <w:pStyle w:val="Compact"/>
              <w:jc w:val="left"/>
            </w:pPr>
            <w:r>
              <w:t xml:space="preserve">Pilea (gates off)</w:t>
            </w:r>
          </w:p>
        </w:tc>
        <w:tc>
          <w:tcPr/>
          <w:p>
            <w:pPr>
              <w:pStyle w:val="Compact"/>
              <w:jc w:val="right"/>
            </w:pPr>
            <w:r>
              <w:t xml:space="preserve">8</w:t>
            </w:r>
          </w:p>
        </w:tc>
        <w:tc>
          <w:tcPr/>
          <w:p>
            <w:pPr>
              <w:pStyle w:val="Compact"/>
              <w:jc w:val="right"/>
            </w:pPr>
            <w:r>
              <w:t xml:space="preserve">8.0</w:t>
            </w:r>
          </w:p>
        </w:tc>
        <w:tc>
          <w:tcPr/>
          <w:p>
            <w:pPr>
              <w:pStyle w:val="Compact"/>
              <w:jc w:val="right"/>
            </w:pPr>
            <w:r>
              <w:t xml:space="preserve">1.000</w:t>
            </w:r>
          </w:p>
        </w:tc>
        <w:tc>
          <w:tcPr/>
          <w:p>
            <w:pPr>
              <w:pStyle w:val="Compact"/>
              <w:jc w:val="right"/>
            </w:pPr>
            <w:r>
              <w:t xml:space="preserve">0.076</w:t>
            </w:r>
          </w:p>
        </w:tc>
        <w:tc>
          <w:tcPr/>
          <w:p>
            <w:pPr>
              <w:pStyle w:val="Compact"/>
              <w:jc w:val="right"/>
            </w:pPr>
            <w:r>
              <w:t xml:space="preserve">-0.035</w:t>
            </w:r>
          </w:p>
        </w:tc>
        <w:tc>
          <w:tcPr/>
          <w:p>
            <w:pPr>
              <w:pStyle w:val="Compact"/>
              <w:jc w:val="right"/>
            </w:pPr>
            <w:r>
              <w:t xml:space="preserve">6.230</w:t>
            </w:r>
          </w:p>
        </w:tc>
        <w:tc>
          <w:tcPr/>
          <w:p>
            <w:pPr>
              <w:pStyle w:val="Compact"/>
              <w:jc w:val="right"/>
            </w:pPr>
            <w:r>
              <w:t xml:space="preserve">229.097</w:t>
            </w:r>
          </w:p>
        </w:tc>
      </w:tr>
      <w:tr>
        <w:tc>
          <w:tcPr/>
          <w:p>
            <w:pPr>
              <w:pStyle w:val="Compact"/>
              <w:jc w:val="left"/>
            </w:pPr>
            <w:r>
              <w:t xml:space="preserve">Pilea (gates off)</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0.969</w:t>
            </w:r>
          </w:p>
        </w:tc>
        <w:tc>
          <w:tcPr/>
          <w:p>
            <w:pPr>
              <w:pStyle w:val="Compact"/>
              <w:jc w:val="right"/>
            </w:pPr>
            <w:r>
              <w:t xml:space="preserve">0.636</w:t>
            </w:r>
          </w:p>
        </w:tc>
        <w:tc>
          <w:tcPr/>
          <w:p>
            <w:pPr>
              <w:pStyle w:val="Compact"/>
              <w:jc w:val="right"/>
            </w:pPr>
            <w:r>
              <w:t xml:space="preserve">0.439</w:t>
            </w:r>
          </w:p>
        </w:tc>
        <w:tc>
          <w:tcPr/>
          <w:p>
            <w:pPr>
              <w:pStyle w:val="Compact"/>
              <w:jc w:val="right"/>
            </w:pPr>
            <w:r>
              <w:t xml:space="preserve">24.720</w:t>
            </w:r>
          </w:p>
        </w:tc>
        <w:tc>
          <w:tcPr/>
          <w:p>
            <w:pPr>
              <w:pStyle w:val="Compact"/>
              <w:jc w:val="right"/>
            </w:pPr>
            <w:r>
              <w:t xml:space="preserve">228.418</w:t>
            </w:r>
          </w:p>
        </w:tc>
      </w:tr>
      <w:tr>
        <w:tc>
          <w:tcPr/>
          <w:p>
            <w:pPr>
              <w:pStyle w:val="Compact"/>
              <w:jc w:val="left"/>
            </w:pPr>
            <w:r>
              <w:t xml:space="preserve">Pilea (gates off)</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0.293</w:t>
            </w:r>
          </w:p>
        </w:tc>
        <w:tc>
          <w:tcPr/>
          <w:p>
            <w:pPr>
              <w:pStyle w:val="Compact"/>
              <w:jc w:val="right"/>
            </w:pPr>
            <w:r>
              <w:t xml:space="preserve">0.236</w:t>
            </w:r>
          </w:p>
        </w:tc>
        <w:tc>
          <w:tcPr/>
          <w:p>
            <w:pPr>
              <w:pStyle w:val="Compact"/>
              <w:jc w:val="right"/>
            </w:pPr>
            <w:r>
              <w:t xml:space="preserve">31.420</w:t>
            </w:r>
          </w:p>
        </w:tc>
        <w:tc>
          <w:tcPr/>
          <w:p>
            <w:pPr>
              <w:pStyle w:val="Compact"/>
              <w:jc w:val="right"/>
            </w:pPr>
            <w:r>
              <w:t xml:space="preserve">249.422</w:t>
            </w:r>
          </w:p>
        </w:tc>
      </w:tr>
      <w:tr>
        <w:tc>
          <w:tcPr/>
          <w:p>
            <w:pPr>
              <w:pStyle w:val="Compact"/>
              <w:jc w:val="left"/>
            </w:pPr>
            <w:r>
              <w:t xml:space="preserve">Pilea (gates off)</w:t>
            </w:r>
          </w:p>
        </w:tc>
        <w:tc>
          <w:tcPr/>
          <w:p>
            <w:pPr>
              <w:pStyle w:val="Compact"/>
              <w:jc w:val="right"/>
            </w:pPr>
            <w:r>
              <w:t xml:space="preserve">16</w:t>
            </w:r>
          </w:p>
        </w:tc>
        <w:tc>
          <w:tcPr/>
          <w:p>
            <w:pPr>
              <w:pStyle w:val="Compact"/>
              <w:jc w:val="right"/>
            </w:pPr>
            <w:r>
              <w:t xml:space="preserve">4.0</w:t>
            </w:r>
          </w:p>
        </w:tc>
        <w:tc>
          <w:tcPr/>
          <w:p>
            <w:pPr>
              <w:pStyle w:val="Compact"/>
              <w:jc w:val="right"/>
            </w:pPr>
            <w:r>
              <w:t xml:space="preserve">1.000</w:t>
            </w:r>
          </w:p>
        </w:tc>
        <w:tc>
          <w:tcPr/>
          <w:p>
            <w:pPr>
              <w:pStyle w:val="Compact"/>
              <w:jc w:val="right"/>
            </w:pPr>
            <w:r>
              <w:t xml:space="preserve">0.159</w:t>
            </w:r>
          </w:p>
        </w:tc>
        <w:tc>
          <w:tcPr/>
          <w:p>
            <w:pPr>
              <w:pStyle w:val="Compact"/>
              <w:jc w:val="right"/>
            </w:pPr>
            <w:r>
              <w:t xml:space="preserve">0.079</w:t>
            </w:r>
          </w:p>
        </w:tc>
        <w:tc>
          <w:tcPr/>
          <w:p>
            <w:pPr>
              <w:pStyle w:val="Compact"/>
              <w:jc w:val="right"/>
            </w:pPr>
            <w:r>
              <w:t xml:space="preserve">24.755</w:t>
            </w:r>
          </w:p>
        </w:tc>
        <w:tc>
          <w:tcPr/>
          <w:p>
            <w:pPr>
              <w:pStyle w:val="Compact"/>
              <w:jc w:val="right"/>
            </w:pPr>
            <w:r>
              <w:t xml:space="preserve">285.090</w:t>
            </w:r>
          </w:p>
        </w:tc>
      </w:tr>
      <w:tr>
        <w:tc>
          <w:tcPr/>
          <w:p>
            <w:pPr>
              <w:pStyle w:val="Compact"/>
              <w:jc w:val="left"/>
            </w:pPr>
            <w:r>
              <w:t xml:space="preserve">Pilea (gates off)</w:t>
            </w:r>
          </w:p>
        </w:tc>
        <w:tc>
          <w:tcPr/>
          <w:p>
            <w:pPr>
              <w:pStyle w:val="Compact"/>
              <w:jc w:val="right"/>
            </w:pPr>
            <w:r>
              <w:t xml:space="preserve">16</w:t>
            </w:r>
          </w:p>
        </w:tc>
        <w:tc>
          <w:tcPr/>
          <w:p>
            <w:pPr>
              <w:pStyle w:val="Compact"/>
              <w:jc w:val="right"/>
            </w:pPr>
            <w:r>
              <w:t xml:space="preserve">8.0</w:t>
            </w:r>
          </w:p>
        </w:tc>
        <w:tc>
          <w:tcPr/>
          <w:p>
            <w:pPr>
              <w:pStyle w:val="Compact"/>
              <w:jc w:val="right"/>
            </w:pPr>
            <w:r>
              <w:t xml:space="preserve">1.000</w:t>
            </w:r>
          </w:p>
        </w:tc>
        <w:tc>
          <w:tcPr/>
          <w:p>
            <w:pPr>
              <w:pStyle w:val="Compact"/>
              <w:jc w:val="right"/>
            </w:pPr>
            <w:r>
              <w:t xml:space="preserve">0.090</w:t>
            </w:r>
          </w:p>
        </w:tc>
        <w:tc>
          <w:tcPr/>
          <w:p>
            <w:pPr>
              <w:pStyle w:val="Compact"/>
              <w:jc w:val="right"/>
            </w:pPr>
            <w:r>
              <w:t xml:space="preserve">-0.057</w:t>
            </w:r>
          </w:p>
        </w:tc>
        <w:tc>
          <w:tcPr/>
          <w:p>
            <w:pPr>
              <w:pStyle w:val="Compact"/>
              <w:jc w:val="right"/>
            </w:pPr>
            <w:r>
              <w:t xml:space="preserve">8.955</w:t>
            </w:r>
          </w:p>
        </w:tc>
        <w:tc>
          <w:tcPr/>
          <w:p>
            <w:pPr>
              <w:pStyle w:val="Compact"/>
              <w:jc w:val="right"/>
            </w:pPr>
            <w:r>
              <w:t xml:space="preserve">287.900</w:t>
            </w:r>
          </w:p>
        </w:tc>
      </w:tr>
      <w:tr>
        <w:tc>
          <w:tcPr/>
          <w:p>
            <w:pPr>
              <w:pStyle w:val="Compact"/>
              <w:jc w:val="left"/>
            </w:pPr>
            <w:r>
              <w:t xml:space="preserve">sk2bGrow</w:t>
            </w:r>
          </w:p>
        </w:tc>
        <w:tc>
          <w:tcPr/>
          <w:p>
            <w:pPr>
              <w:pStyle w:val="Compact"/>
              <w:jc w:val="right"/>
            </w:pPr>
            <w:r>
              <w:t xml:space="preserve">4</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0.269</w:t>
            </w:r>
          </w:p>
        </w:tc>
        <w:tc>
          <w:tcPr/>
          <w:p>
            <w:pPr>
              <w:pStyle w:val="Compact"/>
              <w:jc w:val="right"/>
            </w:pPr>
            <w:r>
              <w:t xml:space="preserve">-0.170</w:t>
            </w:r>
          </w:p>
        </w:tc>
        <w:tc>
          <w:tcPr/>
          <w:p>
            <w:pPr>
              <w:pStyle w:val="Compact"/>
              <w:jc w:val="right"/>
            </w:pPr>
            <w:r>
              <w:t xml:space="preserve">2.470</w:t>
            </w:r>
          </w:p>
        </w:tc>
        <w:tc>
          <w:tcPr/>
          <w:p>
            <w:pPr>
              <w:pStyle w:val="Compact"/>
              <w:jc w:val="right"/>
            </w:pPr>
            <w:r>
              <w:t xml:space="preserve">185.672</w:t>
            </w:r>
          </w:p>
        </w:tc>
      </w:tr>
      <w:tr>
        <w:tc>
          <w:tcPr/>
          <w:p>
            <w:pPr>
              <w:pStyle w:val="Compact"/>
              <w:jc w:val="left"/>
            </w:pPr>
            <w:r>
              <w:t xml:space="preserve">sk2bGrow</w:t>
            </w:r>
          </w:p>
        </w:tc>
        <w:tc>
          <w:tcPr/>
          <w:p>
            <w:pPr>
              <w:pStyle w:val="Compact"/>
              <w:jc w:val="right"/>
            </w:pPr>
            <w:r>
              <w:t xml:space="preserve">4</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0.080</w:t>
            </w:r>
          </w:p>
        </w:tc>
        <w:tc>
          <w:tcPr/>
          <w:p>
            <w:pPr>
              <w:pStyle w:val="Compact"/>
              <w:jc w:val="right"/>
            </w:pPr>
            <w:r>
              <w:t xml:space="preserve">0.016</w:t>
            </w:r>
          </w:p>
        </w:tc>
        <w:tc>
          <w:tcPr/>
          <w:p>
            <w:pPr>
              <w:pStyle w:val="Compact"/>
              <w:jc w:val="right"/>
            </w:pPr>
            <w:r>
              <w:t xml:space="preserve">4.700</w:t>
            </w:r>
          </w:p>
        </w:tc>
        <w:tc>
          <w:tcPr/>
          <w:p>
            <w:pPr>
              <w:pStyle w:val="Compact"/>
              <w:jc w:val="right"/>
            </w:pPr>
            <w:r>
              <w:t xml:space="preserve">190.611</w:t>
            </w:r>
          </w:p>
        </w:tc>
      </w:tr>
      <w:tr>
        <w:tc>
          <w:tcPr/>
          <w:p>
            <w:pPr>
              <w:pStyle w:val="Compact"/>
              <w:jc w:val="left"/>
            </w:pPr>
            <w:r>
              <w:t xml:space="preserve">sk2bGrow</w:t>
            </w:r>
          </w:p>
        </w:tc>
        <w:tc>
          <w:tcPr/>
          <w:p>
            <w:pPr>
              <w:pStyle w:val="Compact"/>
              <w:jc w:val="right"/>
            </w:pPr>
            <w:r>
              <w:t xml:space="preserve">4</w:t>
            </w:r>
          </w:p>
        </w:tc>
        <w:tc>
          <w:tcPr/>
          <w:p>
            <w:pPr>
              <w:pStyle w:val="Compact"/>
              <w:jc w:val="right"/>
            </w:pPr>
            <w:r>
              <w:t xml:space="preserve">4.0</w:t>
            </w:r>
          </w:p>
        </w:tc>
        <w:tc>
          <w:tcPr/>
          <w:p>
            <w:pPr>
              <w:pStyle w:val="Compact"/>
              <w:jc w:val="right"/>
            </w:pPr>
            <w:r>
              <w:t xml:space="preserve">1.000</w:t>
            </w:r>
          </w:p>
        </w:tc>
        <w:tc>
          <w:tcPr/>
          <w:p>
            <w:pPr>
              <w:pStyle w:val="Compact"/>
              <w:jc w:val="right"/>
            </w:pPr>
            <w:r>
              <w:t xml:space="preserve">0.095</w:t>
            </w:r>
          </w:p>
        </w:tc>
        <w:tc>
          <w:tcPr/>
          <w:p>
            <w:pPr>
              <w:pStyle w:val="Compact"/>
              <w:jc w:val="right"/>
            </w:pPr>
            <w:r>
              <w:t xml:space="preserve">0.028</w:t>
            </w:r>
          </w:p>
        </w:tc>
        <w:tc>
          <w:tcPr/>
          <w:p>
            <w:pPr>
              <w:pStyle w:val="Compact"/>
              <w:jc w:val="right"/>
            </w:pPr>
            <w:r>
              <w:t xml:space="preserve">7.640</w:t>
            </w:r>
          </w:p>
        </w:tc>
        <w:tc>
          <w:tcPr/>
          <w:p>
            <w:pPr>
              <w:pStyle w:val="Compact"/>
              <w:jc w:val="right"/>
            </w:pPr>
            <w:r>
              <w:t xml:space="preserve">189.342</w:t>
            </w:r>
          </w:p>
        </w:tc>
      </w:tr>
      <w:tr>
        <w:tc>
          <w:tcPr/>
          <w:p>
            <w:pPr>
              <w:pStyle w:val="Compact"/>
              <w:jc w:val="left"/>
            </w:pPr>
            <w:r>
              <w:t xml:space="preserve">sk2bGrow</w:t>
            </w:r>
          </w:p>
        </w:tc>
        <w:tc>
          <w:tcPr/>
          <w:p>
            <w:pPr>
              <w:pStyle w:val="Compact"/>
              <w:jc w:val="right"/>
            </w:pPr>
            <w:r>
              <w:t xml:space="preserve">4</w:t>
            </w:r>
          </w:p>
        </w:tc>
        <w:tc>
          <w:tcPr/>
          <w:p>
            <w:pPr>
              <w:pStyle w:val="Compact"/>
              <w:jc w:val="right"/>
            </w:pPr>
            <w:r>
              <w:t xml:space="preserve">8.0</w:t>
            </w:r>
          </w:p>
        </w:tc>
        <w:tc>
          <w:tcPr/>
          <w:p>
            <w:pPr>
              <w:pStyle w:val="Compact"/>
              <w:jc w:val="right"/>
            </w:pPr>
            <w:r>
              <w:t xml:space="preserve">1.000</w:t>
            </w:r>
          </w:p>
        </w:tc>
        <w:tc>
          <w:tcPr/>
          <w:p>
            <w:pPr>
              <w:pStyle w:val="Compact"/>
              <w:jc w:val="right"/>
            </w:pPr>
            <w:r>
              <w:t xml:space="preserve">0.050</w:t>
            </w:r>
          </w:p>
        </w:tc>
        <w:tc>
          <w:tcPr/>
          <w:p>
            <w:pPr>
              <w:pStyle w:val="Compact"/>
              <w:jc w:val="right"/>
            </w:pPr>
            <w:r>
              <w:t xml:space="preserve">0.018</w:t>
            </w:r>
          </w:p>
        </w:tc>
        <w:tc>
          <w:tcPr/>
          <w:p>
            <w:pPr>
              <w:pStyle w:val="Compact"/>
              <w:jc w:val="right"/>
            </w:pPr>
            <w:r>
              <w:t xml:space="preserve">14.960</w:t>
            </w:r>
          </w:p>
        </w:tc>
        <w:tc>
          <w:tcPr/>
          <w:p>
            <w:pPr>
              <w:pStyle w:val="Compact"/>
              <w:jc w:val="right"/>
            </w:pPr>
            <w:r>
              <w:t xml:space="preserve">190.235</w:t>
            </w:r>
          </w:p>
        </w:tc>
      </w:tr>
      <w:tr>
        <w:tc>
          <w:tcPr/>
          <w:p>
            <w:pPr>
              <w:pStyle w:val="Compact"/>
              <w:jc w:val="left"/>
            </w:pPr>
            <w:r>
              <w:t xml:space="preserve">sk2bGrow</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0.177</w:t>
            </w:r>
          </w:p>
        </w:tc>
        <w:tc>
          <w:tcPr/>
          <w:p>
            <w:pPr>
              <w:pStyle w:val="Compact"/>
              <w:jc w:val="right"/>
            </w:pPr>
            <w:r>
              <w:t xml:space="preserve">-0.080</w:t>
            </w:r>
          </w:p>
        </w:tc>
        <w:tc>
          <w:tcPr/>
          <w:p>
            <w:pPr>
              <w:pStyle w:val="Compact"/>
              <w:jc w:val="right"/>
            </w:pPr>
            <w:r>
              <w:t xml:space="preserve">4.670</w:t>
            </w:r>
          </w:p>
        </w:tc>
        <w:tc>
          <w:tcPr/>
          <w:p>
            <w:pPr>
              <w:pStyle w:val="Compact"/>
              <w:jc w:val="right"/>
            </w:pPr>
            <w:r>
              <w:t xml:space="preserve">186.425</w:t>
            </w:r>
          </w:p>
        </w:tc>
      </w:tr>
      <w:tr>
        <w:tc>
          <w:tcPr/>
          <w:p>
            <w:pPr>
              <w:pStyle w:val="Compact"/>
              <w:jc w:val="left"/>
            </w:pPr>
            <w:r>
              <w:t xml:space="preserve">sk2bGrow</w:t>
            </w:r>
          </w:p>
        </w:tc>
        <w:tc>
          <w:tcPr/>
          <w:p>
            <w:pPr>
              <w:pStyle w:val="Compact"/>
              <w:jc w:val="right"/>
            </w:pPr>
            <w:r>
              <w:t xml:space="preserve">8</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0.105</w:t>
            </w:r>
          </w:p>
        </w:tc>
        <w:tc>
          <w:tcPr/>
          <w:p>
            <w:pPr>
              <w:pStyle w:val="Compact"/>
              <w:jc w:val="right"/>
            </w:pPr>
            <w:r>
              <w:t xml:space="preserve">0.003</w:t>
            </w:r>
          </w:p>
        </w:tc>
        <w:tc>
          <w:tcPr/>
          <w:p>
            <w:pPr>
              <w:pStyle w:val="Compact"/>
              <w:jc w:val="right"/>
            </w:pPr>
            <w:r>
              <w:t xml:space="preserve">8.130</w:t>
            </w:r>
          </w:p>
        </w:tc>
        <w:tc>
          <w:tcPr/>
          <w:p>
            <w:pPr>
              <w:pStyle w:val="Compact"/>
              <w:jc w:val="right"/>
            </w:pPr>
            <w:r>
              <w:t xml:space="preserve">188.596</w:t>
            </w:r>
          </w:p>
        </w:tc>
      </w:tr>
      <w:tr>
        <w:tc>
          <w:tcPr/>
          <w:p>
            <w:pPr>
              <w:pStyle w:val="Compact"/>
              <w:jc w:val="left"/>
            </w:pPr>
            <w:r>
              <w:t xml:space="preserve">sk2bGrow</w:t>
            </w:r>
          </w:p>
        </w:tc>
        <w:tc>
          <w:tcPr/>
          <w:p>
            <w:pPr>
              <w:pStyle w:val="Compact"/>
              <w:jc w:val="right"/>
            </w:pPr>
            <w:r>
              <w:t xml:space="preserve">8</w:t>
            </w:r>
          </w:p>
        </w:tc>
        <w:tc>
          <w:tcPr/>
          <w:p>
            <w:pPr>
              <w:pStyle w:val="Compact"/>
              <w:jc w:val="right"/>
            </w:pPr>
            <w:r>
              <w:t xml:space="preserve">4.0</w:t>
            </w:r>
          </w:p>
        </w:tc>
        <w:tc>
          <w:tcPr/>
          <w:p>
            <w:pPr>
              <w:pStyle w:val="Compact"/>
              <w:jc w:val="right"/>
            </w:pPr>
            <w:r>
              <w:t xml:space="preserve">1.000</w:t>
            </w:r>
          </w:p>
        </w:tc>
        <w:tc>
          <w:tcPr/>
          <w:p>
            <w:pPr>
              <w:pStyle w:val="Compact"/>
              <w:jc w:val="right"/>
            </w:pPr>
            <w:r>
              <w:t xml:space="preserve">0.142</w:t>
            </w:r>
          </w:p>
        </w:tc>
        <w:tc>
          <w:tcPr/>
          <w:p>
            <w:pPr>
              <w:pStyle w:val="Compact"/>
              <w:jc w:val="right"/>
            </w:pPr>
            <w:r>
              <w:t xml:space="preserve">0.073</w:t>
            </w:r>
          </w:p>
        </w:tc>
        <w:tc>
          <w:tcPr/>
          <w:p>
            <w:pPr>
              <w:pStyle w:val="Compact"/>
              <w:jc w:val="right"/>
            </w:pPr>
            <w:r>
              <w:t xml:space="preserve">14.395</w:t>
            </w:r>
          </w:p>
        </w:tc>
        <w:tc>
          <w:tcPr/>
          <w:p>
            <w:pPr>
              <w:pStyle w:val="Compact"/>
              <w:jc w:val="right"/>
            </w:pPr>
            <w:r>
              <w:t xml:space="preserve">182.567</w:t>
            </w:r>
          </w:p>
        </w:tc>
      </w:tr>
      <w:tr>
        <w:tc>
          <w:tcPr/>
          <w:p>
            <w:pPr>
              <w:pStyle w:val="Compact"/>
              <w:jc w:val="left"/>
            </w:pPr>
            <w:r>
              <w:t xml:space="preserve">sk2bGrow</w:t>
            </w:r>
          </w:p>
        </w:tc>
        <w:tc>
          <w:tcPr/>
          <w:p>
            <w:pPr>
              <w:pStyle w:val="Compact"/>
              <w:jc w:val="right"/>
            </w:pPr>
            <w:r>
              <w:t xml:space="preserve">8</w:t>
            </w:r>
          </w:p>
        </w:tc>
        <w:tc>
          <w:tcPr/>
          <w:p>
            <w:pPr>
              <w:pStyle w:val="Compact"/>
              <w:jc w:val="right"/>
            </w:pPr>
            <w:r>
              <w:t xml:space="preserve">8.0</w:t>
            </w:r>
          </w:p>
        </w:tc>
        <w:tc>
          <w:tcPr/>
          <w:p>
            <w:pPr>
              <w:pStyle w:val="Compact"/>
              <w:jc w:val="right"/>
            </w:pPr>
            <w:r>
              <w:t xml:space="preserve">1.000</w:t>
            </w:r>
          </w:p>
        </w:tc>
        <w:tc>
          <w:tcPr/>
          <w:p>
            <w:pPr>
              <w:pStyle w:val="Compact"/>
              <w:jc w:val="right"/>
            </w:pPr>
            <w:r>
              <w:t xml:space="preserve">0.164</w:t>
            </w:r>
          </w:p>
        </w:tc>
        <w:tc>
          <w:tcPr/>
          <w:p>
            <w:pPr>
              <w:pStyle w:val="Compact"/>
              <w:jc w:val="right"/>
            </w:pPr>
            <w:r>
              <w:t xml:space="preserve">0.101</w:t>
            </w:r>
          </w:p>
        </w:tc>
        <w:tc>
          <w:tcPr/>
          <w:p>
            <w:pPr>
              <w:pStyle w:val="Compact"/>
              <w:jc w:val="right"/>
            </w:pPr>
            <w:r>
              <w:t xml:space="preserve">27.795</w:t>
            </w:r>
          </w:p>
        </w:tc>
        <w:tc>
          <w:tcPr/>
          <w:p>
            <w:pPr>
              <w:pStyle w:val="Compact"/>
              <w:jc w:val="right"/>
            </w:pPr>
            <w:r>
              <w:t xml:space="preserve">182.018</w:t>
            </w:r>
          </w:p>
        </w:tc>
      </w:tr>
      <w:tr>
        <w:tc>
          <w:tcPr/>
          <w:p>
            <w:pPr>
              <w:pStyle w:val="Compact"/>
              <w:jc w:val="left"/>
            </w:pPr>
            <w:r>
              <w:t xml:space="preserve">sk2bGrow</w:t>
            </w:r>
          </w:p>
        </w:tc>
        <w:tc>
          <w:tcPr/>
          <w:p>
            <w:pPr>
              <w:pStyle w:val="Compact"/>
              <w:jc w:val="right"/>
            </w:pPr>
            <w:r>
              <w:t xml:space="preserve">16</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0.251</w:t>
            </w:r>
          </w:p>
        </w:tc>
        <w:tc>
          <w:tcPr/>
          <w:p>
            <w:pPr>
              <w:pStyle w:val="Compact"/>
              <w:jc w:val="right"/>
            </w:pPr>
            <w:r>
              <w:t xml:space="preserve">-0.122</w:t>
            </w:r>
          </w:p>
        </w:tc>
        <w:tc>
          <w:tcPr/>
          <w:p>
            <w:pPr>
              <w:pStyle w:val="Compact"/>
              <w:jc w:val="right"/>
            </w:pPr>
            <w:r>
              <w:t xml:space="preserve">7.980</w:t>
            </w:r>
          </w:p>
        </w:tc>
        <w:tc>
          <w:tcPr/>
          <w:p>
            <w:pPr>
              <w:pStyle w:val="Compact"/>
              <w:jc w:val="right"/>
            </w:pPr>
            <w:r>
              <w:t xml:space="preserve">185.377</w:t>
            </w:r>
          </w:p>
        </w:tc>
      </w:tr>
      <w:tr>
        <w:tc>
          <w:tcPr/>
          <w:p>
            <w:pPr>
              <w:pStyle w:val="Compact"/>
              <w:jc w:val="left"/>
            </w:pPr>
            <w:r>
              <w:t xml:space="preserve">sk2bGrow</w:t>
            </w:r>
          </w:p>
        </w:tc>
        <w:tc>
          <w:tcPr/>
          <w:p>
            <w:pPr>
              <w:pStyle w:val="Compact"/>
              <w:jc w:val="right"/>
            </w:pPr>
            <w:r>
              <w:t xml:space="preserve">16</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0.133</w:t>
            </w:r>
          </w:p>
        </w:tc>
        <w:tc>
          <w:tcPr/>
          <w:p>
            <w:pPr>
              <w:pStyle w:val="Compact"/>
              <w:jc w:val="right"/>
            </w:pPr>
            <w:r>
              <w:t xml:space="preserve">-0.059</w:t>
            </w:r>
          </w:p>
        </w:tc>
        <w:tc>
          <w:tcPr/>
          <w:p>
            <w:pPr>
              <w:pStyle w:val="Compact"/>
              <w:jc w:val="right"/>
            </w:pPr>
            <w:r>
              <w:t xml:space="preserve">15.330</w:t>
            </w:r>
          </w:p>
        </w:tc>
        <w:tc>
          <w:tcPr/>
          <w:p>
            <w:pPr>
              <w:pStyle w:val="Compact"/>
              <w:jc w:val="right"/>
            </w:pPr>
            <w:r>
              <w:t xml:space="preserve">191.111</w:t>
            </w:r>
          </w:p>
        </w:tc>
      </w:tr>
      <w:tr>
        <w:tc>
          <w:tcPr/>
          <w:p>
            <w:pPr>
              <w:pStyle w:val="Compact"/>
              <w:jc w:val="left"/>
            </w:pPr>
            <w:r>
              <w:t xml:space="preserve">sk2bGrow</w:t>
            </w:r>
          </w:p>
        </w:tc>
        <w:tc>
          <w:tcPr/>
          <w:p>
            <w:pPr>
              <w:pStyle w:val="Compact"/>
              <w:jc w:val="right"/>
            </w:pPr>
            <w:r>
              <w:t xml:space="preserve">16</w:t>
            </w:r>
          </w:p>
        </w:tc>
        <w:tc>
          <w:tcPr/>
          <w:p>
            <w:pPr>
              <w:pStyle w:val="Compact"/>
              <w:jc w:val="right"/>
            </w:pPr>
            <w:r>
              <w:t xml:space="preserve">4.0</w:t>
            </w:r>
          </w:p>
        </w:tc>
        <w:tc>
          <w:tcPr/>
          <w:p>
            <w:pPr>
              <w:pStyle w:val="Compact"/>
              <w:jc w:val="right"/>
            </w:pPr>
            <w:r>
              <w:t xml:space="preserve">1.000</w:t>
            </w:r>
          </w:p>
        </w:tc>
        <w:tc>
          <w:tcPr/>
          <w:p>
            <w:pPr>
              <w:pStyle w:val="Compact"/>
              <w:jc w:val="right"/>
            </w:pPr>
            <w:r>
              <w:t xml:space="preserve">0.051</w:t>
            </w:r>
          </w:p>
        </w:tc>
        <w:tc>
          <w:tcPr/>
          <w:p>
            <w:pPr>
              <w:pStyle w:val="Compact"/>
              <w:jc w:val="right"/>
            </w:pPr>
            <w:r>
              <w:t xml:space="preserve">-0.001</w:t>
            </w:r>
          </w:p>
        </w:tc>
        <w:tc>
          <w:tcPr/>
          <w:p>
            <w:pPr>
              <w:pStyle w:val="Compact"/>
              <w:jc w:val="right"/>
            </w:pPr>
            <w:r>
              <w:t xml:space="preserve">29.780</w:t>
            </w:r>
          </w:p>
        </w:tc>
        <w:tc>
          <w:tcPr/>
          <w:p>
            <w:pPr>
              <w:pStyle w:val="Compact"/>
              <w:jc w:val="right"/>
            </w:pPr>
            <w:r>
              <w:t xml:space="preserve">191.267</w:t>
            </w:r>
          </w:p>
        </w:tc>
      </w:tr>
      <w:tr>
        <w:tc>
          <w:tcPr/>
          <w:p>
            <w:pPr>
              <w:pStyle w:val="Compact"/>
              <w:jc w:val="left"/>
            </w:pPr>
            <w:r>
              <w:t xml:space="preserve">sk2bGrow</w:t>
            </w:r>
          </w:p>
        </w:tc>
        <w:tc>
          <w:tcPr/>
          <w:p>
            <w:pPr>
              <w:pStyle w:val="Compact"/>
              <w:jc w:val="right"/>
            </w:pPr>
            <w:r>
              <w:t xml:space="preserve">16</w:t>
            </w:r>
          </w:p>
        </w:tc>
        <w:tc>
          <w:tcPr/>
          <w:p>
            <w:pPr>
              <w:pStyle w:val="Compact"/>
              <w:jc w:val="right"/>
            </w:pPr>
            <w:r>
              <w:t xml:space="preserve">8.0</w:t>
            </w:r>
          </w:p>
        </w:tc>
        <w:tc>
          <w:tcPr/>
          <w:p>
            <w:pPr>
              <w:pStyle w:val="Compact"/>
              <w:jc w:val="right"/>
            </w:pPr>
            <w:r>
              <w:t xml:space="preserve">1.000</w:t>
            </w:r>
          </w:p>
        </w:tc>
        <w:tc>
          <w:tcPr/>
          <w:p>
            <w:pPr>
              <w:pStyle w:val="Compact"/>
              <w:jc w:val="right"/>
            </w:pPr>
            <w:r>
              <w:t xml:space="preserve">0.094</w:t>
            </w:r>
          </w:p>
        </w:tc>
        <w:tc>
          <w:tcPr/>
          <w:p>
            <w:pPr>
              <w:pStyle w:val="Compact"/>
              <w:jc w:val="right"/>
            </w:pPr>
            <w:r>
              <w:t xml:space="preserve">0.037</w:t>
            </w:r>
          </w:p>
        </w:tc>
        <w:tc>
          <w:tcPr/>
          <w:p>
            <w:pPr>
              <w:pStyle w:val="Compact"/>
              <w:jc w:val="right"/>
            </w:pPr>
            <w:r>
              <w:t xml:space="preserve">58.395</w:t>
            </w:r>
          </w:p>
        </w:tc>
        <w:tc>
          <w:tcPr/>
          <w:p>
            <w:pPr>
              <w:pStyle w:val="Compact"/>
              <w:jc w:val="right"/>
            </w:pPr>
            <w:r>
              <w:t xml:space="preserve">183.624</w:t>
            </w:r>
          </w:p>
        </w:tc>
      </w:tr>
    </w:tbl>
    <w:p>
      <w:pPr>
        <w:pStyle w:val="BodyText"/>
      </w:pPr>
      <w:r>
        <w:rPr>
          <w:b/>
          <w:bCs/>
        </w:rPr>
        <w:t xml:space="preserve">recall</w:t>
      </w:r>
      <w:r>
        <w:t xml:space="preserve"> </w:t>
      </w:r>
      <w:r>
        <w:t xml:space="preserve">is the fraction of truly-present strains for which the method returned any estimate, and must be read alongside RMSE — a method that reports only the easy cases earns a flattering RMSE. Pilea at its shipped defaults returns nothing below 8x.</w:t>
      </w:r>
    </w:p>
    <w:p>
      <w:pPr>
        <w:pStyle w:val="BodyText"/>
      </w:pPr>
      <w:r>
        <w:rPr>
          <w:b/>
          <w:bCs/>
        </w:rPr>
        <w:t xml:space="preserve">Table 4. Multi-strain simulation, aggregate over the whole grid</w:t>
      </w:r>
    </w:p>
    <w:tbl>
      <w:tblPr>
        <w:tblStyle w:val="Table"/>
        <w:tblW w:type="pct" w:w="5000"/>
        <w:tblLayout w:type="fixed"/>
        <w:tblLook w:firstRow="1" w:lastRow="0" w:firstColumn="0" w:lastColumn="0" w:noHBand="0" w:noVBand="0" w:val="0020"/>
      </w:tblPr>
      <w:tblGrid>
        <w:gridCol w:w="1813"/>
        <w:gridCol w:w="954"/>
        <w:gridCol w:w="763"/>
        <w:gridCol w:w="763"/>
        <w:gridCol w:w="1145"/>
        <w:gridCol w:w="1049"/>
        <w:gridCol w:w="1431"/>
      </w:tblGrid>
      <w:tr>
        <w:trPr>
          <w:tblHeader w:val="on"/>
        </w:trPr>
        <w:tc>
          <w:tcPr/>
          <w:p>
            <w:pPr>
              <w:pStyle w:val="Compact"/>
              <w:jc w:val="left"/>
            </w:pPr>
            <w:r>
              <w:t xml:space="preserve">arm</w:t>
            </w:r>
          </w:p>
        </w:tc>
        <w:tc>
          <w:tcPr/>
          <w:p>
            <w:pPr>
              <w:pStyle w:val="Compact"/>
              <w:jc w:val="right"/>
            </w:pPr>
            <w:r>
              <w:t xml:space="preserve">recall</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spurious</w:t>
            </w:r>
          </w:p>
        </w:tc>
        <w:tc>
          <w:tcPr/>
          <w:p>
            <w:pPr>
              <w:pStyle w:val="Compact"/>
              <w:jc w:val="right"/>
            </w:pPr>
            <w:r>
              <w:t xml:space="preserve">seconds</w:t>
            </w:r>
          </w:p>
        </w:tc>
        <w:tc>
          <w:tcPr/>
          <w:p>
            <w:pPr>
              <w:pStyle w:val="Compact"/>
              <w:jc w:val="right"/>
            </w:pPr>
            <w:r>
              <w:t xml:space="preserve">peak_rss_mb</w:t>
            </w:r>
          </w:p>
        </w:tc>
      </w:tr>
      <w:tr>
        <w:tc>
          <w:tcPr/>
          <w:p>
            <w:pPr>
              <w:pStyle w:val="Compact"/>
              <w:jc w:val="left"/>
            </w:pPr>
            <w:r>
              <w:t xml:space="preserve">Pilea (defaults)</w:t>
            </w:r>
          </w:p>
        </w:tc>
        <w:tc>
          <w:tcPr/>
          <w:p>
            <w:pPr>
              <w:pStyle w:val="Compact"/>
              <w:jc w:val="right"/>
            </w:pPr>
            <w:r>
              <w:t xml:space="preserve">0.224</w:t>
            </w:r>
          </w:p>
        </w:tc>
        <w:tc>
          <w:tcPr/>
          <w:p>
            <w:pPr>
              <w:pStyle w:val="Compact"/>
              <w:jc w:val="right"/>
            </w:pPr>
            <w:r>
              <w:t xml:space="preserve">0.083</w:t>
            </w:r>
          </w:p>
        </w:tc>
        <w:tc>
          <w:tcPr/>
          <w:p>
            <w:pPr>
              <w:pStyle w:val="Compact"/>
              <w:jc w:val="right"/>
            </w:pPr>
            <w:r>
              <w:t xml:space="preserve">-0.045</w:t>
            </w:r>
          </w:p>
        </w:tc>
        <w:tc>
          <w:tcPr/>
          <w:p>
            <w:pPr>
              <w:pStyle w:val="Compact"/>
              <w:jc w:val="right"/>
            </w:pPr>
            <w:r>
              <w:t xml:space="preserve">0.000</w:t>
            </w:r>
          </w:p>
        </w:tc>
        <w:tc>
          <w:tcPr/>
          <w:p>
            <w:pPr>
              <w:pStyle w:val="Compact"/>
              <w:jc w:val="right"/>
            </w:pPr>
            <w:r>
              <w:t xml:space="preserve">2.835</w:t>
            </w:r>
          </w:p>
        </w:tc>
        <w:tc>
          <w:tcPr/>
          <w:p>
            <w:pPr>
              <w:pStyle w:val="Compact"/>
              <w:jc w:val="right"/>
            </w:pPr>
            <w:r>
              <w:t xml:space="preserve">223.189</w:t>
            </w:r>
          </w:p>
        </w:tc>
      </w:tr>
      <w:tr>
        <w:tc>
          <w:tcPr/>
          <w:p>
            <w:pPr>
              <w:pStyle w:val="Compact"/>
              <w:jc w:val="left"/>
            </w:pPr>
            <w:r>
              <w:t xml:space="preserve">Pilea (gates off)</w:t>
            </w:r>
          </w:p>
        </w:tc>
        <w:tc>
          <w:tcPr/>
          <w:p>
            <w:pPr>
              <w:pStyle w:val="Compact"/>
              <w:jc w:val="right"/>
            </w:pPr>
            <w:r>
              <w:t xml:space="preserve">0.997</w:t>
            </w:r>
          </w:p>
        </w:tc>
        <w:tc>
          <w:tcPr/>
          <w:p>
            <w:pPr>
              <w:pStyle w:val="Compact"/>
              <w:jc w:val="right"/>
            </w:pPr>
            <w:r>
              <w:t xml:space="preserve">0.265</w:t>
            </w:r>
          </w:p>
        </w:tc>
        <w:tc>
          <w:tcPr/>
          <w:p>
            <w:pPr>
              <w:pStyle w:val="Compact"/>
              <w:jc w:val="right"/>
            </w:pPr>
            <w:r>
              <w:t xml:space="preserve">0.168</w:t>
            </w:r>
          </w:p>
        </w:tc>
        <w:tc>
          <w:tcPr/>
          <w:p>
            <w:pPr>
              <w:pStyle w:val="Compact"/>
              <w:jc w:val="right"/>
            </w:pPr>
            <w:r>
              <w:t xml:space="preserve">0.000</w:t>
            </w:r>
          </w:p>
        </w:tc>
        <w:tc>
          <w:tcPr/>
          <w:p>
            <w:pPr>
              <w:pStyle w:val="Compact"/>
              <w:jc w:val="right"/>
            </w:pPr>
            <w:r>
              <w:t xml:space="preserve">17.732</w:t>
            </w:r>
          </w:p>
        </w:tc>
        <w:tc>
          <w:tcPr/>
          <w:p>
            <w:pPr>
              <w:pStyle w:val="Compact"/>
              <w:jc w:val="right"/>
            </w:pPr>
            <w:r>
              <w:t xml:space="preserve">221.890</w:t>
            </w:r>
          </w:p>
        </w:tc>
      </w:tr>
      <w:tr>
        <w:tc>
          <w:tcPr/>
          <w:p>
            <w:pPr>
              <w:pStyle w:val="Compact"/>
              <w:jc w:val="left"/>
            </w:pPr>
            <w:r>
              <w:t xml:space="preserve">sk2bGrow</w:t>
            </w:r>
          </w:p>
        </w:tc>
        <w:tc>
          <w:tcPr/>
          <w:p>
            <w:pPr>
              <w:pStyle w:val="Compact"/>
              <w:jc w:val="right"/>
            </w:pPr>
            <w:r>
              <w:t xml:space="preserve">1.000</w:t>
            </w:r>
          </w:p>
        </w:tc>
        <w:tc>
          <w:tcPr/>
          <w:p>
            <w:pPr>
              <w:pStyle w:val="Compact"/>
              <w:jc w:val="right"/>
            </w:pPr>
            <w:r>
              <w:t xml:space="preserve">0.134</w:t>
            </w:r>
          </w:p>
        </w:tc>
        <w:tc>
          <w:tcPr/>
          <w:p>
            <w:pPr>
              <w:pStyle w:val="Compact"/>
              <w:jc w:val="right"/>
            </w:pPr>
            <w:r>
              <w:t xml:space="preserve">-0.013</w:t>
            </w:r>
          </w:p>
        </w:tc>
        <w:tc>
          <w:tcPr/>
          <w:p>
            <w:pPr>
              <w:pStyle w:val="Compact"/>
              <w:jc w:val="right"/>
            </w:pPr>
            <w:r>
              <w:t xml:space="preserve">0.000</w:t>
            </w:r>
          </w:p>
        </w:tc>
        <w:tc>
          <w:tcPr/>
          <w:p>
            <w:pPr>
              <w:pStyle w:val="Compact"/>
              <w:jc w:val="right"/>
            </w:pPr>
            <w:r>
              <w:t xml:space="preserve">16.354</w:t>
            </w:r>
          </w:p>
        </w:tc>
        <w:tc>
          <w:tcPr/>
          <w:p>
            <w:pPr>
              <w:pStyle w:val="Compact"/>
              <w:jc w:val="right"/>
            </w:pPr>
            <w:r>
              <w:t xml:space="preserve">187.237</w:t>
            </w:r>
          </w:p>
        </w:tc>
      </w:tr>
    </w:tbl>
    <w:p>
      <w:pPr>
        <w:pStyle w:val="BodyText"/>
      </w:pPr>
      <w:r>
        <w:rPr>
          <w:b/>
          <w:bCs/>
        </w:rPr>
        <w:t xml:space="preserve">spurious</w:t>
      </w:r>
      <w:r>
        <w:t xml:space="preserve"> </w:t>
      </w:r>
      <w:r>
        <w:t xml:space="preserve">counts genomes reported that were not in the sample (false positives); both methods scored zero.</w:t>
      </w:r>
    </w:p>
    <w:p>
      <w:pPr>
        <w:pStyle w:val="BodyText"/>
      </w:pPr>
      <w:r>
        <w:rPr>
          <w:b/>
          <w:bCs/>
        </w:rPr>
        <w:t xml:space="preserve">Table 5. Which of Pilea’s quality gates suppresses the estimate</w:t>
      </w:r>
    </w:p>
    <w:tbl>
      <w:tblPr>
        <w:tblStyle w:val="Table"/>
        <w:tblW w:type="pct" w:w="5000"/>
        <w:tblLayout w:type="fixed"/>
        <w:tblLook w:firstRow="1" w:lastRow="0" w:firstColumn="0" w:lastColumn="0" w:noHBand="0" w:noVBand="0" w:val="0020"/>
      </w:tblPr>
      <w:tblGrid>
        <w:gridCol w:w="688"/>
        <w:gridCol w:w="516"/>
        <w:gridCol w:w="286"/>
        <w:gridCol w:w="1434"/>
        <w:gridCol w:w="1090"/>
        <w:gridCol w:w="1262"/>
        <w:gridCol w:w="1262"/>
        <w:gridCol w:w="1377"/>
      </w:tblGrid>
      <w:tr>
        <w:trPr>
          <w:tblHeader w:val="on"/>
        </w:trPr>
        <w:tc>
          <w:tcPr/>
          <w:p>
            <w:pPr>
              <w:pStyle w:val="Compact"/>
              <w:jc w:val="left"/>
            </w:pPr>
            <w:r>
              <w:t xml:space="preserve">dataset</w:t>
            </w:r>
          </w:p>
        </w:tc>
        <w:tc>
          <w:tcPr/>
          <w:p>
            <w:pPr>
              <w:pStyle w:val="Compact"/>
              <w:jc w:val="right"/>
            </w:pPr>
            <w:r>
              <w:t xml:space="preserve">depth</w:t>
            </w:r>
          </w:p>
        </w:tc>
        <w:tc>
          <w:tcPr/>
          <w:p>
            <w:pPr>
              <w:pStyle w:val="Compact"/>
              <w:jc w:val="right"/>
            </w:pPr>
            <w:r>
              <w:t xml:space="preserve">n</w:t>
            </w:r>
          </w:p>
        </w:tc>
        <w:tc>
          <w:tcPr/>
          <w:p>
            <w:pPr>
              <w:pStyle w:val="Compact"/>
              <w:jc w:val="right"/>
            </w:pPr>
            <w:r>
              <w:t xml:space="preserve">median k-mer coverage</w:t>
            </w:r>
          </w:p>
        </w:tc>
        <w:tc>
          <w:tcPr/>
          <w:p>
            <w:pPr>
              <w:pStyle w:val="Compact"/>
              <w:jc w:val="right"/>
            </w:pPr>
            <w:r>
              <w:t xml:space="preserve">min-cove (-x 5)</w:t>
            </w:r>
          </w:p>
        </w:tc>
        <w:tc>
          <w:tcPr/>
          <w:p>
            <w:pPr>
              <w:pStyle w:val="Compact"/>
              <w:jc w:val="right"/>
            </w:pPr>
            <w:r>
              <w:t xml:space="preserve">min-frac (-z 0.75)</w:t>
            </w:r>
          </w:p>
        </w:tc>
        <w:tc>
          <w:tcPr/>
          <w:p>
            <w:pPr>
              <w:pStyle w:val="Compact"/>
              <w:jc w:val="right"/>
            </w:pPr>
            <w:r>
              <w:t xml:space="preserve">min-cont (-c 0.25)</w:t>
            </w:r>
          </w:p>
        </w:tc>
        <w:tc>
          <w:tcPr/>
          <w:p>
            <w:pPr>
              <w:pStyle w:val="Compact"/>
              <w:jc w:val="right"/>
            </w:pPr>
            <w:r>
              <w:t xml:space="preserve">reported by defaults</w:t>
            </w:r>
          </w:p>
        </w:tc>
      </w:tr>
      <w:tr>
        <w:tc>
          <w:tcPr/>
          <w:p>
            <w:pPr>
              <w:pStyle w:val="Compact"/>
              <w:jc w:val="left"/>
            </w:pPr>
            <w:r>
              <w:t xml:space="preserve">ecoli</w:t>
            </w:r>
          </w:p>
        </w:tc>
        <w:tc>
          <w:tcPr/>
          <w:p>
            <w:pPr>
              <w:pStyle w:val="Compact"/>
              <w:jc w:val="right"/>
            </w:pPr>
            <w:r>
              <w:t xml:space="preserve">0.500</w:t>
            </w:r>
          </w:p>
        </w:tc>
        <w:tc>
          <w:tcPr/>
          <w:p>
            <w:pPr>
              <w:pStyle w:val="Compact"/>
              <w:jc w:val="right"/>
            </w:pPr>
            <w:r>
              <w:t xml:space="preserve">17</w:t>
            </w:r>
          </w:p>
        </w:tc>
        <w:tc>
          <w:tcPr/>
          <w:p>
            <w:pPr>
              <w:pStyle w:val="Compact"/>
              <w:jc w:val="right"/>
            </w:pPr>
            <w:r>
              <w:t xml:space="preserve">1.000</w:t>
            </w:r>
          </w:p>
        </w:tc>
        <w:tc>
          <w:tcPr/>
          <w:p>
            <w:pPr>
              <w:pStyle w:val="Compact"/>
              <w:jc w:val="right"/>
            </w:pPr>
            <w:r>
              <w:t xml:space="preserve">0.000</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0.000</w:t>
            </w:r>
          </w:p>
        </w:tc>
      </w:tr>
      <w:tr>
        <w:tc>
          <w:tcPr/>
          <w:p>
            <w:pPr>
              <w:pStyle w:val="Compact"/>
              <w:jc w:val="left"/>
            </w:pPr>
            <w:r>
              <w:t xml:space="preserve">ecoli</w:t>
            </w:r>
          </w:p>
        </w:tc>
        <w:tc>
          <w:tcPr/>
          <w:p>
            <w:pPr>
              <w:pStyle w:val="Compact"/>
              <w:jc w:val="right"/>
            </w:pPr>
            <w:r>
              <w:t xml:space="preserve">1.000</w:t>
            </w:r>
          </w:p>
        </w:tc>
        <w:tc>
          <w:tcPr/>
          <w:p>
            <w:pPr>
              <w:pStyle w:val="Compact"/>
              <w:jc w:val="right"/>
            </w:pPr>
            <w:r>
              <w:t xml:space="preserve">17</w:t>
            </w:r>
          </w:p>
        </w:tc>
        <w:tc>
          <w:tcPr/>
          <w:p>
            <w:pPr>
              <w:pStyle w:val="Compact"/>
              <w:jc w:val="right"/>
            </w:pPr>
            <w:r>
              <w:t xml:space="preserve">1.454</w:t>
            </w:r>
          </w:p>
        </w:tc>
        <w:tc>
          <w:tcPr/>
          <w:p>
            <w:pPr>
              <w:pStyle w:val="Compact"/>
              <w:jc w:val="right"/>
            </w:pPr>
            <w:r>
              <w:t xml:space="preserve">0.000</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0.000</w:t>
            </w:r>
          </w:p>
        </w:tc>
      </w:tr>
      <w:tr>
        <w:tc>
          <w:tcPr/>
          <w:p>
            <w:pPr>
              <w:pStyle w:val="Compact"/>
              <w:jc w:val="left"/>
            </w:pPr>
            <w:r>
              <w:t xml:space="preserve">ecoli</w:t>
            </w:r>
          </w:p>
        </w:tc>
        <w:tc>
          <w:tcPr/>
          <w:p>
            <w:pPr>
              <w:pStyle w:val="Compact"/>
              <w:jc w:val="right"/>
            </w:pPr>
            <w:r>
              <w:t xml:space="preserve">2.000</w:t>
            </w:r>
          </w:p>
        </w:tc>
        <w:tc>
          <w:tcPr/>
          <w:p>
            <w:pPr>
              <w:pStyle w:val="Compact"/>
              <w:jc w:val="right"/>
            </w:pPr>
            <w:r>
              <w:t xml:space="preserve">17</w:t>
            </w:r>
          </w:p>
        </w:tc>
        <w:tc>
          <w:tcPr/>
          <w:p>
            <w:pPr>
              <w:pStyle w:val="Compact"/>
              <w:jc w:val="right"/>
            </w:pPr>
            <w:r>
              <w:t xml:space="preserve">1.995</w:t>
            </w:r>
          </w:p>
        </w:tc>
        <w:tc>
          <w:tcPr/>
          <w:p>
            <w:pPr>
              <w:pStyle w:val="Compact"/>
              <w:jc w:val="right"/>
            </w:pPr>
            <w:r>
              <w:t xml:space="preserve">0.000</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0.000</w:t>
            </w:r>
          </w:p>
        </w:tc>
      </w:tr>
      <w:tr>
        <w:tc>
          <w:tcPr/>
          <w:p>
            <w:pPr>
              <w:pStyle w:val="Compact"/>
              <w:jc w:val="left"/>
            </w:pPr>
            <w:r>
              <w:t xml:space="preserve">ecoli</w:t>
            </w:r>
          </w:p>
        </w:tc>
        <w:tc>
          <w:tcPr/>
          <w:p>
            <w:pPr>
              <w:pStyle w:val="Compact"/>
              <w:jc w:val="right"/>
            </w:pPr>
            <w:r>
              <w:t xml:space="preserve">5.000</w:t>
            </w:r>
          </w:p>
        </w:tc>
        <w:tc>
          <w:tcPr/>
          <w:p>
            <w:pPr>
              <w:pStyle w:val="Compact"/>
              <w:jc w:val="right"/>
            </w:pPr>
            <w:r>
              <w:t xml:space="preserve">17</w:t>
            </w:r>
          </w:p>
        </w:tc>
        <w:tc>
          <w:tcPr/>
          <w:p>
            <w:pPr>
              <w:pStyle w:val="Compact"/>
              <w:jc w:val="right"/>
            </w:pPr>
            <w:r>
              <w:t xml:space="preserve">3.933</w:t>
            </w:r>
          </w:p>
        </w:tc>
        <w:tc>
          <w:tcPr/>
          <w:p>
            <w:pPr>
              <w:pStyle w:val="Compact"/>
              <w:jc w:val="right"/>
            </w:pPr>
            <w:r>
              <w:t xml:space="preserve">0.000</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0.000</w:t>
            </w:r>
          </w:p>
        </w:tc>
      </w:tr>
      <w:tr>
        <w:tc>
          <w:tcPr/>
          <w:p>
            <w:pPr>
              <w:pStyle w:val="Compact"/>
              <w:jc w:val="left"/>
            </w:pPr>
            <w:r>
              <w:t xml:space="preserve">ecoli</w:t>
            </w:r>
          </w:p>
        </w:tc>
        <w:tc>
          <w:tcPr/>
          <w:p>
            <w:pPr>
              <w:pStyle w:val="Compact"/>
              <w:jc w:val="right"/>
            </w:pPr>
            <w:r>
              <w:t xml:space="preserve">10.000</w:t>
            </w:r>
          </w:p>
        </w:tc>
        <w:tc>
          <w:tcPr/>
          <w:p>
            <w:pPr>
              <w:pStyle w:val="Compact"/>
              <w:jc w:val="right"/>
            </w:pPr>
            <w:r>
              <w:t xml:space="preserve">16</w:t>
            </w:r>
          </w:p>
        </w:tc>
        <w:tc>
          <w:tcPr/>
          <w:p>
            <w:pPr>
              <w:pStyle w:val="Compact"/>
              <w:jc w:val="right"/>
            </w:pPr>
            <w:r>
              <w:t xml:space="preserve">7.573</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100.000</w:t>
            </w:r>
          </w:p>
        </w:tc>
        <w:tc>
          <w:tcPr/>
          <w:p>
            <w:pPr>
              <w:pStyle w:val="Compact"/>
              <w:jc w:val="right"/>
            </w:pPr>
            <w:r>
              <w:t xml:space="preserve">100.000</w:t>
            </w:r>
          </w:p>
        </w:tc>
      </w:tr>
      <w:tr>
        <w:tc>
          <w:tcPr/>
          <w:p>
            <w:pPr>
              <w:pStyle w:val="Compact"/>
              <w:jc w:val="left"/>
            </w:pPr>
            <w:r>
              <w:t xml:space="preserve">simulation</w:t>
            </w:r>
          </w:p>
        </w:tc>
        <w:tc>
          <w:tcPr/>
          <w:p>
            <w:pPr>
              <w:pStyle w:val="Compact"/>
              <w:jc w:val="right"/>
            </w:pPr>
            <w:r>
              <w:t xml:space="preserve">1.000</w:t>
            </w:r>
          </w:p>
        </w:tc>
        <w:tc>
          <w:tcPr/>
          <w:p>
            <w:pPr>
              <w:pStyle w:val="Compact"/>
              <w:jc w:val="right"/>
            </w:pPr>
            <w:r>
              <w:t xml:space="preserve">55</w:t>
            </w:r>
          </w:p>
        </w:tc>
        <w:tc>
          <w:tcPr/>
          <w:p>
            <w:pPr>
              <w:pStyle w:val="Compact"/>
              <w:jc w:val="right"/>
            </w:pPr>
            <w:r>
              <w:t xml:space="preserve">1.439</w:t>
            </w:r>
          </w:p>
        </w:tc>
        <w:tc>
          <w:tcPr/>
          <w:p>
            <w:pPr>
              <w:pStyle w:val="Compact"/>
              <w:jc w:val="right"/>
            </w:pPr>
            <w:r>
              <w:t xml:space="preserve">0.000</w:t>
            </w:r>
          </w:p>
        </w:tc>
        <w:tc>
          <w:tcPr/>
          <w:p>
            <w:pPr>
              <w:pStyle w:val="Compact"/>
              <w:jc w:val="right"/>
            </w:pPr>
            <w:r>
              <w:t xml:space="preserve">96.364</w:t>
            </w:r>
          </w:p>
        </w:tc>
        <w:tc>
          <w:tcPr/>
          <w:p>
            <w:pPr>
              <w:pStyle w:val="Compact"/>
              <w:jc w:val="right"/>
            </w:pPr>
            <w:r>
              <w:t xml:space="preserve">89.091</w:t>
            </w:r>
          </w:p>
        </w:tc>
        <w:tc>
          <w:tcPr/>
          <w:p>
            <w:pPr>
              <w:pStyle w:val="Compact"/>
              <w:jc w:val="right"/>
            </w:pPr>
            <w:r>
              <w:t xml:space="preserve">0.000</w:t>
            </w:r>
          </w:p>
        </w:tc>
      </w:tr>
      <w:tr>
        <w:tc>
          <w:tcPr/>
          <w:p>
            <w:pPr>
              <w:pStyle w:val="Compact"/>
              <w:jc w:val="left"/>
            </w:pPr>
            <w:r>
              <w:t xml:space="preserve">simulation</w:t>
            </w:r>
          </w:p>
        </w:tc>
        <w:tc>
          <w:tcPr/>
          <w:p>
            <w:pPr>
              <w:pStyle w:val="Compact"/>
              <w:jc w:val="right"/>
            </w:pPr>
            <w:r>
              <w:t xml:space="preserve">2.000</w:t>
            </w:r>
          </w:p>
        </w:tc>
        <w:tc>
          <w:tcPr/>
          <w:p>
            <w:pPr>
              <w:pStyle w:val="Compact"/>
              <w:jc w:val="right"/>
            </w:pPr>
            <w:r>
              <w:t xml:space="preserve">56</w:t>
            </w:r>
          </w:p>
        </w:tc>
        <w:tc>
          <w:tcPr/>
          <w:p>
            <w:pPr>
              <w:pStyle w:val="Compact"/>
              <w:jc w:val="right"/>
            </w:pPr>
            <w:r>
              <w:t xml:space="preserve">1.969</w:t>
            </w:r>
          </w:p>
        </w:tc>
        <w:tc>
          <w:tcPr/>
          <w:p>
            <w:pPr>
              <w:pStyle w:val="Compact"/>
              <w:jc w:val="right"/>
            </w:pPr>
            <w:r>
              <w:t xml:space="preserve">0.000</w:t>
            </w:r>
          </w:p>
        </w:tc>
        <w:tc>
          <w:tcPr/>
          <w:p>
            <w:pPr>
              <w:pStyle w:val="Compact"/>
              <w:jc w:val="right"/>
            </w:pPr>
            <w:r>
              <w:t xml:space="preserve">92.857</w:t>
            </w:r>
          </w:p>
        </w:tc>
        <w:tc>
          <w:tcPr/>
          <w:p>
            <w:pPr>
              <w:pStyle w:val="Compact"/>
              <w:jc w:val="right"/>
            </w:pPr>
            <w:r>
              <w:t xml:space="preserve">94.643</w:t>
            </w:r>
          </w:p>
        </w:tc>
        <w:tc>
          <w:tcPr/>
          <w:p>
            <w:pPr>
              <w:pStyle w:val="Compact"/>
              <w:jc w:val="right"/>
            </w:pPr>
            <w:r>
              <w:t xml:space="preserve">0.000</w:t>
            </w:r>
          </w:p>
        </w:tc>
      </w:tr>
      <w:tr>
        <w:tc>
          <w:tcPr/>
          <w:p>
            <w:pPr>
              <w:pStyle w:val="Compact"/>
              <w:jc w:val="left"/>
            </w:pPr>
            <w:r>
              <w:t xml:space="preserve">simulation</w:t>
            </w:r>
          </w:p>
        </w:tc>
        <w:tc>
          <w:tcPr/>
          <w:p>
            <w:pPr>
              <w:pStyle w:val="Compact"/>
              <w:jc w:val="right"/>
            </w:pPr>
            <w:r>
              <w:t xml:space="preserve">4.000</w:t>
            </w:r>
          </w:p>
        </w:tc>
        <w:tc>
          <w:tcPr/>
          <w:p>
            <w:pPr>
              <w:pStyle w:val="Compact"/>
              <w:jc w:val="right"/>
            </w:pPr>
            <w:r>
              <w:t xml:space="preserve">56</w:t>
            </w:r>
          </w:p>
        </w:tc>
        <w:tc>
          <w:tcPr/>
          <w:p>
            <w:pPr>
              <w:pStyle w:val="Compact"/>
              <w:jc w:val="right"/>
            </w:pPr>
            <w:r>
              <w:t xml:space="preserve">3.292</w:t>
            </w:r>
          </w:p>
        </w:tc>
        <w:tc>
          <w:tcPr/>
          <w:p>
            <w:pPr>
              <w:pStyle w:val="Compact"/>
              <w:jc w:val="right"/>
            </w:pPr>
            <w:r>
              <w:t xml:space="preserve">0.000</w:t>
            </w:r>
          </w:p>
        </w:tc>
        <w:tc>
          <w:tcPr/>
          <w:p>
            <w:pPr>
              <w:pStyle w:val="Compact"/>
              <w:jc w:val="right"/>
            </w:pPr>
            <w:r>
              <w:t xml:space="preserve">92.857</w:t>
            </w:r>
          </w:p>
        </w:tc>
        <w:tc>
          <w:tcPr/>
          <w:p>
            <w:pPr>
              <w:pStyle w:val="Compact"/>
              <w:jc w:val="right"/>
            </w:pPr>
            <w:r>
              <w:t xml:space="preserve">94.643</w:t>
            </w:r>
          </w:p>
        </w:tc>
        <w:tc>
          <w:tcPr/>
          <w:p>
            <w:pPr>
              <w:pStyle w:val="Compact"/>
              <w:jc w:val="right"/>
            </w:pPr>
            <w:r>
              <w:t xml:space="preserve">0.000</w:t>
            </w:r>
          </w:p>
        </w:tc>
      </w:tr>
      <w:tr>
        <w:tc>
          <w:tcPr/>
          <w:p>
            <w:pPr>
              <w:pStyle w:val="Compact"/>
              <w:jc w:val="left"/>
            </w:pPr>
            <w:r>
              <w:t xml:space="preserve">simulation</w:t>
            </w:r>
          </w:p>
        </w:tc>
        <w:tc>
          <w:tcPr/>
          <w:p>
            <w:pPr>
              <w:pStyle w:val="Compact"/>
              <w:jc w:val="right"/>
            </w:pPr>
            <w:r>
              <w:t xml:space="preserve">8.000</w:t>
            </w:r>
          </w:p>
        </w:tc>
        <w:tc>
          <w:tcPr/>
          <w:p>
            <w:pPr>
              <w:pStyle w:val="Compact"/>
              <w:jc w:val="right"/>
            </w:pPr>
            <w:r>
              <w:t xml:space="preserve">56</w:t>
            </w:r>
          </w:p>
        </w:tc>
        <w:tc>
          <w:tcPr/>
          <w:p>
            <w:pPr>
              <w:pStyle w:val="Compact"/>
              <w:jc w:val="right"/>
            </w:pPr>
            <w:r>
              <w:t xml:space="preserve">6.416</w:t>
            </w:r>
          </w:p>
        </w:tc>
        <w:tc>
          <w:tcPr/>
          <w:p>
            <w:pPr>
              <w:pStyle w:val="Compact"/>
              <w:jc w:val="right"/>
            </w:pPr>
            <w:r>
              <w:t xml:space="preserve">100.000</w:t>
            </w:r>
          </w:p>
        </w:tc>
        <w:tc>
          <w:tcPr/>
          <w:p>
            <w:pPr>
              <w:pStyle w:val="Compact"/>
              <w:jc w:val="right"/>
            </w:pPr>
            <w:r>
              <w:t xml:space="preserve">94.643</w:t>
            </w:r>
          </w:p>
        </w:tc>
        <w:tc>
          <w:tcPr/>
          <w:p>
            <w:pPr>
              <w:pStyle w:val="Compact"/>
              <w:jc w:val="right"/>
            </w:pPr>
            <w:r>
              <w:t xml:space="preserve">96.429</w:t>
            </w:r>
          </w:p>
        </w:tc>
        <w:tc>
          <w:tcPr/>
          <w:p>
            <w:pPr>
              <w:pStyle w:val="Compact"/>
              <w:jc w:val="right"/>
            </w:pPr>
            <w:r>
              <w:t xml:space="preserve">91.071</w:t>
            </w:r>
          </w:p>
        </w:tc>
      </w:tr>
    </w:tbl>
    <w:p>
      <w:pPr>
        <w:pStyle w:val="BodyText"/>
      </w:pPr>
      <w:r>
        <w:t xml:space="preserve">Percentages are the share of genome-estimates passing that gate alone;</w:t>
      </w:r>
      <w:r>
        <w:t xml:space="preserve"> </w:t>
      </w:r>
      <w:r>
        <w:t xml:space="preserve">“reported by defaults”</w:t>
      </w:r>
      <w:r>
        <w:t xml:space="preserve"> </w:t>
      </w:r>
      <w:r>
        <w:t xml:space="preserve">is the share passing all three. Of the 240 estimates the defaults discard, the sole cause is min-cove (-x 5) for 213, min-frac (-z 0.75) for 3, min-cont (-c 0.25) for 2. A 150 bp read yields 120 31-mers, so the k-mer-coverage threshold of 5 corresponds to about 6.25x read coverage (5 x 150/120).</w:t>
      </w:r>
    </w:p>
    <w:p>
      <w:pPr>
        <w:pStyle w:val="BodyText"/>
      </w:pPr>
      <w:r>
        <w:rPr>
          <w:b/>
          <w:bCs/>
        </w:rPr>
        <w:t xml:space="preserve">Table 6. Single-enzyme PTR accuracy on the E. coli panel</w:t>
      </w:r>
    </w:p>
    <w:tbl>
      <w:tblPr>
        <w:tblStyle w:val="Table"/>
        <w:tblW w:type="pct" w:w="5000"/>
        <w:tblLayout w:type="fixed"/>
        <w:tblLook w:firstRow="1" w:lastRow="0" w:firstColumn="0" w:lastColumn="0" w:noHBand="0" w:noVBand="0" w:val="0020"/>
      </w:tblPr>
      <w:tblGrid>
        <w:gridCol w:w="462"/>
        <w:gridCol w:w="578"/>
        <w:gridCol w:w="635"/>
        <w:gridCol w:w="635"/>
        <w:gridCol w:w="693"/>
        <w:gridCol w:w="578"/>
        <w:gridCol w:w="462"/>
        <w:gridCol w:w="462"/>
        <w:gridCol w:w="462"/>
        <w:gridCol w:w="520"/>
        <w:gridCol w:w="520"/>
        <w:gridCol w:w="693"/>
        <w:gridCol w:w="693"/>
        <w:gridCol w:w="520"/>
      </w:tblGrid>
      <w:tr>
        <w:trPr>
          <w:tblHeader w:val="on"/>
        </w:trPr>
        <w:tc>
          <w:tcPr/>
          <w:p>
            <w:pPr>
              <w:pStyle w:val="Compact"/>
              <w:jc w:val="right"/>
            </w:pPr>
            <w:r>
              <w:t xml:space="preserve">rank</w:t>
            </w:r>
          </w:p>
        </w:tc>
        <w:tc>
          <w:tcPr/>
          <w:p>
            <w:pPr>
              <w:pStyle w:val="Compact"/>
              <w:jc w:val="left"/>
            </w:pPr>
            <w:r>
              <w:t xml:space="preserve">enzyme</w:t>
            </w:r>
          </w:p>
        </w:tc>
        <w:tc>
          <w:tcPr/>
          <w:p>
            <w:pPr>
              <w:pStyle w:val="Compact"/>
              <w:jc w:val="right"/>
            </w:pPr>
            <w:r>
              <w:t xml:space="preserve">anchors</w:t>
            </w:r>
          </w:p>
        </w:tc>
        <w:tc>
          <w:tcPr/>
          <w:p>
            <w:pPr>
              <w:pStyle w:val="Compact"/>
              <w:jc w:val="right"/>
            </w:pPr>
            <w:r>
              <w:t xml:space="preserve">windows</w:t>
            </w:r>
          </w:p>
        </w:tc>
        <w:tc>
          <w:tcPr/>
          <w:p>
            <w:pPr>
              <w:pStyle w:val="Compact"/>
              <w:jc w:val="right"/>
            </w:pPr>
            <w:r>
              <w:t xml:space="preserve">fit_rate</w:t>
            </w:r>
          </w:p>
        </w:tc>
        <w:tc>
          <w:tcPr/>
          <w:p>
            <w:pPr>
              <w:pStyle w:val="Compact"/>
              <w:jc w:val="right"/>
            </w:pPr>
            <w:r>
              <w:t xml:space="preserve">r@0.5x</w:t>
            </w:r>
          </w:p>
        </w:tc>
        <w:tc>
          <w:tcPr/>
          <w:p>
            <w:pPr>
              <w:pStyle w:val="Compact"/>
              <w:jc w:val="right"/>
            </w:pPr>
            <w:r>
              <w:t xml:space="preserve">r@1x</w:t>
            </w:r>
          </w:p>
        </w:tc>
        <w:tc>
          <w:tcPr/>
          <w:p>
            <w:pPr>
              <w:pStyle w:val="Compact"/>
              <w:jc w:val="right"/>
            </w:pPr>
            <w:r>
              <w:t xml:space="preserve">r@2x</w:t>
            </w:r>
          </w:p>
        </w:tc>
        <w:tc>
          <w:tcPr/>
          <w:p>
            <w:pPr>
              <w:pStyle w:val="Compact"/>
              <w:jc w:val="right"/>
            </w:pPr>
            <w:r>
              <w:t xml:space="preserve">r@5x</w:t>
            </w:r>
          </w:p>
        </w:tc>
        <w:tc>
          <w:tcPr/>
          <w:p>
            <w:pPr>
              <w:pStyle w:val="Compact"/>
              <w:jc w:val="right"/>
            </w:pPr>
            <w:r>
              <w:t xml:space="preserve">r@10x</w:t>
            </w:r>
          </w:p>
        </w:tc>
        <w:tc>
          <w:tcPr/>
          <w:p>
            <w:pPr>
              <w:pStyle w:val="Compact"/>
              <w:jc w:val="right"/>
            </w:pPr>
            <w:r>
              <w:t xml:space="preserve">r_low</w:t>
            </w:r>
          </w:p>
        </w:tc>
        <w:tc>
          <w:tcPr/>
          <w:p>
            <w:pPr>
              <w:pStyle w:val="Compact"/>
              <w:jc w:val="right"/>
            </w:pPr>
            <w:r>
              <w:t xml:space="preserve">rmse_low</w:t>
            </w:r>
          </w:p>
        </w:tc>
        <w:tc>
          <w:tcPr/>
          <w:p>
            <w:pPr>
              <w:pStyle w:val="Compact"/>
              <w:jc w:val="right"/>
            </w:pPr>
            <w:r>
              <w:t xml:space="preserve">ctl_bias</w:t>
            </w:r>
          </w:p>
        </w:tc>
        <w:tc>
          <w:tcPr/>
          <w:p>
            <w:pPr>
              <w:pStyle w:val="Compact"/>
              <w:jc w:val="right"/>
            </w:pPr>
            <w:r>
              <w:t xml:space="preserve">score</w:t>
            </w:r>
          </w:p>
        </w:tc>
      </w:tr>
      <w:tr>
        <w:tc>
          <w:tcPr/>
          <w:p>
            <w:pPr>
              <w:pStyle w:val="Compact"/>
              <w:jc w:val="right"/>
            </w:pPr>
            <w:r>
              <w:t xml:space="preserve">1</w:t>
            </w:r>
          </w:p>
        </w:tc>
        <w:tc>
          <w:tcPr/>
          <w:p>
            <w:pPr>
              <w:pStyle w:val="Compact"/>
              <w:jc w:val="left"/>
            </w:pPr>
            <w:r>
              <w:t xml:space="preserve">CjePI</w:t>
            </w:r>
          </w:p>
        </w:tc>
        <w:tc>
          <w:tcPr/>
          <w:p>
            <w:pPr>
              <w:pStyle w:val="Compact"/>
              <w:jc w:val="right"/>
            </w:pPr>
            <w:r>
              <w:t xml:space="preserve">7616</w:t>
            </w:r>
          </w:p>
        </w:tc>
        <w:tc>
          <w:tcPr/>
          <w:p>
            <w:pPr>
              <w:pStyle w:val="Compact"/>
              <w:jc w:val="right"/>
            </w:pPr>
            <w:r>
              <w:t xml:space="preserve">76</w:t>
            </w:r>
          </w:p>
        </w:tc>
        <w:tc>
          <w:tcPr/>
          <w:p>
            <w:pPr>
              <w:pStyle w:val="Compact"/>
              <w:jc w:val="right"/>
            </w:pPr>
            <w:r>
              <w:t xml:space="preserve">0.953</w:t>
            </w:r>
          </w:p>
        </w:tc>
        <w:tc>
          <w:tcPr/>
          <w:p>
            <w:pPr>
              <w:pStyle w:val="Compact"/>
              <w:jc w:val="right"/>
            </w:pPr>
            <w:r>
              <w:t xml:space="preserve">0.901</w:t>
            </w:r>
          </w:p>
        </w:tc>
        <w:tc>
          <w:tcPr/>
          <w:p>
            <w:pPr>
              <w:pStyle w:val="Compact"/>
              <w:jc w:val="right"/>
            </w:pPr>
            <w:r>
              <w:t xml:space="preserve">0.934</w:t>
            </w:r>
          </w:p>
        </w:tc>
        <w:tc>
          <w:tcPr/>
          <w:p>
            <w:pPr>
              <w:pStyle w:val="Compact"/>
              <w:jc w:val="right"/>
            </w:pPr>
            <w:r>
              <w:t xml:space="preserve">0.970</w:t>
            </w:r>
          </w:p>
        </w:tc>
        <w:tc>
          <w:tcPr/>
          <w:p>
            <w:pPr>
              <w:pStyle w:val="Compact"/>
              <w:jc w:val="right"/>
            </w:pPr>
            <w:r>
              <w:t xml:space="preserve">0.963</w:t>
            </w:r>
          </w:p>
        </w:tc>
        <w:tc>
          <w:tcPr/>
          <w:p>
            <w:pPr>
              <w:pStyle w:val="Compact"/>
              <w:jc w:val="right"/>
            </w:pPr>
            <w:r>
              <w:t xml:space="preserve">0.939</w:t>
            </w:r>
          </w:p>
        </w:tc>
        <w:tc>
          <w:tcPr/>
          <w:p>
            <w:pPr>
              <w:pStyle w:val="Compact"/>
              <w:jc w:val="right"/>
            </w:pPr>
            <w:r>
              <w:t xml:space="preserve">0.935</w:t>
            </w:r>
          </w:p>
        </w:tc>
        <w:tc>
          <w:tcPr/>
          <w:p>
            <w:pPr>
              <w:pStyle w:val="Compact"/>
              <w:jc w:val="right"/>
            </w:pPr>
            <w:r>
              <w:t xml:space="preserve">0.193</w:t>
            </w:r>
          </w:p>
        </w:tc>
        <w:tc>
          <w:tcPr/>
          <w:p>
            <w:pPr>
              <w:pStyle w:val="Compact"/>
              <w:jc w:val="right"/>
            </w:pPr>
            <w:r>
              <w:t xml:space="preserve">0.029</w:t>
            </w:r>
          </w:p>
        </w:tc>
        <w:tc>
          <w:tcPr/>
          <w:p>
            <w:pPr>
              <w:pStyle w:val="Compact"/>
              <w:jc w:val="right"/>
            </w:pPr>
            <w:r>
              <w:t xml:space="preserve">0.879</w:t>
            </w:r>
          </w:p>
        </w:tc>
      </w:tr>
      <w:tr>
        <w:tc>
          <w:tcPr/>
          <w:p>
            <w:pPr>
              <w:pStyle w:val="Compact"/>
              <w:jc w:val="right"/>
            </w:pPr>
            <w:r>
              <w:t xml:space="preserve">2</w:t>
            </w:r>
          </w:p>
        </w:tc>
        <w:tc>
          <w:tcPr/>
          <w:p>
            <w:pPr>
              <w:pStyle w:val="Compact"/>
              <w:jc w:val="left"/>
            </w:pPr>
            <w:r>
              <w:t xml:space="preserve">CjeI</w:t>
            </w:r>
          </w:p>
        </w:tc>
        <w:tc>
          <w:tcPr/>
          <w:p>
            <w:pPr>
              <w:pStyle w:val="Compact"/>
              <w:jc w:val="right"/>
            </w:pPr>
            <w:r>
              <w:t xml:space="preserve">8797</w:t>
            </w:r>
          </w:p>
        </w:tc>
        <w:tc>
          <w:tcPr/>
          <w:p>
            <w:pPr>
              <w:pStyle w:val="Compact"/>
              <w:jc w:val="right"/>
            </w:pPr>
            <w:r>
              <w:t xml:space="preserve">88</w:t>
            </w:r>
          </w:p>
        </w:tc>
        <w:tc>
          <w:tcPr/>
          <w:p>
            <w:pPr>
              <w:pStyle w:val="Compact"/>
              <w:jc w:val="right"/>
            </w:pPr>
            <w:r>
              <w:t xml:space="preserve">1.000</w:t>
            </w:r>
          </w:p>
        </w:tc>
        <w:tc>
          <w:tcPr/>
          <w:p>
            <w:pPr>
              <w:pStyle w:val="Compact"/>
              <w:jc w:val="right"/>
            </w:pPr>
            <w:r>
              <w:t xml:space="preserve">0.863</w:t>
            </w:r>
          </w:p>
        </w:tc>
        <w:tc>
          <w:tcPr/>
          <w:p>
            <w:pPr>
              <w:pStyle w:val="Compact"/>
              <w:jc w:val="right"/>
            </w:pPr>
            <w:r>
              <w:t xml:space="preserve">0.958</w:t>
            </w:r>
          </w:p>
        </w:tc>
        <w:tc>
          <w:tcPr/>
          <w:p>
            <w:pPr>
              <w:pStyle w:val="Compact"/>
              <w:jc w:val="right"/>
            </w:pPr>
            <w:r>
              <w:t xml:space="preserve">0.975</w:t>
            </w:r>
          </w:p>
        </w:tc>
        <w:tc>
          <w:tcPr/>
          <w:p>
            <w:pPr>
              <w:pStyle w:val="Compact"/>
              <w:jc w:val="right"/>
            </w:pPr>
            <w:r>
              <w:t xml:space="preserve">0.975</w:t>
            </w:r>
          </w:p>
        </w:tc>
        <w:tc>
          <w:tcPr/>
          <w:p>
            <w:pPr>
              <w:pStyle w:val="Compact"/>
              <w:jc w:val="right"/>
            </w:pPr>
            <w:r>
              <w:t xml:space="preserve">0.962</w:t>
            </w:r>
          </w:p>
        </w:tc>
        <w:tc>
          <w:tcPr/>
          <w:p>
            <w:pPr>
              <w:pStyle w:val="Compact"/>
              <w:jc w:val="right"/>
            </w:pPr>
            <w:r>
              <w:t xml:space="preserve">0.932</w:t>
            </w:r>
          </w:p>
        </w:tc>
        <w:tc>
          <w:tcPr/>
          <w:p>
            <w:pPr>
              <w:pStyle w:val="Compact"/>
              <w:jc w:val="right"/>
            </w:pPr>
            <w:r>
              <w:t xml:space="preserve">0.186</w:t>
            </w:r>
          </w:p>
        </w:tc>
        <w:tc>
          <w:tcPr/>
          <w:p>
            <w:pPr>
              <w:pStyle w:val="Compact"/>
              <w:jc w:val="right"/>
            </w:pPr>
            <w:r>
              <w:t xml:space="preserve">0.058</w:t>
            </w:r>
          </w:p>
        </w:tc>
        <w:tc>
          <w:tcPr/>
          <w:p>
            <w:pPr>
              <w:pStyle w:val="Compact"/>
              <w:jc w:val="right"/>
            </w:pPr>
            <w:r>
              <w:t xml:space="preserve">0.871</w:t>
            </w:r>
          </w:p>
        </w:tc>
      </w:tr>
      <w:tr>
        <w:tc>
          <w:tcPr/>
          <w:p>
            <w:pPr>
              <w:pStyle w:val="Compact"/>
              <w:jc w:val="right"/>
            </w:pPr>
            <w:r>
              <w:t xml:space="preserve">3</w:t>
            </w:r>
          </w:p>
        </w:tc>
        <w:tc>
          <w:tcPr/>
          <w:p>
            <w:pPr>
              <w:pStyle w:val="Compact"/>
              <w:jc w:val="left"/>
            </w:pPr>
            <w:r>
              <w:t xml:space="preserve">AlfI</w:t>
            </w:r>
          </w:p>
        </w:tc>
        <w:tc>
          <w:tcPr/>
          <w:p>
            <w:pPr>
              <w:pStyle w:val="Compact"/>
              <w:jc w:val="right"/>
            </w:pPr>
            <w:r>
              <w:t xml:space="preserve">1989</w:t>
            </w:r>
          </w:p>
        </w:tc>
        <w:tc>
          <w:tcPr/>
          <w:p>
            <w:pPr>
              <w:pStyle w:val="Compact"/>
              <w:jc w:val="right"/>
            </w:pPr>
            <w:r>
              <w:t xml:space="preserve">25</w:t>
            </w:r>
          </w:p>
        </w:tc>
        <w:tc>
          <w:tcPr/>
          <w:p>
            <w:pPr>
              <w:pStyle w:val="Compact"/>
              <w:jc w:val="right"/>
            </w:pPr>
            <w:r>
              <w:t xml:space="preserve">0.953</w:t>
            </w:r>
          </w:p>
        </w:tc>
        <w:tc>
          <w:tcPr/>
          <w:p>
            <w:pPr>
              <w:pStyle w:val="Compact"/>
              <w:jc w:val="right"/>
            </w:pPr>
            <w:r>
              <w:t xml:space="preserve">0.821</w:t>
            </w:r>
          </w:p>
        </w:tc>
        <w:tc>
          <w:tcPr/>
          <w:p>
            <w:pPr>
              <w:pStyle w:val="Compact"/>
              <w:jc w:val="right"/>
            </w:pPr>
            <w:r>
              <w:t xml:space="preserve">0.914</w:t>
            </w:r>
          </w:p>
        </w:tc>
        <w:tc>
          <w:tcPr/>
          <w:p>
            <w:pPr>
              <w:pStyle w:val="Compact"/>
              <w:jc w:val="right"/>
            </w:pPr>
            <w:r>
              <w:t xml:space="preserve">0.884</w:t>
            </w:r>
          </w:p>
        </w:tc>
        <w:tc>
          <w:tcPr/>
          <w:p>
            <w:pPr>
              <w:pStyle w:val="Compact"/>
              <w:jc w:val="right"/>
            </w:pPr>
            <w:r>
              <w:t xml:space="preserve">0.936</w:t>
            </w:r>
          </w:p>
        </w:tc>
        <w:tc>
          <w:tcPr/>
          <w:p>
            <w:pPr>
              <w:pStyle w:val="Compact"/>
              <w:jc w:val="right"/>
            </w:pPr>
            <w:r>
              <w:t xml:space="preserve">0.937</w:t>
            </w:r>
          </w:p>
        </w:tc>
        <w:tc>
          <w:tcPr/>
          <w:p>
            <w:pPr>
              <w:pStyle w:val="Compact"/>
              <w:jc w:val="right"/>
            </w:pPr>
            <w:r>
              <w:t xml:space="preserve">0.873</w:t>
            </w:r>
          </w:p>
        </w:tc>
        <w:tc>
          <w:tcPr/>
          <w:p>
            <w:pPr>
              <w:pStyle w:val="Compact"/>
              <w:jc w:val="right"/>
            </w:pPr>
            <w:r>
              <w:t xml:space="preserve">0.268</w:t>
            </w:r>
          </w:p>
        </w:tc>
        <w:tc>
          <w:tcPr/>
          <w:p>
            <w:pPr>
              <w:pStyle w:val="Compact"/>
              <w:jc w:val="right"/>
            </w:pPr>
            <w:r>
              <w:t xml:space="preserve">0.058</w:t>
            </w:r>
          </w:p>
        </w:tc>
        <w:tc>
          <w:tcPr/>
          <w:p>
            <w:pPr>
              <w:pStyle w:val="Compact"/>
              <w:jc w:val="right"/>
            </w:pPr>
            <w:r>
              <w:t xml:space="preserve">0.792</w:t>
            </w:r>
          </w:p>
        </w:tc>
      </w:tr>
      <w:tr>
        <w:tc>
          <w:tcPr/>
          <w:p>
            <w:pPr>
              <w:pStyle w:val="Compact"/>
              <w:jc w:val="right"/>
            </w:pPr>
            <w:r>
              <w:t xml:space="preserve">4</w:t>
            </w:r>
          </w:p>
        </w:tc>
        <w:tc>
          <w:tcPr/>
          <w:p>
            <w:pPr>
              <w:pStyle w:val="Compact"/>
              <w:jc w:val="left"/>
            </w:pPr>
            <w:r>
              <w:t xml:space="preserve">Hin4I</w:t>
            </w:r>
          </w:p>
        </w:tc>
        <w:tc>
          <w:tcPr/>
          <w:p>
            <w:pPr>
              <w:pStyle w:val="Compact"/>
              <w:jc w:val="right"/>
            </w:pPr>
            <w:r>
              <w:t xml:space="preserve">5330</w:t>
            </w:r>
          </w:p>
        </w:tc>
        <w:tc>
          <w:tcPr/>
          <w:p>
            <w:pPr>
              <w:pStyle w:val="Compact"/>
              <w:jc w:val="right"/>
            </w:pPr>
            <w:r>
              <w:t xml:space="preserve">53</w:t>
            </w:r>
          </w:p>
        </w:tc>
        <w:tc>
          <w:tcPr/>
          <w:p>
            <w:pPr>
              <w:pStyle w:val="Compact"/>
              <w:jc w:val="right"/>
            </w:pPr>
            <w:r>
              <w:t xml:space="preserve">1.000</w:t>
            </w:r>
          </w:p>
        </w:tc>
        <w:tc>
          <w:tcPr/>
          <w:p>
            <w:pPr>
              <w:pStyle w:val="Compact"/>
              <w:jc w:val="right"/>
            </w:pPr>
            <w:r>
              <w:t xml:space="preserve">0.697</w:t>
            </w:r>
          </w:p>
        </w:tc>
        <w:tc>
          <w:tcPr/>
          <w:p>
            <w:pPr>
              <w:pStyle w:val="Compact"/>
              <w:jc w:val="right"/>
            </w:pPr>
            <w:r>
              <w:t xml:space="preserve">0.949</w:t>
            </w:r>
          </w:p>
        </w:tc>
        <w:tc>
          <w:tcPr/>
          <w:p>
            <w:pPr>
              <w:pStyle w:val="Compact"/>
              <w:jc w:val="right"/>
            </w:pPr>
            <w:r>
              <w:t xml:space="preserve">0.971</w:t>
            </w:r>
          </w:p>
        </w:tc>
        <w:tc>
          <w:tcPr/>
          <w:p>
            <w:pPr>
              <w:pStyle w:val="Compact"/>
              <w:jc w:val="right"/>
            </w:pPr>
            <w:r>
              <w:t xml:space="preserve">0.961</w:t>
            </w:r>
          </w:p>
        </w:tc>
        <w:tc>
          <w:tcPr/>
          <w:p>
            <w:pPr>
              <w:pStyle w:val="Compact"/>
              <w:jc w:val="right"/>
            </w:pPr>
            <w:r>
              <w:t xml:space="preserve">0.952</w:t>
            </w:r>
          </w:p>
        </w:tc>
        <w:tc>
          <w:tcPr/>
          <w:p>
            <w:pPr>
              <w:pStyle w:val="Compact"/>
              <w:jc w:val="right"/>
            </w:pPr>
            <w:r>
              <w:t xml:space="preserve">0.872</w:t>
            </w:r>
          </w:p>
        </w:tc>
        <w:tc>
          <w:tcPr/>
          <w:p>
            <w:pPr>
              <w:pStyle w:val="Compact"/>
              <w:jc w:val="right"/>
            </w:pPr>
            <w:r>
              <w:t xml:space="preserve">0.227</w:t>
            </w:r>
          </w:p>
        </w:tc>
        <w:tc>
          <w:tcPr/>
          <w:p>
            <w:pPr>
              <w:pStyle w:val="Compact"/>
              <w:jc w:val="right"/>
            </w:pPr>
            <w:r>
              <w:t xml:space="preserve">0.109</w:t>
            </w:r>
          </w:p>
        </w:tc>
        <w:tc>
          <w:tcPr/>
          <w:p>
            <w:pPr>
              <w:pStyle w:val="Compact"/>
              <w:jc w:val="right"/>
            </w:pPr>
            <w:r>
              <w:t xml:space="preserve">0.788</w:t>
            </w:r>
          </w:p>
        </w:tc>
      </w:tr>
      <w:tr>
        <w:tc>
          <w:tcPr/>
          <w:p>
            <w:pPr>
              <w:pStyle w:val="Compact"/>
              <w:jc w:val="right"/>
            </w:pPr>
            <w:r>
              <w:t xml:space="preserve">5</w:t>
            </w:r>
          </w:p>
        </w:tc>
        <w:tc>
          <w:tcPr/>
          <w:p>
            <w:pPr>
              <w:pStyle w:val="Compact"/>
              <w:jc w:val="left"/>
            </w:pPr>
            <w:r>
              <w:t xml:space="preserve">HaeIV</w:t>
            </w:r>
          </w:p>
        </w:tc>
        <w:tc>
          <w:tcPr/>
          <w:p>
            <w:pPr>
              <w:pStyle w:val="Compact"/>
              <w:jc w:val="right"/>
            </w:pPr>
            <w:r>
              <w:t xml:space="preserve">6435</w:t>
            </w:r>
          </w:p>
        </w:tc>
        <w:tc>
          <w:tcPr/>
          <w:p>
            <w:pPr>
              <w:pStyle w:val="Compact"/>
              <w:jc w:val="right"/>
            </w:pPr>
            <w:r>
              <w:t xml:space="preserve">64</w:t>
            </w:r>
          </w:p>
        </w:tc>
        <w:tc>
          <w:tcPr/>
          <w:p>
            <w:pPr>
              <w:pStyle w:val="Compact"/>
              <w:jc w:val="right"/>
            </w:pPr>
            <w:r>
              <w:t xml:space="preserve">1.000</w:t>
            </w:r>
          </w:p>
        </w:tc>
        <w:tc>
          <w:tcPr/>
          <w:p>
            <w:pPr>
              <w:pStyle w:val="Compact"/>
              <w:jc w:val="right"/>
            </w:pPr>
            <w:r>
              <w:t xml:space="preserve">0.711</w:t>
            </w:r>
          </w:p>
        </w:tc>
        <w:tc>
          <w:tcPr/>
          <w:p>
            <w:pPr>
              <w:pStyle w:val="Compact"/>
              <w:jc w:val="right"/>
            </w:pPr>
            <w:r>
              <w:t xml:space="preserve">0.920</w:t>
            </w:r>
          </w:p>
        </w:tc>
        <w:tc>
          <w:tcPr/>
          <w:p>
            <w:pPr>
              <w:pStyle w:val="Compact"/>
              <w:jc w:val="right"/>
            </w:pPr>
            <w:r>
              <w:t xml:space="preserve">0.964</w:t>
            </w:r>
          </w:p>
        </w:tc>
        <w:tc>
          <w:tcPr/>
          <w:p>
            <w:pPr>
              <w:pStyle w:val="Compact"/>
              <w:jc w:val="right"/>
            </w:pPr>
            <w:r>
              <w:t xml:space="preserve">0.968</w:t>
            </w:r>
          </w:p>
        </w:tc>
        <w:tc>
          <w:tcPr/>
          <w:p>
            <w:pPr>
              <w:pStyle w:val="Compact"/>
              <w:jc w:val="right"/>
            </w:pPr>
            <w:r>
              <w:t xml:space="preserve">0.939</w:t>
            </w:r>
          </w:p>
        </w:tc>
        <w:tc>
          <w:tcPr/>
          <w:p>
            <w:pPr>
              <w:pStyle w:val="Compact"/>
              <w:jc w:val="right"/>
            </w:pPr>
            <w:r>
              <w:t xml:space="preserve">0.865</w:t>
            </w:r>
          </w:p>
        </w:tc>
        <w:tc>
          <w:tcPr/>
          <w:p>
            <w:pPr>
              <w:pStyle w:val="Compact"/>
              <w:jc w:val="right"/>
            </w:pPr>
            <w:r>
              <w:t xml:space="preserve">0.259</w:t>
            </w:r>
          </w:p>
        </w:tc>
        <w:tc>
          <w:tcPr/>
          <w:p>
            <w:pPr>
              <w:pStyle w:val="Compact"/>
              <w:jc w:val="right"/>
            </w:pPr>
            <w:r>
              <w:t xml:space="preserve">0.101</w:t>
            </w:r>
          </w:p>
        </w:tc>
        <w:tc>
          <w:tcPr/>
          <w:p>
            <w:pPr>
              <w:pStyle w:val="Compact"/>
              <w:jc w:val="right"/>
            </w:pPr>
            <w:r>
              <w:t xml:space="preserve">0.775</w:t>
            </w:r>
          </w:p>
        </w:tc>
      </w:tr>
      <w:tr>
        <w:tc>
          <w:tcPr/>
          <w:p>
            <w:pPr>
              <w:pStyle w:val="Compact"/>
              <w:jc w:val="right"/>
            </w:pPr>
            <w:r>
              <w:t xml:space="preserve">6</w:t>
            </w:r>
          </w:p>
        </w:tc>
        <w:tc>
          <w:tcPr/>
          <w:p>
            <w:pPr>
              <w:pStyle w:val="Compact"/>
              <w:jc w:val="left"/>
            </w:pPr>
            <w:r>
              <w:t xml:space="preserve">BcgI</w:t>
            </w:r>
          </w:p>
        </w:tc>
        <w:tc>
          <w:tcPr/>
          <w:p>
            <w:pPr>
              <w:pStyle w:val="Compact"/>
              <w:jc w:val="right"/>
            </w:pPr>
            <w:r>
              <w:t xml:space="preserve">2872</w:t>
            </w:r>
          </w:p>
        </w:tc>
        <w:tc>
          <w:tcPr/>
          <w:p>
            <w:pPr>
              <w:pStyle w:val="Compact"/>
              <w:jc w:val="right"/>
            </w:pPr>
            <w:r>
              <w:t xml:space="preserve">29</w:t>
            </w:r>
          </w:p>
        </w:tc>
        <w:tc>
          <w:tcPr/>
          <w:p>
            <w:pPr>
              <w:pStyle w:val="Compact"/>
              <w:jc w:val="right"/>
            </w:pPr>
            <w:r>
              <w:t xml:space="preserve">0.953</w:t>
            </w:r>
          </w:p>
        </w:tc>
        <w:tc>
          <w:tcPr/>
          <w:p>
            <w:pPr>
              <w:pStyle w:val="Compact"/>
              <w:jc w:val="right"/>
            </w:pPr>
            <w:r>
              <w:t xml:space="preserve">0.651</w:t>
            </w:r>
          </w:p>
        </w:tc>
        <w:tc>
          <w:tcPr/>
          <w:p>
            <w:pPr>
              <w:pStyle w:val="Compact"/>
              <w:jc w:val="right"/>
            </w:pPr>
            <w:r>
              <w:t xml:space="preserve">0.956</w:t>
            </w:r>
          </w:p>
        </w:tc>
        <w:tc>
          <w:tcPr/>
          <w:p>
            <w:pPr>
              <w:pStyle w:val="Compact"/>
              <w:jc w:val="right"/>
            </w:pPr>
            <w:r>
              <w:t xml:space="preserve">0.952</w:t>
            </w:r>
          </w:p>
        </w:tc>
        <w:tc>
          <w:tcPr/>
          <w:p>
            <w:pPr>
              <w:pStyle w:val="Compact"/>
              <w:jc w:val="right"/>
            </w:pPr>
            <w:r>
              <w:t xml:space="preserve">0.961</w:t>
            </w:r>
          </w:p>
        </w:tc>
        <w:tc>
          <w:tcPr/>
          <w:p>
            <w:pPr>
              <w:pStyle w:val="Compact"/>
              <w:jc w:val="right"/>
            </w:pPr>
            <w:r>
              <w:t xml:space="preserve">0.957</w:t>
            </w:r>
          </w:p>
        </w:tc>
        <w:tc>
          <w:tcPr/>
          <w:p>
            <w:pPr>
              <w:pStyle w:val="Compact"/>
              <w:jc w:val="right"/>
            </w:pPr>
            <w:r>
              <w:t xml:space="preserve">0.853</w:t>
            </w:r>
          </w:p>
        </w:tc>
        <w:tc>
          <w:tcPr/>
          <w:p>
            <w:pPr>
              <w:pStyle w:val="Compact"/>
              <w:jc w:val="right"/>
            </w:pPr>
            <w:r>
              <w:t xml:space="preserve">0.258</w:t>
            </w:r>
          </w:p>
        </w:tc>
        <w:tc>
          <w:tcPr/>
          <w:p>
            <w:pPr>
              <w:pStyle w:val="Compact"/>
              <w:jc w:val="right"/>
            </w:pPr>
            <w:r>
              <w:t xml:space="preserve">0.232</w:t>
            </w:r>
          </w:p>
        </w:tc>
        <w:tc>
          <w:tcPr/>
          <w:p>
            <w:pPr>
              <w:pStyle w:val="Compact"/>
              <w:jc w:val="right"/>
            </w:pPr>
            <w:r>
              <w:t xml:space="preserve">0.731</w:t>
            </w:r>
          </w:p>
        </w:tc>
      </w:tr>
      <w:tr>
        <w:tc>
          <w:tcPr/>
          <w:p>
            <w:pPr>
              <w:pStyle w:val="Compact"/>
              <w:jc w:val="right"/>
            </w:pPr>
            <w:r>
              <w:t xml:space="preserve">7</w:t>
            </w:r>
          </w:p>
        </w:tc>
        <w:tc>
          <w:tcPr/>
          <w:p>
            <w:pPr>
              <w:pStyle w:val="Compact"/>
              <w:jc w:val="left"/>
            </w:pPr>
            <w:r>
              <w:t xml:space="preserve">Bsp24I</w:t>
            </w:r>
          </w:p>
        </w:tc>
        <w:tc>
          <w:tcPr/>
          <w:p>
            <w:pPr>
              <w:pStyle w:val="Compact"/>
              <w:jc w:val="right"/>
            </w:pPr>
            <w:r>
              <w:t xml:space="preserve">1524</w:t>
            </w:r>
          </w:p>
        </w:tc>
        <w:tc>
          <w:tcPr/>
          <w:p>
            <w:pPr>
              <w:pStyle w:val="Compact"/>
              <w:jc w:val="right"/>
            </w:pPr>
            <w:r>
              <w:t xml:space="preserve">24</w:t>
            </w:r>
          </w:p>
        </w:tc>
        <w:tc>
          <w:tcPr/>
          <w:p>
            <w:pPr>
              <w:pStyle w:val="Compact"/>
              <w:jc w:val="right"/>
            </w:pPr>
            <w:r>
              <w:t xml:space="preserve">0.965</w:t>
            </w:r>
          </w:p>
        </w:tc>
        <w:tc>
          <w:tcPr/>
          <w:p>
            <w:pPr>
              <w:pStyle w:val="Compact"/>
              <w:jc w:val="right"/>
            </w:pPr>
            <w:r>
              <w:t xml:space="preserve">0.675</w:t>
            </w:r>
          </w:p>
        </w:tc>
        <w:tc>
          <w:tcPr/>
          <w:p>
            <w:pPr>
              <w:pStyle w:val="Compact"/>
              <w:jc w:val="right"/>
            </w:pPr>
            <w:r>
              <w:t xml:space="preserve">0.717</w:t>
            </w:r>
          </w:p>
        </w:tc>
        <w:tc>
          <w:tcPr/>
          <w:p>
            <w:pPr>
              <w:pStyle w:val="Compact"/>
              <w:jc w:val="right"/>
            </w:pPr>
            <w:r>
              <w:t xml:space="preserve">0.833</w:t>
            </w:r>
          </w:p>
        </w:tc>
        <w:tc>
          <w:tcPr/>
          <w:p>
            <w:pPr>
              <w:pStyle w:val="Compact"/>
              <w:jc w:val="right"/>
            </w:pPr>
            <w:r>
              <w:t xml:space="preserve">0.894</w:t>
            </w:r>
          </w:p>
        </w:tc>
        <w:tc>
          <w:tcPr/>
          <w:p>
            <w:pPr>
              <w:pStyle w:val="Compact"/>
              <w:jc w:val="right"/>
            </w:pPr>
            <w:r>
              <w:t xml:space="preserve">0.923</w:t>
            </w:r>
          </w:p>
        </w:tc>
        <w:tc>
          <w:tcPr/>
          <w:p>
            <w:pPr>
              <w:pStyle w:val="Compact"/>
              <w:jc w:val="right"/>
            </w:pPr>
            <w:r>
              <w:t xml:space="preserve">0.742</w:t>
            </w:r>
          </w:p>
        </w:tc>
        <w:tc>
          <w:tcPr/>
          <w:p>
            <w:pPr>
              <w:pStyle w:val="Compact"/>
              <w:jc w:val="right"/>
            </w:pPr>
            <w:r>
              <w:t xml:space="preserve">0.362</w:t>
            </w:r>
          </w:p>
        </w:tc>
        <w:tc>
          <w:tcPr/>
          <w:p>
            <w:pPr>
              <w:pStyle w:val="Compact"/>
              <w:jc w:val="right"/>
            </w:pPr>
            <w:r>
              <w:t xml:space="preserve">0.055</w:t>
            </w:r>
          </w:p>
        </w:tc>
        <w:tc>
          <w:tcPr/>
          <w:p>
            <w:pPr>
              <w:pStyle w:val="Compact"/>
              <w:jc w:val="right"/>
            </w:pPr>
            <w:r>
              <w:t xml:space="preserve">0.637</w:t>
            </w:r>
          </w:p>
        </w:tc>
      </w:tr>
      <w:tr>
        <w:tc>
          <w:tcPr/>
          <w:p>
            <w:pPr>
              <w:pStyle w:val="Compact"/>
              <w:jc w:val="right"/>
            </w:pPr>
            <w:r>
              <w:t xml:space="preserve">8</w:t>
            </w:r>
          </w:p>
        </w:tc>
        <w:tc>
          <w:tcPr/>
          <w:p>
            <w:pPr>
              <w:pStyle w:val="Compact"/>
              <w:jc w:val="left"/>
            </w:pPr>
            <w:r>
              <w:t xml:space="preserve">BsaXI</w:t>
            </w:r>
          </w:p>
        </w:tc>
        <w:tc>
          <w:tcPr/>
          <w:p>
            <w:pPr>
              <w:pStyle w:val="Compact"/>
              <w:jc w:val="right"/>
            </w:pPr>
            <w:r>
              <w:t xml:space="preserve">970</w:t>
            </w:r>
          </w:p>
        </w:tc>
        <w:tc>
          <w:tcPr/>
          <w:p>
            <w:pPr>
              <w:pStyle w:val="Compact"/>
              <w:jc w:val="right"/>
            </w:pPr>
            <w:r>
              <w:t xml:space="preserve">26</w:t>
            </w:r>
          </w:p>
        </w:tc>
        <w:tc>
          <w:tcPr/>
          <w:p>
            <w:pPr>
              <w:pStyle w:val="Compact"/>
              <w:jc w:val="right"/>
            </w:pPr>
            <w:r>
              <w:t xml:space="preserve">0.953</w:t>
            </w:r>
          </w:p>
        </w:tc>
        <w:tc>
          <w:tcPr/>
          <w:p>
            <w:pPr>
              <w:pStyle w:val="Compact"/>
              <w:jc w:val="right"/>
            </w:pPr>
            <w:r>
              <w:t xml:space="preserve">0.327</w:t>
            </w:r>
          </w:p>
        </w:tc>
        <w:tc>
          <w:tcPr/>
          <w:p>
            <w:pPr>
              <w:pStyle w:val="Compact"/>
              <w:jc w:val="right"/>
            </w:pPr>
            <w:r>
              <w:t xml:space="preserve">0.917</w:t>
            </w:r>
          </w:p>
        </w:tc>
        <w:tc>
          <w:tcPr/>
          <w:p>
            <w:pPr>
              <w:pStyle w:val="Compact"/>
              <w:jc w:val="right"/>
            </w:pPr>
            <w:r>
              <w:t xml:space="preserve">0.883</w:t>
            </w:r>
          </w:p>
        </w:tc>
        <w:tc>
          <w:tcPr/>
          <w:p>
            <w:pPr>
              <w:pStyle w:val="Compact"/>
              <w:jc w:val="right"/>
            </w:pPr>
            <w:r>
              <w:t xml:space="preserve">0.976</w:t>
            </w:r>
          </w:p>
        </w:tc>
        <w:tc>
          <w:tcPr/>
          <w:p>
            <w:pPr>
              <w:pStyle w:val="Compact"/>
              <w:jc w:val="right"/>
            </w:pPr>
            <w:r>
              <w:t xml:space="preserve">0.965</w:t>
            </w:r>
          </w:p>
        </w:tc>
        <w:tc>
          <w:tcPr/>
          <w:p>
            <w:pPr>
              <w:pStyle w:val="Compact"/>
              <w:jc w:val="right"/>
            </w:pPr>
            <w:r>
              <w:t xml:space="preserve">0.709</w:t>
            </w:r>
          </w:p>
        </w:tc>
        <w:tc>
          <w:tcPr/>
          <w:p>
            <w:pPr>
              <w:pStyle w:val="Compact"/>
              <w:jc w:val="right"/>
            </w:pPr>
            <w:r>
              <w:t xml:space="preserve">0.370</w:t>
            </w:r>
          </w:p>
        </w:tc>
        <w:tc>
          <w:tcPr/>
          <w:p>
            <w:pPr>
              <w:pStyle w:val="Compact"/>
              <w:jc w:val="right"/>
            </w:pPr>
            <w:r>
              <w:t xml:space="preserve">0.074</w:t>
            </w:r>
          </w:p>
        </w:tc>
        <w:tc>
          <w:tcPr/>
          <w:p>
            <w:pPr>
              <w:pStyle w:val="Compact"/>
              <w:jc w:val="right"/>
            </w:pPr>
            <w:r>
              <w:t xml:space="preserve">0.598</w:t>
            </w:r>
          </w:p>
        </w:tc>
      </w:tr>
      <w:tr>
        <w:tc>
          <w:tcPr/>
          <w:p>
            <w:pPr>
              <w:pStyle w:val="Compact"/>
              <w:jc w:val="right"/>
            </w:pPr>
            <w:r>
              <w:t xml:space="preserve">9</w:t>
            </w:r>
          </w:p>
        </w:tc>
        <w:tc>
          <w:tcPr/>
          <w:p>
            <w:pPr>
              <w:pStyle w:val="Compact"/>
              <w:jc w:val="left"/>
            </w:pPr>
            <w:r>
              <w:t xml:space="preserve">BslFI</w:t>
            </w:r>
          </w:p>
        </w:tc>
        <w:tc>
          <w:tcPr/>
          <w:p>
            <w:pPr>
              <w:pStyle w:val="Compact"/>
              <w:jc w:val="right"/>
            </w:pPr>
            <w:r>
              <w:t xml:space="preserve">2501</w:t>
            </w:r>
          </w:p>
        </w:tc>
        <w:tc>
          <w:tcPr/>
          <w:p>
            <w:pPr>
              <w:pStyle w:val="Compact"/>
              <w:jc w:val="right"/>
            </w:pPr>
            <w:r>
              <w:t xml:space="preserve">25</w:t>
            </w:r>
          </w:p>
        </w:tc>
        <w:tc>
          <w:tcPr/>
          <w:p>
            <w:pPr>
              <w:pStyle w:val="Compact"/>
              <w:jc w:val="right"/>
            </w:pPr>
            <w:r>
              <w:t xml:space="preserve">0.941</w:t>
            </w:r>
          </w:p>
        </w:tc>
        <w:tc>
          <w:tcPr/>
          <w:p>
            <w:pPr>
              <w:pStyle w:val="Compact"/>
              <w:jc w:val="right"/>
            </w:pPr>
            <w:r>
              <w:t xml:space="preserve">0.342</w:t>
            </w:r>
          </w:p>
        </w:tc>
        <w:tc>
          <w:tcPr/>
          <w:p>
            <w:pPr>
              <w:pStyle w:val="Compact"/>
              <w:jc w:val="right"/>
            </w:pPr>
            <w:r>
              <w:t xml:space="preserve">0.684</w:t>
            </w:r>
          </w:p>
        </w:tc>
        <w:tc>
          <w:tcPr/>
          <w:p>
            <w:pPr>
              <w:pStyle w:val="Compact"/>
              <w:jc w:val="right"/>
            </w:pPr>
            <w:r>
              <w:t xml:space="preserve">0.904</w:t>
            </w:r>
          </w:p>
        </w:tc>
        <w:tc>
          <w:tcPr/>
          <w:p>
            <w:pPr>
              <w:pStyle w:val="Compact"/>
              <w:jc w:val="right"/>
            </w:pPr>
            <w:r>
              <w:t xml:space="preserve">0.924</w:t>
            </w:r>
          </w:p>
        </w:tc>
        <w:tc>
          <w:tcPr/>
          <w:p>
            <w:pPr>
              <w:pStyle w:val="Compact"/>
              <w:jc w:val="right"/>
            </w:pPr>
            <w:r>
              <w:t xml:space="preserve">0.977</w:t>
            </w:r>
          </w:p>
        </w:tc>
        <w:tc>
          <w:tcPr/>
          <w:p>
            <w:pPr>
              <w:pStyle w:val="Compact"/>
              <w:jc w:val="right"/>
            </w:pPr>
            <w:r>
              <w:t xml:space="preserve">0.644</w:t>
            </w:r>
          </w:p>
        </w:tc>
        <w:tc>
          <w:tcPr/>
          <w:p>
            <w:pPr>
              <w:pStyle w:val="Compact"/>
              <w:jc w:val="right"/>
            </w:pPr>
            <w:r>
              <w:t xml:space="preserve">0.316</w:t>
            </w:r>
          </w:p>
        </w:tc>
        <w:tc>
          <w:tcPr/>
          <w:p>
            <w:pPr>
              <w:pStyle w:val="Compact"/>
              <w:jc w:val="right"/>
            </w:pPr>
            <w:r>
              <w:t xml:space="preserve">0.047</w:t>
            </w:r>
          </w:p>
        </w:tc>
        <w:tc>
          <w:tcPr/>
          <w:p>
            <w:pPr>
              <w:pStyle w:val="Compact"/>
              <w:jc w:val="right"/>
            </w:pPr>
            <w:r>
              <w:t xml:space="preserve">0.553</w:t>
            </w:r>
          </w:p>
        </w:tc>
      </w:tr>
      <w:tr>
        <w:tc>
          <w:tcPr/>
          <w:p>
            <w:pPr>
              <w:pStyle w:val="Compact"/>
              <w:jc w:val="right"/>
            </w:pPr>
            <w:r>
              <w:t xml:space="preserve">10</w:t>
            </w:r>
          </w:p>
        </w:tc>
        <w:tc>
          <w:tcPr/>
          <w:p>
            <w:pPr>
              <w:pStyle w:val="Compact"/>
              <w:jc w:val="left"/>
            </w:pPr>
            <w:r>
              <w:t xml:space="preserve">CspCI</w:t>
            </w:r>
          </w:p>
        </w:tc>
        <w:tc>
          <w:tcPr/>
          <w:p>
            <w:pPr>
              <w:pStyle w:val="Compact"/>
              <w:jc w:val="right"/>
            </w:pPr>
            <w:r>
              <w:t xml:space="preserve">563</w:t>
            </w:r>
          </w:p>
        </w:tc>
        <w:tc>
          <w:tcPr/>
          <w:p>
            <w:pPr>
              <w:pStyle w:val="Compact"/>
              <w:jc w:val="right"/>
            </w:pPr>
            <w:r>
              <w:t xml:space="preserve">23</w:t>
            </w:r>
          </w:p>
        </w:tc>
        <w:tc>
          <w:tcPr/>
          <w:p>
            <w:pPr>
              <w:pStyle w:val="Compact"/>
              <w:jc w:val="right"/>
            </w:pPr>
            <w:r>
              <w:t xml:space="preserve">0.882</w:t>
            </w:r>
          </w:p>
        </w:tc>
        <w:tc>
          <w:tcPr/>
          <w:p>
            <w:pPr>
              <w:pStyle w:val="Compact"/>
              <w:jc w:val="right"/>
            </w:pPr>
            <w:r>
              <w:t xml:space="preserve">0.358</w:t>
            </w:r>
          </w:p>
        </w:tc>
        <w:tc>
          <w:tcPr/>
          <w:p>
            <w:pPr>
              <w:pStyle w:val="Compact"/>
              <w:jc w:val="right"/>
            </w:pPr>
            <w:r>
              <w:t xml:space="preserve">0.720</w:t>
            </w:r>
          </w:p>
        </w:tc>
        <w:tc>
          <w:tcPr/>
          <w:p>
            <w:pPr>
              <w:pStyle w:val="Compact"/>
              <w:jc w:val="right"/>
            </w:pPr>
            <w:r>
              <w:t xml:space="preserve">0.932</w:t>
            </w:r>
          </w:p>
        </w:tc>
        <w:tc>
          <w:tcPr/>
          <w:p>
            <w:pPr>
              <w:pStyle w:val="Compact"/>
              <w:jc w:val="right"/>
            </w:pPr>
            <w:r>
              <w:t xml:space="preserve">0.947</w:t>
            </w:r>
          </w:p>
        </w:tc>
        <w:tc>
          <w:tcPr/>
          <w:p>
            <w:pPr>
              <w:pStyle w:val="Compact"/>
              <w:jc w:val="right"/>
            </w:pPr>
            <w:r>
              <w:t xml:space="preserve">0.944</w:t>
            </w:r>
          </w:p>
        </w:tc>
        <w:tc>
          <w:tcPr/>
          <w:p>
            <w:pPr>
              <w:pStyle w:val="Compact"/>
              <w:jc w:val="right"/>
            </w:pPr>
            <w:r>
              <w:t xml:space="preserve">0.670</w:t>
            </w:r>
          </w:p>
        </w:tc>
        <w:tc>
          <w:tcPr/>
          <w:p>
            <w:pPr>
              <w:pStyle w:val="Compact"/>
              <w:jc w:val="right"/>
            </w:pPr>
            <w:r>
              <w:t xml:space="preserve">0.450</w:t>
            </w:r>
          </w:p>
        </w:tc>
        <w:tc>
          <w:tcPr/>
          <w:p>
            <w:pPr>
              <w:pStyle w:val="Compact"/>
              <w:jc w:val="right"/>
            </w:pPr>
            <w:r>
              <w:t xml:space="preserve">0.205</w:t>
            </w:r>
          </w:p>
        </w:tc>
        <w:tc>
          <w:tcPr/>
          <w:p>
            <w:pPr>
              <w:pStyle w:val="Compact"/>
              <w:jc w:val="right"/>
            </w:pPr>
            <w:r>
              <w:t xml:space="preserve">0.506</w:t>
            </w:r>
          </w:p>
        </w:tc>
      </w:tr>
      <w:tr>
        <w:tc>
          <w:tcPr/>
          <w:p>
            <w:pPr>
              <w:pStyle w:val="Compact"/>
              <w:jc w:val="right"/>
            </w:pPr>
            <w:r>
              <w:t xml:space="preserve">11</w:t>
            </w:r>
          </w:p>
        </w:tc>
        <w:tc>
          <w:tcPr/>
          <w:p>
            <w:pPr>
              <w:pStyle w:val="Compact"/>
              <w:jc w:val="left"/>
            </w:pPr>
            <w:r>
              <w:t xml:space="preserve">PpiI</w:t>
            </w:r>
          </w:p>
        </w:tc>
        <w:tc>
          <w:tcPr/>
          <w:p>
            <w:pPr>
              <w:pStyle w:val="Compact"/>
              <w:jc w:val="right"/>
            </w:pPr>
            <w:r>
              <w:t xml:space="preserve">336</w:t>
            </w:r>
          </w:p>
        </w:tc>
        <w:tc>
          <w:tcPr/>
          <w:p>
            <w:pPr>
              <w:pStyle w:val="Compact"/>
              <w:jc w:val="right"/>
            </w:pPr>
            <w:r>
              <w:t xml:space="preserve">13</w:t>
            </w:r>
          </w:p>
        </w:tc>
        <w:tc>
          <w:tcPr/>
          <w:p>
            <w:pPr>
              <w:pStyle w:val="Compact"/>
              <w:jc w:val="right"/>
            </w:pPr>
            <w:r>
              <w:t xml:space="preserve">0.871</w:t>
            </w:r>
          </w:p>
        </w:tc>
        <w:tc>
          <w:tcPr/>
          <w:p>
            <w:pPr>
              <w:pStyle w:val="Compact"/>
              <w:jc w:val="right"/>
            </w:pPr>
            <w:r>
              <w:t xml:space="preserve">0.609</w:t>
            </w:r>
          </w:p>
        </w:tc>
        <w:tc>
          <w:tcPr/>
          <w:p>
            <w:pPr>
              <w:pStyle w:val="Compact"/>
              <w:jc w:val="right"/>
            </w:pPr>
            <w:r>
              <w:t xml:space="preserve">0.314</w:t>
            </w:r>
          </w:p>
        </w:tc>
        <w:tc>
          <w:tcPr/>
          <w:p>
            <w:pPr>
              <w:pStyle w:val="Compact"/>
              <w:jc w:val="right"/>
            </w:pPr>
            <w:r>
              <w:t xml:space="preserve">0.814</w:t>
            </w:r>
          </w:p>
        </w:tc>
        <w:tc>
          <w:tcPr/>
          <w:p>
            <w:pPr>
              <w:pStyle w:val="Compact"/>
              <w:jc w:val="right"/>
            </w:pPr>
            <w:r>
              <w:t xml:space="preserve">0.863</w:t>
            </w:r>
          </w:p>
        </w:tc>
        <w:tc>
          <w:tcPr/>
          <w:p>
            <w:pPr>
              <w:pStyle w:val="Compact"/>
              <w:jc w:val="right"/>
            </w:pPr>
            <w:r>
              <w:t xml:space="preserve">0.869</w:t>
            </w:r>
          </w:p>
        </w:tc>
        <w:tc>
          <w:tcPr/>
          <w:p>
            <w:pPr>
              <w:pStyle w:val="Compact"/>
              <w:jc w:val="right"/>
            </w:pPr>
            <w:r>
              <w:t xml:space="preserve">0.579</w:t>
            </w:r>
          </w:p>
        </w:tc>
        <w:tc>
          <w:tcPr/>
          <w:p>
            <w:pPr>
              <w:pStyle w:val="Compact"/>
              <w:jc w:val="right"/>
            </w:pPr>
            <w:r>
              <w:t xml:space="preserve">0.566</w:t>
            </w:r>
          </w:p>
        </w:tc>
        <w:tc>
          <w:tcPr/>
          <w:p>
            <w:pPr>
              <w:pStyle w:val="Compact"/>
              <w:jc w:val="right"/>
            </w:pPr>
            <w:r>
              <w:t xml:space="preserve">0.073</w:t>
            </w:r>
          </w:p>
        </w:tc>
        <w:tc>
          <w:tcPr/>
          <w:p>
            <w:pPr>
              <w:pStyle w:val="Compact"/>
              <w:jc w:val="right"/>
            </w:pPr>
            <w:r>
              <w:t xml:space="preserve">0.419</w:t>
            </w:r>
          </w:p>
        </w:tc>
      </w:tr>
      <w:tr>
        <w:tc>
          <w:tcPr/>
          <w:p>
            <w:pPr>
              <w:pStyle w:val="Compact"/>
              <w:jc w:val="right"/>
            </w:pPr>
            <w:r>
              <w:t xml:space="preserve">12</w:t>
            </w:r>
          </w:p>
        </w:tc>
        <w:tc>
          <w:tcPr/>
          <w:p>
            <w:pPr>
              <w:pStyle w:val="Compact"/>
              <w:jc w:val="left"/>
            </w:pPr>
            <w:r>
              <w:t xml:space="preserve">BaeI</w:t>
            </w:r>
          </w:p>
        </w:tc>
        <w:tc>
          <w:tcPr/>
          <w:p>
            <w:pPr>
              <w:pStyle w:val="Compact"/>
              <w:jc w:val="right"/>
            </w:pPr>
            <w:r>
              <w:t xml:space="preserve">729</w:t>
            </w:r>
          </w:p>
        </w:tc>
        <w:tc>
          <w:tcPr/>
          <w:p>
            <w:pPr>
              <w:pStyle w:val="Compact"/>
              <w:jc w:val="right"/>
            </w:pPr>
            <w:r>
              <w:t xml:space="preserve">24</w:t>
            </w:r>
          </w:p>
        </w:tc>
        <w:tc>
          <w:tcPr/>
          <w:p>
            <w:pPr>
              <w:pStyle w:val="Compact"/>
              <w:jc w:val="right"/>
            </w:pPr>
            <w:r>
              <w:t xml:space="preserve">0.871</w:t>
            </w:r>
          </w:p>
        </w:tc>
        <w:tc>
          <w:tcPr/>
          <w:p>
            <w:pPr>
              <w:pStyle w:val="Compact"/>
              <w:jc w:val="right"/>
            </w:pPr>
            <w:r>
              <w:t xml:space="preserve">0.557</w:t>
            </w:r>
          </w:p>
        </w:tc>
        <w:tc>
          <w:tcPr/>
          <w:p>
            <w:pPr>
              <w:pStyle w:val="Compact"/>
              <w:jc w:val="right"/>
            </w:pPr>
            <w:r>
              <w:t xml:space="preserve">0.497</w:t>
            </w:r>
          </w:p>
        </w:tc>
        <w:tc>
          <w:tcPr/>
          <w:p>
            <w:pPr>
              <w:pStyle w:val="Compact"/>
              <w:jc w:val="right"/>
            </w:pPr>
            <w:r>
              <w:t xml:space="preserve">0.815</w:t>
            </w:r>
          </w:p>
        </w:tc>
        <w:tc>
          <w:tcPr/>
          <w:p>
            <w:pPr>
              <w:pStyle w:val="Compact"/>
              <w:jc w:val="right"/>
            </w:pPr>
            <w:r>
              <w:t xml:space="preserve">0.910</w:t>
            </w:r>
          </w:p>
        </w:tc>
        <w:tc>
          <w:tcPr/>
          <w:p>
            <w:pPr>
              <w:pStyle w:val="Compact"/>
              <w:jc w:val="right"/>
            </w:pPr>
            <w:r>
              <w:t xml:space="preserve">0.949</w:t>
            </w:r>
          </w:p>
        </w:tc>
        <w:tc>
          <w:tcPr/>
          <w:p>
            <w:pPr>
              <w:pStyle w:val="Compact"/>
              <w:jc w:val="right"/>
            </w:pPr>
            <w:r>
              <w:t xml:space="preserve">0.623</w:t>
            </w:r>
          </w:p>
        </w:tc>
        <w:tc>
          <w:tcPr/>
          <w:p>
            <w:pPr>
              <w:pStyle w:val="Compact"/>
              <w:jc w:val="right"/>
            </w:pPr>
            <w:r>
              <w:t xml:space="preserve">0.507</w:t>
            </w:r>
          </w:p>
        </w:tc>
        <w:tc>
          <w:tcPr/>
          <w:p>
            <w:pPr>
              <w:pStyle w:val="Compact"/>
              <w:jc w:val="right"/>
            </w:pPr>
            <w:r>
              <w:t xml:space="preserve">0.400</w:t>
            </w:r>
          </w:p>
        </w:tc>
        <w:tc>
          <w:tcPr/>
          <w:p>
            <w:pPr>
              <w:pStyle w:val="Compact"/>
              <w:jc w:val="right"/>
            </w:pPr>
            <w:r>
              <w:t xml:space="preserve">0.396</w:t>
            </w:r>
          </w:p>
        </w:tc>
      </w:tr>
      <w:tr>
        <w:tc>
          <w:tcPr/>
          <w:p>
            <w:pPr>
              <w:pStyle w:val="Compact"/>
              <w:jc w:val="right"/>
            </w:pPr>
            <w:r>
              <w:t xml:space="preserve">13</w:t>
            </w:r>
          </w:p>
        </w:tc>
        <w:tc>
          <w:tcPr/>
          <w:p>
            <w:pPr>
              <w:pStyle w:val="Compact"/>
              <w:jc w:val="left"/>
            </w:pPr>
            <w:r>
              <w:t xml:space="preserve">FalI</w:t>
            </w:r>
          </w:p>
        </w:tc>
        <w:tc>
          <w:tcPr/>
          <w:p>
            <w:pPr>
              <w:pStyle w:val="Compact"/>
              <w:jc w:val="right"/>
            </w:pPr>
            <w:r>
              <w:t xml:space="preserve">687</w:t>
            </w:r>
          </w:p>
        </w:tc>
        <w:tc>
          <w:tcPr/>
          <w:p>
            <w:pPr>
              <w:pStyle w:val="Compact"/>
              <w:jc w:val="right"/>
            </w:pPr>
            <w:r>
              <w:t xml:space="preserve">25</w:t>
            </w:r>
          </w:p>
        </w:tc>
        <w:tc>
          <w:tcPr/>
          <w:p>
            <w:pPr>
              <w:pStyle w:val="Compact"/>
              <w:jc w:val="right"/>
            </w:pPr>
            <w:r>
              <w:t xml:space="preserve">0.906</w:t>
            </w:r>
          </w:p>
        </w:tc>
        <w:tc>
          <w:tcPr/>
          <w:p>
            <w:pPr>
              <w:pStyle w:val="Compact"/>
              <w:jc w:val="right"/>
            </w:pPr>
            <w:r>
              <w:t xml:space="preserve">-0.056</w:t>
            </w:r>
          </w:p>
        </w:tc>
        <w:tc>
          <w:tcPr/>
          <w:p>
            <w:pPr>
              <w:pStyle w:val="Compact"/>
              <w:jc w:val="right"/>
            </w:pPr>
            <w:r>
              <w:t xml:space="preserve">0.528</w:t>
            </w:r>
          </w:p>
        </w:tc>
        <w:tc>
          <w:tcPr/>
          <w:p>
            <w:pPr>
              <w:pStyle w:val="Compact"/>
              <w:jc w:val="right"/>
            </w:pPr>
            <w:r>
              <w:t xml:space="preserve">0.867</w:t>
            </w:r>
          </w:p>
        </w:tc>
        <w:tc>
          <w:tcPr/>
          <w:p>
            <w:pPr>
              <w:pStyle w:val="Compact"/>
              <w:jc w:val="right"/>
            </w:pPr>
            <w:r>
              <w:t xml:space="preserve">0.960</w:t>
            </w:r>
          </w:p>
        </w:tc>
        <w:tc>
          <w:tcPr/>
          <w:p>
            <w:pPr>
              <w:pStyle w:val="Compact"/>
              <w:jc w:val="right"/>
            </w:pPr>
            <w:r>
              <w:t xml:space="preserve">0.890</w:t>
            </w:r>
          </w:p>
        </w:tc>
        <w:tc>
          <w:tcPr/>
          <w:p>
            <w:pPr>
              <w:pStyle w:val="Compact"/>
              <w:jc w:val="right"/>
            </w:pPr>
            <w:r>
              <w:t xml:space="preserve">0.446</w:t>
            </w:r>
          </w:p>
        </w:tc>
        <w:tc>
          <w:tcPr/>
          <w:p>
            <w:pPr>
              <w:pStyle w:val="Compact"/>
              <w:jc w:val="right"/>
            </w:pPr>
            <w:r>
              <w:t xml:space="preserve">0.537</w:t>
            </w:r>
          </w:p>
        </w:tc>
        <w:tc>
          <w:tcPr/>
          <w:p>
            <w:pPr>
              <w:pStyle w:val="Compact"/>
              <w:jc w:val="right"/>
            </w:pPr>
            <w:r>
              <w:t xml:space="preserve">0.246</w:t>
            </w:r>
          </w:p>
        </w:tc>
        <w:tc>
          <w:tcPr/>
          <w:p>
            <w:pPr>
              <w:pStyle w:val="Compact"/>
              <w:jc w:val="right"/>
            </w:pPr>
            <w:r>
              <w:t xml:space="preserve">0.250</w:t>
            </w:r>
          </w:p>
        </w:tc>
      </w:tr>
      <w:tr>
        <w:tc>
          <w:tcPr/>
          <w:p>
            <w:pPr>
              <w:pStyle w:val="Compact"/>
              <w:jc w:val="right"/>
            </w:pPr>
            <w:r>
              <w:t xml:space="preserve">14</w:t>
            </w:r>
          </w:p>
        </w:tc>
        <w:tc>
          <w:tcPr/>
          <w:p>
            <w:pPr>
              <w:pStyle w:val="Compact"/>
              <w:jc w:val="left"/>
            </w:pPr>
            <w:r>
              <w:t xml:space="preserve">AloI</w:t>
            </w:r>
          </w:p>
        </w:tc>
        <w:tc>
          <w:tcPr/>
          <w:p>
            <w:pPr>
              <w:pStyle w:val="Compact"/>
              <w:jc w:val="right"/>
            </w:pPr>
            <w:r>
              <w:t xml:space="preserve">441</w:t>
            </w:r>
          </w:p>
        </w:tc>
        <w:tc>
          <w:tcPr/>
          <w:p>
            <w:pPr>
              <w:pStyle w:val="Compact"/>
              <w:jc w:val="right"/>
            </w:pPr>
            <w:r>
              <w:t xml:space="preserve">18</w:t>
            </w:r>
          </w:p>
        </w:tc>
        <w:tc>
          <w:tcPr/>
          <w:p>
            <w:pPr>
              <w:pStyle w:val="Compact"/>
              <w:jc w:val="right"/>
            </w:pPr>
            <w:r>
              <w:t xml:space="preserve">0.906</w:t>
            </w:r>
          </w:p>
        </w:tc>
        <w:tc>
          <w:tcPr/>
          <w:p>
            <w:pPr>
              <w:pStyle w:val="Compact"/>
              <w:jc w:val="right"/>
            </w:pPr>
            <w:r>
              <w:t xml:space="preserve">-0.029</w:t>
            </w:r>
          </w:p>
        </w:tc>
        <w:tc>
          <w:tcPr/>
          <w:p>
            <w:pPr>
              <w:pStyle w:val="Compact"/>
              <w:jc w:val="right"/>
            </w:pPr>
            <w:r>
              <w:t xml:space="preserve">0.591</w:t>
            </w:r>
          </w:p>
        </w:tc>
        <w:tc>
          <w:tcPr/>
          <w:p>
            <w:pPr>
              <w:pStyle w:val="Compact"/>
              <w:jc w:val="right"/>
            </w:pPr>
            <w:r>
              <w:t xml:space="preserve">0.916</w:t>
            </w:r>
          </w:p>
        </w:tc>
        <w:tc>
          <w:tcPr/>
          <w:p>
            <w:pPr>
              <w:pStyle w:val="Compact"/>
              <w:jc w:val="right"/>
            </w:pPr>
            <w:r>
              <w:t xml:space="preserve">0.934</w:t>
            </w:r>
          </w:p>
        </w:tc>
        <w:tc>
          <w:tcPr/>
          <w:p>
            <w:pPr>
              <w:pStyle w:val="Compact"/>
              <w:jc w:val="right"/>
            </w:pPr>
            <w:r>
              <w:t xml:space="preserve">0.933</w:t>
            </w:r>
          </w:p>
        </w:tc>
        <w:tc>
          <w:tcPr/>
          <w:p>
            <w:pPr>
              <w:pStyle w:val="Compact"/>
              <w:jc w:val="right"/>
            </w:pPr>
            <w:r>
              <w:t xml:space="preserve">0.493</w:t>
            </w:r>
          </w:p>
        </w:tc>
        <w:tc>
          <w:tcPr/>
          <w:p>
            <w:pPr>
              <w:pStyle w:val="Compact"/>
              <w:jc w:val="right"/>
            </w:pPr>
            <w:r>
              <w:t xml:space="preserve">0.488</w:t>
            </w:r>
          </w:p>
        </w:tc>
        <w:tc>
          <w:tcPr/>
          <w:p>
            <w:pPr>
              <w:pStyle w:val="Compact"/>
              <w:jc w:val="right"/>
            </w:pPr>
            <w:r>
              <w:t xml:space="preserve">0.510</w:t>
            </w:r>
          </w:p>
        </w:tc>
        <w:tc>
          <w:tcPr/>
          <w:p>
            <w:pPr>
              <w:pStyle w:val="Compact"/>
              <w:jc w:val="right"/>
            </w:pPr>
            <w:r>
              <w:t xml:space="preserve">0.243</w:t>
            </w:r>
          </w:p>
        </w:tc>
      </w:tr>
      <w:tr>
        <w:tc>
          <w:tcPr/>
          <w:p>
            <w:pPr>
              <w:pStyle w:val="Compact"/>
              <w:jc w:val="right"/>
            </w:pPr>
            <w:r>
              <w:t xml:space="preserve">15</w:t>
            </w:r>
          </w:p>
        </w:tc>
        <w:tc>
          <w:tcPr/>
          <w:p>
            <w:pPr>
              <w:pStyle w:val="Compact"/>
              <w:jc w:val="left"/>
            </w:pPr>
            <w:r>
              <w:t xml:space="preserve">BplI</w:t>
            </w:r>
          </w:p>
        </w:tc>
        <w:tc>
          <w:tcPr/>
          <w:p>
            <w:pPr>
              <w:pStyle w:val="Compact"/>
              <w:jc w:val="right"/>
            </w:pPr>
            <w:r>
              <w:t xml:space="preserve">379</w:t>
            </w:r>
          </w:p>
        </w:tc>
        <w:tc>
          <w:tcPr/>
          <w:p>
            <w:pPr>
              <w:pStyle w:val="Compact"/>
              <w:jc w:val="right"/>
            </w:pPr>
            <w:r>
              <w:t xml:space="preserve">15</w:t>
            </w:r>
          </w:p>
        </w:tc>
        <w:tc>
          <w:tcPr/>
          <w:p>
            <w:pPr>
              <w:pStyle w:val="Compact"/>
              <w:jc w:val="right"/>
            </w:pPr>
            <w:r>
              <w:t xml:space="preserve">0.906</w:t>
            </w:r>
          </w:p>
        </w:tc>
        <w:tc>
          <w:tcPr/>
          <w:p>
            <w:pPr>
              <w:pStyle w:val="Compact"/>
              <w:jc w:val="right"/>
            </w:pPr>
            <w:r>
              <w:t xml:space="preserve">0.089</w:t>
            </w:r>
          </w:p>
        </w:tc>
        <w:tc>
          <w:tcPr/>
          <w:p>
            <w:pPr>
              <w:pStyle w:val="Compact"/>
              <w:jc w:val="right"/>
            </w:pPr>
            <w:r>
              <w:t xml:space="preserve">0.178</w:t>
            </w:r>
          </w:p>
        </w:tc>
        <w:tc>
          <w:tcPr/>
          <w:p>
            <w:pPr>
              <w:pStyle w:val="Compact"/>
              <w:jc w:val="right"/>
            </w:pPr>
            <w:r>
              <w:t xml:space="preserve">0.754</w:t>
            </w:r>
          </w:p>
        </w:tc>
        <w:tc>
          <w:tcPr/>
          <w:p>
            <w:pPr>
              <w:pStyle w:val="Compact"/>
              <w:jc w:val="right"/>
            </w:pPr>
            <w:r>
              <w:t xml:space="preserve">0.851</w:t>
            </w:r>
          </w:p>
        </w:tc>
        <w:tc>
          <w:tcPr/>
          <w:p>
            <w:pPr>
              <w:pStyle w:val="Compact"/>
              <w:jc w:val="right"/>
            </w:pPr>
            <w:r>
              <w:t xml:space="preserve">0.884</w:t>
            </w:r>
          </w:p>
        </w:tc>
        <w:tc>
          <w:tcPr/>
          <w:p>
            <w:pPr>
              <w:pStyle w:val="Compact"/>
              <w:jc w:val="right"/>
            </w:pPr>
            <w:r>
              <w:t xml:space="preserve">0.340</w:t>
            </w:r>
          </w:p>
        </w:tc>
        <w:tc>
          <w:tcPr/>
          <w:p>
            <w:pPr>
              <w:pStyle w:val="Compact"/>
              <w:jc w:val="right"/>
            </w:pPr>
            <w:r>
              <w:t xml:space="preserve">0.568</w:t>
            </w:r>
          </w:p>
        </w:tc>
        <w:tc>
          <w:tcPr/>
          <w:p>
            <w:pPr>
              <w:pStyle w:val="Compact"/>
              <w:jc w:val="right"/>
            </w:pPr>
            <w:r>
              <w:t xml:space="preserve">0.240</w:t>
            </w:r>
          </w:p>
        </w:tc>
        <w:tc>
          <w:tcPr/>
          <w:p>
            <w:pPr>
              <w:pStyle w:val="Compact"/>
              <w:jc w:val="right"/>
            </w:pPr>
            <w:r>
              <w:t xml:space="preserve">0.138</w:t>
            </w:r>
          </w:p>
        </w:tc>
      </w:tr>
      <w:tr>
        <w:tc>
          <w:tcPr/>
          <w:p>
            <w:pPr>
              <w:pStyle w:val="Compact"/>
              <w:jc w:val="right"/>
            </w:pPr>
            <w:r>
              <w:t xml:space="preserve">16</w:t>
            </w:r>
          </w:p>
        </w:tc>
        <w:tc>
          <w:tcPr/>
          <w:p>
            <w:pPr>
              <w:pStyle w:val="Compact"/>
              <w:jc w:val="left"/>
            </w:pPr>
            <w:r>
              <w:t xml:space="preserve">PsrI</w:t>
            </w:r>
          </w:p>
        </w:tc>
        <w:tc>
          <w:tcPr/>
          <w:p>
            <w:pPr>
              <w:pStyle w:val="Compact"/>
              <w:jc w:val="right"/>
            </w:pPr>
            <w:r>
              <w:t xml:space="preserve">419</w:t>
            </w:r>
          </w:p>
        </w:tc>
        <w:tc>
          <w:tcPr/>
          <w:p>
            <w:pPr>
              <w:pStyle w:val="Compact"/>
              <w:jc w:val="right"/>
            </w:pPr>
            <w:r>
              <w:t xml:space="preserve">17</w:t>
            </w:r>
          </w:p>
        </w:tc>
        <w:tc>
          <w:tcPr/>
          <w:p>
            <w:pPr>
              <w:pStyle w:val="Compact"/>
              <w:jc w:val="right"/>
            </w:pPr>
            <w:r>
              <w:t xml:space="preserve">0.918</w:t>
            </w:r>
          </w:p>
        </w:tc>
        <w:tc>
          <w:tcPr/>
          <w:p>
            <w:pPr>
              <w:pStyle w:val="Compact"/>
              <w:jc w:val="right"/>
            </w:pPr>
            <w:r>
              <w:t xml:space="preserve">-0.069</w:t>
            </w:r>
          </w:p>
        </w:tc>
        <w:tc>
          <w:tcPr/>
          <w:p>
            <w:pPr>
              <w:pStyle w:val="Compact"/>
              <w:jc w:val="right"/>
            </w:pPr>
            <w:r>
              <w:t xml:space="preserve">0.326</w:t>
            </w:r>
          </w:p>
        </w:tc>
        <w:tc>
          <w:tcPr/>
          <w:p>
            <w:pPr>
              <w:pStyle w:val="Compact"/>
              <w:jc w:val="right"/>
            </w:pPr>
            <w:r>
              <w:t xml:space="preserve">0.620</w:t>
            </w:r>
          </w:p>
        </w:tc>
        <w:tc>
          <w:tcPr/>
          <w:p>
            <w:pPr>
              <w:pStyle w:val="Compact"/>
              <w:jc w:val="right"/>
            </w:pPr>
            <w:r>
              <w:t xml:space="preserve">0.913</w:t>
            </w:r>
          </w:p>
        </w:tc>
        <w:tc>
          <w:tcPr/>
          <w:p>
            <w:pPr>
              <w:pStyle w:val="Compact"/>
              <w:jc w:val="right"/>
            </w:pPr>
            <w:r>
              <w:t xml:space="preserve">0.967</w:t>
            </w:r>
          </w:p>
        </w:tc>
        <w:tc>
          <w:tcPr/>
          <w:p>
            <w:pPr>
              <w:pStyle w:val="Compact"/>
              <w:jc w:val="right"/>
            </w:pPr>
            <w:r>
              <w:t xml:space="preserve">0.292</w:t>
            </w:r>
          </w:p>
        </w:tc>
        <w:tc>
          <w:tcPr/>
          <w:p>
            <w:pPr>
              <w:pStyle w:val="Compact"/>
              <w:jc w:val="right"/>
            </w:pPr>
            <w:r>
              <w:t xml:space="preserve">0.582</w:t>
            </w:r>
          </w:p>
        </w:tc>
        <w:tc>
          <w:tcPr/>
          <w:p>
            <w:pPr>
              <w:pStyle w:val="Compact"/>
              <w:jc w:val="right"/>
            </w:pPr>
            <w:r>
              <w:t xml:space="preserve">0.153</w:t>
            </w:r>
          </w:p>
        </w:tc>
        <w:tc>
          <w:tcPr/>
          <w:p>
            <w:pPr>
              <w:pStyle w:val="Compact"/>
              <w:jc w:val="right"/>
            </w:pPr>
            <w:r>
              <w:t xml:space="preserve">0.109</w:t>
            </w:r>
          </w:p>
        </w:tc>
      </w:tr>
    </w:tbl>
    <w:p>
      <w:pPr>
        <w:pStyle w:val="BodyText"/>
      </w:pPr>
      <w:r>
        <w:t xml:space="preserve">Each enzyme fitted alone, before fusion; r is against measured growth rate across 16 media. r_low and rmse_low average the 0.5/1/2x depths; ctl_bias is mean |log2PTR| on the run-out control, which should be 0. The ranking tracks anchor yield with exceptions: the top six by accuracy all carry &gt;1,900 anchors (BslFI, 2,501 anchors, ranks ninth); the bottom four by accuracy (FalI/AloI/BplI/PsrI, 687/441/379/419 anchors) are near-zero or negative at 0.5x; PpiI (336 anchors) is the exception at r 0.61 at 0.5x. These fits share an origin estimated from all 16 enzymes pooled, so the table measures how informative an enzyme is given a good origin, not how a panel of that enzyme alone would behave – Table 7 tests that directly.</w:t>
      </w:r>
    </w:p>
    <w:p>
      <w:pPr>
        <w:pStyle w:val="BodyText"/>
      </w:pPr>
      <w:r>
        <w:rPr>
          <w:b/>
          <w:bCs/>
        </w:rPr>
        <w:t xml:space="preserve">Table 7. Enzyme-panel size against accuracy and cost (E. coli, 16 media)</w:t>
      </w:r>
    </w:p>
    <w:tbl>
      <w:tblPr>
        <w:tblStyle w:val="Table"/>
        <w:tblW w:type="pct" w:w="5000"/>
        <w:tblLayout w:type="fixed"/>
        <w:tblLook w:firstRow="1" w:lastRow="0" w:firstColumn="0" w:lastColumn="0" w:noHBand="0" w:noVBand="0" w:val="0020"/>
      </w:tblPr>
      <w:tblGrid>
        <w:gridCol w:w="500"/>
        <w:gridCol w:w="500"/>
        <w:gridCol w:w="546"/>
        <w:gridCol w:w="682"/>
        <w:gridCol w:w="728"/>
        <w:gridCol w:w="1046"/>
        <w:gridCol w:w="500"/>
        <w:gridCol w:w="591"/>
        <w:gridCol w:w="682"/>
        <w:gridCol w:w="773"/>
        <w:gridCol w:w="682"/>
        <w:gridCol w:w="682"/>
      </w:tblGrid>
      <w:tr>
        <w:trPr>
          <w:tblHeader w:val="on"/>
        </w:trPr>
        <w:tc>
          <w:tcPr/>
          <w:p>
            <w:pPr>
              <w:pStyle w:val="Compact"/>
              <w:jc w:val="right"/>
            </w:pPr>
            <w:r>
              <w:t xml:space="preserve">enzymes</w:t>
            </w:r>
          </w:p>
        </w:tc>
        <w:tc>
          <w:tcPr/>
          <w:p>
            <w:pPr>
              <w:pStyle w:val="Compact"/>
              <w:jc w:val="right"/>
            </w:pPr>
            <w:r>
              <w:t xml:space="preserve">anchors</w:t>
            </w:r>
          </w:p>
        </w:tc>
        <w:tc>
          <w:tcPr/>
          <w:p>
            <w:pPr>
              <w:pStyle w:val="Compact"/>
              <w:jc w:val="right"/>
            </w:pPr>
            <w:r>
              <w:t xml:space="preserve">r (&lt;=2x)</w:t>
            </w:r>
          </w:p>
        </w:tc>
        <w:tc>
          <w:tcPr/>
          <w:p>
            <w:pPr>
              <w:pStyle w:val="Compact"/>
              <w:jc w:val="right"/>
            </w:pPr>
            <w:r>
              <w:t xml:space="preserve">RMSE (&lt;=2x)</w:t>
            </w:r>
          </w:p>
        </w:tc>
        <w:tc>
          <w:tcPr/>
          <w:p>
            <w:pPr>
              <w:pStyle w:val="Compact"/>
              <w:jc w:val="right"/>
            </w:pPr>
            <w:r>
              <w:t xml:space="preserve">slope (&lt;=2x)</w:t>
            </w:r>
          </w:p>
        </w:tc>
        <w:tc>
          <w:tcPr/>
          <w:p>
            <w:pPr>
              <w:pStyle w:val="Compact"/>
              <w:jc w:val="right"/>
            </w:pPr>
            <w:r>
              <w:t xml:space="preserve">run-out bias (&lt;=2x)</w:t>
            </w:r>
          </w:p>
        </w:tc>
        <w:tc>
          <w:tcPr/>
          <w:p>
            <w:pPr>
              <w:pStyle w:val="Compact"/>
              <w:jc w:val="right"/>
            </w:pPr>
            <w:r>
              <w:t xml:space="preserve">index_s</w:t>
            </w:r>
          </w:p>
        </w:tc>
        <w:tc>
          <w:tcPr/>
          <w:p>
            <w:pPr>
              <w:pStyle w:val="Compact"/>
              <w:jc w:val="right"/>
            </w:pPr>
            <w:r>
              <w:t xml:space="preserve">profile_s</w:t>
            </w:r>
          </w:p>
        </w:tc>
        <w:tc>
          <w:tcPr/>
          <w:p>
            <w:pPr>
              <w:pStyle w:val="Compact"/>
              <w:jc w:val="right"/>
            </w:pPr>
            <w:r>
              <w:t xml:space="preserve">peak_RSS_MB</w:t>
            </w:r>
          </w:p>
        </w:tc>
        <w:tc>
          <w:tcPr/>
          <w:p>
            <w:pPr>
              <w:pStyle w:val="Compact"/>
              <w:jc w:val="right"/>
            </w:pPr>
            <w:r>
              <w:t xml:space="preserve">speedup_vs_16</w:t>
            </w:r>
          </w:p>
        </w:tc>
        <w:tc>
          <w:tcPr/>
          <w:p>
            <w:pPr>
              <w:pStyle w:val="Compact"/>
              <w:jc w:val="right"/>
            </w:pPr>
            <w:r>
              <w:t xml:space="preserve">r_lo (&lt;=2x)</w:t>
            </w:r>
          </w:p>
        </w:tc>
        <w:tc>
          <w:tcPr/>
          <w:p>
            <w:pPr>
              <w:pStyle w:val="Compact"/>
              <w:jc w:val="right"/>
            </w:pPr>
            <w:r>
              <w:t xml:space="preserve">r_hi (&lt;=2x)</w:t>
            </w:r>
          </w:p>
        </w:tc>
      </w:tr>
      <w:tr>
        <w:tc>
          <w:tcPr/>
          <w:p>
            <w:pPr>
              <w:pStyle w:val="Compact"/>
              <w:jc w:val="right"/>
            </w:pPr>
            <w:r>
              <w:t xml:space="preserve">2</w:t>
            </w:r>
          </w:p>
        </w:tc>
        <w:tc>
          <w:tcPr/>
          <w:p>
            <w:pPr>
              <w:pStyle w:val="Compact"/>
              <w:jc w:val="right"/>
            </w:pPr>
            <w:r>
              <w:t xml:space="preserve">17055</w:t>
            </w:r>
          </w:p>
        </w:tc>
        <w:tc>
          <w:tcPr/>
          <w:p>
            <w:pPr>
              <w:pStyle w:val="Compact"/>
              <w:jc w:val="right"/>
            </w:pPr>
            <w:r>
              <w:t xml:space="preserve">0.951</w:t>
            </w:r>
          </w:p>
        </w:tc>
        <w:tc>
          <w:tcPr/>
          <w:p>
            <w:pPr>
              <w:pStyle w:val="Compact"/>
              <w:jc w:val="right"/>
            </w:pPr>
            <w:r>
              <w:t xml:space="preserve">0.188</w:t>
            </w:r>
          </w:p>
        </w:tc>
        <w:tc>
          <w:tcPr/>
          <w:p>
            <w:pPr>
              <w:pStyle w:val="Compact"/>
              <w:jc w:val="right"/>
            </w:pPr>
            <w:r>
              <w:t xml:space="preserve">0.808</w:t>
            </w:r>
          </w:p>
        </w:tc>
        <w:tc>
          <w:tcPr/>
          <w:p>
            <w:pPr>
              <w:pStyle w:val="Compact"/>
              <w:jc w:val="right"/>
            </w:pPr>
            <w:r>
              <w:t xml:space="preserve">0.073</w:t>
            </w:r>
          </w:p>
        </w:tc>
        <w:tc>
          <w:tcPr/>
          <w:p>
            <w:pPr>
              <w:pStyle w:val="Compact"/>
              <w:jc w:val="right"/>
            </w:pPr>
            <w:r>
              <w:t xml:space="preserve">0.260</w:t>
            </w:r>
          </w:p>
        </w:tc>
        <w:tc>
          <w:tcPr/>
          <w:p>
            <w:pPr>
              <w:pStyle w:val="Compact"/>
              <w:jc w:val="right"/>
            </w:pPr>
            <w:r>
              <w:t xml:space="preserve">3.243</w:t>
            </w:r>
          </w:p>
        </w:tc>
        <w:tc>
          <w:tcPr/>
          <w:p>
            <w:pPr>
              <w:pStyle w:val="Compact"/>
              <w:jc w:val="right"/>
            </w:pPr>
            <w:r>
              <w:t xml:space="preserve">162</w:t>
            </w:r>
          </w:p>
        </w:tc>
        <w:tc>
          <w:tcPr/>
          <w:p>
            <w:pPr>
              <w:pStyle w:val="Compact"/>
              <w:jc w:val="right"/>
            </w:pPr>
            <w:r>
              <w:t xml:space="preserve">2.533</w:t>
            </w:r>
          </w:p>
        </w:tc>
        <w:tc>
          <w:tcPr/>
          <w:p>
            <w:pPr>
              <w:pStyle w:val="Compact"/>
              <w:jc w:val="right"/>
            </w:pPr>
            <w:r>
              <w:t xml:space="preserve">0.916</w:t>
            </w:r>
          </w:p>
        </w:tc>
        <w:tc>
          <w:tcPr/>
          <w:p>
            <w:pPr>
              <w:pStyle w:val="Compact"/>
              <w:jc w:val="right"/>
            </w:pPr>
            <w:r>
              <w:t xml:space="preserve">0.977</w:t>
            </w:r>
          </w:p>
        </w:tc>
      </w:tr>
      <w:tr>
        <w:tc>
          <w:tcPr/>
          <w:p>
            <w:pPr>
              <w:pStyle w:val="Compact"/>
              <w:jc w:val="right"/>
            </w:pPr>
            <w:r>
              <w:t xml:space="preserve">4</w:t>
            </w:r>
          </w:p>
        </w:tc>
        <w:tc>
          <w:tcPr/>
          <w:p>
            <w:pPr>
              <w:pStyle w:val="Compact"/>
              <w:jc w:val="right"/>
            </w:pPr>
            <w:r>
              <w:t xml:space="preserve">24753</w:t>
            </w:r>
          </w:p>
        </w:tc>
        <w:tc>
          <w:tcPr/>
          <w:p>
            <w:pPr>
              <w:pStyle w:val="Compact"/>
              <w:jc w:val="right"/>
            </w:pPr>
            <w:r>
              <w:t xml:space="preserve">0.959</w:t>
            </w:r>
          </w:p>
        </w:tc>
        <w:tc>
          <w:tcPr/>
          <w:p>
            <w:pPr>
              <w:pStyle w:val="Compact"/>
              <w:jc w:val="right"/>
            </w:pPr>
            <w:r>
              <w:t xml:space="preserve">0.165</w:t>
            </w:r>
          </w:p>
        </w:tc>
        <w:tc>
          <w:tcPr/>
          <w:p>
            <w:pPr>
              <w:pStyle w:val="Compact"/>
              <w:jc w:val="right"/>
            </w:pPr>
            <w:r>
              <w:t xml:space="preserve">0.825</w:t>
            </w:r>
          </w:p>
        </w:tc>
        <w:tc>
          <w:tcPr/>
          <w:p>
            <w:pPr>
              <w:pStyle w:val="Compact"/>
              <w:jc w:val="right"/>
            </w:pPr>
            <w:r>
              <w:t xml:space="preserve">0.074</w:t>
            </w:r>
          </w:p>
        </w:tc>
        <w:tc>
          <w:tcPr/>
          <w:p>
            <w:pPr>
              <w:pStyle w:val="Compact"/>
              <w:jc w:val="right"/>
            </w:pPr>
            <w:r>
              <w:t xml:space="preserve">0.430</w:t>
            </w:r>
          </w:p>
        </w:tc>
        <w:tc>
          <w:tcPr/>
          <w:p>
            <w:pPr>
              <w:pStyle w:val="Compact"/>
              <w:jc w:val="right"/>
            </w:pPr>
            <w:r>
              <w:t xml:space="preserve">4.431</w:t>
            </w:r>
          </w:p>
        </w:tc>
        <w:tc>
          <w:tcPr/>
          <w:p>
            <w:pPr>
              <w:pStyle w:val="Compact"/>
              <w:jc w:val="right"/>
            </w:pPr>
            <w:r>
              <w:t xml:space="preserve">173</w:t>
            </w:r>
          </w:p>
        </w:tc>
        <w:tc>
          <w:tcPr/>
          <w:p>
            <w:pPr>
              <w:pStyle w:val="Compact"/>
              <w:jc w:val="right"/>
            </w:pPr>
            <w:r>
              <w:t xml:space="preserve">1.854</w:t>
            </w:r>
          </w:p>
        </w:tc>
        <w:tc>
          <w:tcPr/>
          <w:p>
            <w:pPr>
              <w:pStyle w:val="Compact"/>
              <w:jc w:val="right"/>
            </w:pPr>
            <w:r>
              <w:t xml:space="preserve">0.931</w:t>
            </w:r>
          </w:p>
        </w:tc>
        <w:tc>
          <w:tcPr/>
          <w:p>
            <w:pPr>
              <w:pStyle w:val="Compact"/>
              <w:jc w:val="right"/>
            </w:pPr>
            <w:r>
              <w:t xml:space="preserve">0.977</w:t>
            </w:r>
          </w:p>
        </w:tc>
      </w:tr>
      <w:tr>
        <w:tc>
          <w:tcPr/>
          <w:p>
            <w:pPr>
              <w:pStyle w:val="Compact"/>
              <w:jc w:val="right"/>
            </w:pPr>
            <w:r>
              <w:t xml:space="preserve">8</w:t>
            </w:r>
          </w:p>
        </w:tc>
        <w:tc>
          <w:tcPr/>
          <w:p>
            <w:pPr>
              <w:pStyle w:val="Compact"/>
              <w:jc w:val="right"/>
            </w:pPr>
            <w:r>
              <w:t xml:space="preserve">37232</w:t>
            </w:r>
          </w:p>
        </w:tc>
        <w:tc>
          <w:tcPr/>
          <w:p>
            <w:pPr>
              <w:pStyle w:val="Compact"/>
              <w:jc w:val="right"/>
            </w:pPr>
            <w:r>
              <w:t xml:space="preserve">0.969</w:t>
            </w:r>
          </w:p>
        </w:tc>
        <w:tc>
          <w:tcPr/>
          <w:p>
            <w:pPr>
              <w:pStyle w:val="Compact"/>
              <w:jc w:val="right"/>
            </w:pPr>
            <w:r>
              <w:t xml:space="preserve">0.171</w:t>
            </w:r>
          </w:p>
        </w:tc>
        <w:tc>
          <w:tcPr/>
          <w:p>
            <w:pPr>
              <w:pStyle w:val="Compact"/>
              <w:jc w:val="right"/>
            </w:pPr>
            <w:r>
              <w:t xml:space="preserve">0.809</w:t>
            </w:r>
          </w:p>
        </w:tc>
        <w:tc>
          <w:tcPr/>
          <w:p>
            <w:pPr>
              <w:pStyle w:val="Compact"/>
              <w:jc w:val="right"/>
            </w:pPr>
            <w:r>
              <w:t xml:space="preserve">0.123</w:t>
            </w:r>
          </w:p>
        </w:tc>
        <w:tc>
          <w:tcPr/>
          <w:p>
            <w:pPr>
              <w:pStyle w:val="Compact"/>
              <w:jc w:val="right"/>
            </w:pPr>
            <w:r>
              <w:t xml:space="preserve">0.820</w:t>
            </w:r>
          </w:p>
        </w:tc>
        <w:tc>
          <w:tcPr/>
          <w:p>
            <w:pPr>
              <w:pStyle w:val="Compact"/>
              <w:jc w:val="right"/>
            </w:pPr>
            <w:r>
              <w:t xml:space="preserve">6.493</w:t>
            </w:r>
          </w:p>
        </w:tc>
        <w:tc>
          <w:tcPr/>
          <w:p>
            <w:pPr>
              <w:pStyle w:val="Compact"/>
              <w:jc w:val="right"/>
            </w:pPr>
            <w:r>
              <w:t xml:space="preserve">186</w:t>
            </w:r>
          </w:p>
        </w:tc>
        <w:tc>
          <w:tcPr/>
          <w:p>
            <w:pPr>
              <w:pStyle w:val="Compact"/>
              <w:jc w:val="right"/>
            </w:pPr>
            <w:r>
              <w:t xml:space="preserve">1.265</w:t>
            </w:r>
          </w:p>
        </w:tc>
        <w:tc>
          <w:tcPr/>
          <w:p>
            <w:pPr>
              <w:pStyle w:val="Compact"/>
              <w:jc w:val="right"/>
            </w:pPr>
            <w:r>
              <w:t xml:space="preserve">0.947</w:t>
            </w:r>
          </w:p>
        </w:tc>
        <w:tc>
          <w:tcPr/>
          <w:p>
            <w:pPr>
              <w:pStyle w:val="Compact"/>
              <w:jc w:val="right"/>
            </w:pPr>
            <w:r>
              <w:t xml:space="preserve">0.984</w:t>
            </w:r>
          </w:p>
        </w:tc>
      </w:tr>
      <w:tr>
        <w:tc>
          <w:tcPr/>
          <w:p>
            <w:pPr>
              <w:pStyle w:val="Compact"/>
              <w:jc w:val="right"/>
            </w:pPr>
            <w:r>
              <w:t xml:space="preserve">12</w:t>
            </w:r>
          </w:p>
        </w:tc>
        <w:tc>
          <w:tcPr/>
          <w:p>
            <w:pPr>
              <w:pStyle w:val="Compact"/>
              <w:jc w:val="right"/>
            </w:pPr>
            <w:r>
              <w:t xml:space="preserve">41662</w:t>
            </w:r>
          </w:p>
        </w:tc>
        <w:tc>
          <w:tcPr/>
          <w:p>
            <w:pPr>
              <w:pStyle w:val="Compact"/>
              <w:jc w:val="right"/>
            </w:pPr>
            <w:r>
              <w:t xml:space="preserve">0.969</w:t>
            </w:r>
          </w:p>
        </w:tc>
        <w:tc>
          <w:tcPr/>
          <w:p>
            <w:pPr>
              <w:pStyle w:val="Compact"/>
              <w:jc w:val="right"/>
            </w:pPr>
            <w:r>
              <w:t xml:space="preserve">0.183</w:t>
            </w:r>
          </w:p>
        </w:tc>
        <w:tc>
          <w:tcPr/>
          <w:p>
            <w:pPr>
              <w:pStyle w:val="Compact"/>
              <w:jc w:val="right"/>
            </w:pPr>
            <w:r>
              <w:t xml:space="preserve">0.784</w:t>
            </w:r>
          </w:p>
        </w:tc>
        <w:tc>
          <w:tcPr/>
          <w:p>
            <w:pPr>
              <w:pStyle w:val="Compact"/>
              <w:jc w:val="right"/>
            </w:pPr>
            <w:r>
              <w:t xml:space="preserve">0.132</w:t>
            </w:r>
          </w:p>
        </w:tc>
        <w:tc>
          <w:tcPr/>
          <w:p>
            <w:pPr>
              <w:pStyle w:val="Compact"/>
              <w:jc w:val="right"/>
            </w:pPr>
            <w:r>
              <w:t xml:space="preserve">1.220</w:t>
            </w:r>
          </w:p>
        </w:tc>
        <w:tc>
          <w:tcPr/>
          <w:p>
            <w:pPr>
              <w:pStyle w:val="Compact"/>
              <w:jc w:val="right"/>
            </w:pPr>
            <w:r>
              <w:t xml:space="preserve">7.762</w:t>
            </w:r>
          </w:p>
        </w:tc>
        <w:tc>
          <w:tcPr/>
          <w:p>
            <w:pPr>
              <w:pStyle w:val="Compact"/>
              <w:jc w:val="right"/>
            </w:pPr>
            <w:r>
              <w:t xml:space="preserve">192</w:t>
            </w:r>
          </w:p>
        </w:tc>
        <w:tc>
          <w:tcPr/>
          <w:p>
            <w:pPr>
              <w:pStyle w:val="Compact"/>
              <w:jc w:val="right"/>
            </w:pPr>
            <w:r>
              <w:t xml:space="preserve">1.058</w:t>
            </w:r>
          </w:p>
        </w:tc>
        <w:tc>
          <w:tcPr/>
          <w:p>
            <w:pPr>
              <w:pStyle w:val="Compact"/>
              <w:jc w:val="right"/>
            </w:pPr>
            <w:r>
              <w:t xml:space="preserve">0.943</w:t>
            </w:r>
          </w:p>
        </w:tc>
        <w:tc>
          <w:tcPr/>
          <w:p>
            <w:pPr>
              <w:pStyle w:val="Compact"/>
              <w:jc w:val="right"/>
            </w:pPr>
            <w:r>
              <w:t xml:space="preserve">0.986</w:t>
            </w:r>
          </w:p>
        </w:tc>
      </w:tr>
      <w:tr>
        <w:tc>
          <w:tcPr/>
          <w:p>
            <w:pPr>
              <w:pStyle w:val="Compact"/>
              <w:jc w:val="right"/>
            </w:pPr>
            <w:r>
              <w:t xml:space="preserve">16</w:t>
            </w:r>
          </w:p>
        </w:tc>
        <w:tc>
          <w:tcPr/>
          <w:p>
            <w:pPr>
              <w:pStyle w:val="Compact"/>
              <w:jc w:val="right"/>
            </w:pPr>
            <w:r>
              <w:t xml:space="preserve">43735</w:t>
            </w:r>
          </w:p>
        </w:tc>
        <w:tc>
          <w:tcPr/>
          <w:p>
            <w:pPr>
              <w:pStyle w:val="Compact"/>
              <w:jc w:val="right"/>
            </w:pPr>
            <w:r>
              <w:t xml:space="preserve">0.959</w:t>
            </w:r>
          </w:p>
        </w:tc>
        <w:tc>
          <w:tcPr/>
          <w:p>
            <w:pPr>
              <w:pStyle w:val="Compact"/>
              <w:jc w:val="right"/>
            </w:pPr>
            <w:r>
              <w:t xml:space="preserve">0.196</w:t>
            </w:r>
          </w:p>
        </w:tc>
        <w:tc>
          <w:tcPr/>
          <w:p>
            <w:pPr>
              <w:pStyle w:val="Compact"/>
              <w:jc w:val="right"/>
            </w:pPr>
            <w:r>
              <w:t xml:space="preserve">0.745</w:t>
            </w:r>
          </w:p>
        </w:tc>
        <w:tc>
          <w:tcPr/>
          <w:p>
            <w:pPr>
              <w:pStyle w:val="Compact"/>
              <w:jc w:val="right"/>
            </w:pPr>
            <w:r>
              <w:t xml:space="preserve">0.145</w:t>
            </w:r>
          </w:p>
        </w:tc>
        <w:tc>
          <w:tcPr/>
          <w:p>
            <w:pPr>
              <w:pStyle w:val="Compact"/>
              <w:jc w:val="right"/>
            </w:pPr>
            <w:r>
              <w:t xml:space="preserve">1.530</w:t>
            </w:r>
          </w:p>
        </w:tc>
        <w:tc>
          <w:tcPr/>
          <w:p>
            <w:pPr>
              <w:pStyle w:val="Compact"/>
              <w:jc w:val="right"/>
            </w:pPr>
            <w:r>
              <w:t xml:space="preserve">8.215</w:t>
            </w:r>
          </w:p>
        </w:tc>
        <w:tc>
          <w:tcPr/>
          <w:p>
            <w:pPr>
              <w:pStyle w:val="Compact"/>
              <w:jc w:val="right"/>
            </w:pPr>
            <w:r>
              <w:t xml:space="preserve">195</w:t>
            </w:r>
          </w:p>
        </w:tc>
        <w:tc>
          <w:tcPr/>
          <w:p>
            <w:pPr>
              <w:pStyle w:val="Compact"/>
              <w:jc w:val="right"/>
            </w:pPr>
            <w:r>
              <w:t xml:space="preserve">1.000</w:t>
            </w:r>
          </w:p>
        </w:tc>
        <w:tc>
          <w:tcPr/>
          <w:p>
            <w:pPr>
              <w:pStyle w:val="Compact"/>
              <w:jc w:val="right"/>
            </w:pPr>
            <w:r>
              <w:t xml:space="preserve">0.928</w:t>
            </w:r>
          </w:p>
        </w:tc>
        <w:tc>
          <w:tcPr/>
          <w:p>
            <w:pPr>
              <w:pStyle w:val="Compact"/>
              <w:jc w:val="right"/>
            </w:pPr>
            <w:r>
              <w:t xml:space="preserve">0.979</w:t>
            </w:r>
          </w:p>
        </w:tc>
      </w:tr>
    </w:tbl>
    <w:p>
      <w:pPr>
        <w:pStyle w:val="BodyText"/>
      </w:pPr>
      <w:r>
        <w:t xml:space="preserve">Subsets are the top k of Table 6. Accuracy columns average the 0.5/1/2x depths, the regime the panel exists for; cost columns average all five. Index cost is one-off per reference. Accuracy is a plateau: 4-12 enzymes are statistically indistinguishable (bootstrap 95% CIs overlap; k = 8 is the point-estimate peak), while cost is linear in k – the four sparsest enzymes (&lt; 450 anchors) buy nothing and double the bias on the replication run-out control. We did not establish the mechanism: two candidate explanations were tested and both refuted (sparse enzymes are not more biased than dense ones, and forcing fixed-effect weights does not recover the loss). Same cells, Pilea, gates off 11.5 s / 157 MB; Pilea, defaults 1.9 s / 157 MB.</w:t>
      </w:r>
    </w:p>
    <w:p>
      <w:pPr>
        <w:pStyle w:val="BodyText"/>
      </w:pPr>
      <w:r>
        <w:rPr>
          <w:b/>
          <w:bCs/>
        </w:rPr>
        <w:t xml:space="preserve">Table 8. Reference fragmentation: the same reads against a complete, a fragmented, and a scaffolded reference</w:t>
      </w:r>
    </w:p>
    <w:tbl>
      <w:tblPr>
        <w:tblStyle w:val="Table"/>
        <w:tblW w:type="pct" w:w="5000"/>
        <w:tblLayout w:type="fixed"/>
        <w:tblLook w:firstRow="1" w:lastRow="0" w:firstColumn="0" w:lastColumn="0" w:noHBand="0" w:noVBand="0" w:val="0020"/>
      </w:tblPr>
      <w:tblGrid>
        <w:gridCol w:w="748"/>
        <w:gridCol w:w="2432"/>
        <w:gridCol w:w="311"/>
        <w:gridCol w:w="810"/>
        <w:gridCol w:w="498"/>
        <w:gridCol w:w="498"/>
        <w:gridCol w:w="561"/>
        <w:gridCol w:w="685"/>
        <w:gridCol w:w="1371"/>
      </w:tblGrid>
      <w:tr>
        <w:trPr>
          <w:tblHeader w:val="on"/>
        </w:trPr>
        <w:tc>
          <w:tcPr/>
          <w:p>
            <w:pPr>
              <w:pStyle w:val="Compact"/>
              <w:jc w:val="right"/>
            </w:pPr>
            <w:r>
              <w:t xml:space="preserve">coverage</w:t>
            </w:r>
          </w:p>
        </w:tc>
        <w:tc>
          <w:tcPr/>
          <w:p>
            <w:pPr>
              <w:pStyle w:val="Compact"/>
              <w:jc w:val="left"/>
            </w:pPr>
            <w:r>
              <w:t xml:space="preserve">reference</w:t>
            </w:r>
          </w:p>
        </w:tc>
        <w:tc>
          <w:tcPr/>
          <w:p>
            <w:pPr>
              <w:pStyle w:val="Compact"/>
              <w:jc w:val="right"/>
            </w:pPr>
            <w:r>
              <w:t xml:space="preserve">n</w:t>
            </w:r>
          </w:p>
        </w:tc>
        <w:tc>
          <w:tcPr/>
          <w:p>
            <w:pPr>
              <w:pStyle w:val="Compact"/>
              <w:jc w:val="right"/>
            </w:pPr>
            <w:r>
              <w:t xml:space="preserve">pearson_r</w:t>
            </w:r>
          </w:p>
        </w:tc>
        <w:tc>
          <w:tcPr/>
          <w:p>
            <w:pPr>
              <w:pStyle w:val="Compact"/>
              <w:jc w:val="right"/>
            </w:pPr>
            <w:r>
              <w:t xml:space="preserve">rmse</w:t>
            </w:r>
          </w:p>
        </w:tc>
        <w:tc>
          <w:tcPr/>
          <w:p>
            <w:pPr>
              <w:pStyle w:val="Compact"/>
              <w:jc w:val="right"/>
            </w:pPr>
            <w:r>
              <w:t xml:space="preserve">bias</w:t>
            </w:r>
          </w:p>
        </w:tc>
        <w:tc>
          <w:tcPr/>
          <w:p>
            <w:pPr>
              <w:pStyle w:val="Compact"/>
              <w:jc w:val="right"/>
            </w:pPr>
            <w:r>
              <w:t xml:space="preserve">slope</w:t>
            </w:r>
          </w:p>
        </w:tc>
        <w:tc>
          <w:tcPr/>
          <w:p>
            <w:pPr>
              <w:pStyle w:val="Compact"/>
              <w:jc w:val="right"/>
            </w:pPr>
            <w:r>
              <w:t xml:space="preserve">qc_pass</w:t>
            </w:r>
          </w:p>
        </w:tc>
        <w:tc>
          <w:tcPr/>
          <w:p>
            <w:pPr>
              <w:pStyle w:val="Compact"/>
              <w:jc w:val="right"/>
            </w:pPr>
            <w:r>
              <w:t xml:space="preserve">stationary_control</w:t>
            </w:r>
          </w:p>
        </w:tc>
      </w:tr>
      <w:tr>
        <w:tc>
          <w:tcPr/>
          <w:p>
            <w:pPr>
              <w:pStyle w:val="Compact"/>
              <w:jc w:val="right"/>
            </w:pPr>
            <w:r>
              <w:t xml:space="preserve">0.5</w:t>
            </w:r>
          </w:p>
        </w:tc>
        <w:tc>
          <w:tcPr/>
          <w:p>
            <w:pPr>
              <w:pStyle w:val="Compact"/>
              <w:jc w:val="left"/>
            </w:pPr>
            <w:r>
              <w:t xml:space="preserve">complete chromosome</w:t>
            </w:r>
          </w:p>
        </w:tc>
        <w:tc>
          <w:tcPr/>
          <w:p>
            <w:pPr>
              <w:pStyle w:val="Compact"/>
              <w:jc w:val="right"/>
            </w:pPr>
            <w:r>
              <w:t xml:space="preserve">16</w:t>
            </w:r>
          </w:p>
        </w:tc>
        <w:tc>
          <w:tcPr/>
          <w:p>
            <w:pPr>
              <w:pStyle w:val="Compact"/>
              <w:jc w:val="right"/>
            </w:pPr>
            <w:r>
              <w:t xml:space="preserve">0.913</w:t>
            </w:r>
          </w:p>
        </w:tc>
        <w:tc>
          <w:tcPr/>
          <w:p>
            <w:pPr>
              <w:pStyle w:val="Compact"/>
              <w:jc w:val="right"/>
            </w:pPr>
            <w:r>
              <w:t xml:space="preserve">0.304</w:t>
            </w:r>
          </w:p>
        </w:tc>
        <w:tc>
          <w:tcPr/>
          <w:p>
            <w:pPr>
              <w:pStyle w:val="Compact"/>
              <w:jc w:val="right"/>
            </w:pPr>
            <w:r>
              <w:t xml:space="preserve">-0.252</w:t>
            </w:r>
          </w:p>
        </w:tc>
        <w:tc>
          <w:tcPr/>
          <w:p>
            <w:pPr>
              <w:pStyle w:val="Compact"/>
              <w:jc w:val="right"/>
            </w:pPr>
            <w:r>
              <w:t xml:space="preserve">0.615</w:t>
            </w:r>
          </w:p>
        </w:tc>
        <w:tc>
          <w:tcPr/>
          <w:p>
            <w:pPr>
              <w:pStyle w:val="Compact"/>
              <w:jc w:val="right"/>
            </w:pPr>
            <w:r>
              <w:t xml:space="preserve">0.000</w:t>
            </w:r>
          </w:p>
        </w:tc>
        <w:tc>
          <w:tcPr/>
          <w:p>
            <w:pPr>
              <w:pStyle w:val="Compact"/>
              <w:jc w:val="right"/>
            </w:pPr>
            <w:r>
              <w:t xml:space="preserve">0.260</w:t>
            </w:r>
          </w:p>
        </w:tc>
      </w:tr>
      <w:tr>
        <w:tc>
          <w:tcPr/>
          <w:p>
            <w:pPr>
              <w:pStyle w:val="Compact"/>
              <w:jc w:val="right"/>
            </w:pPr>
            <w:r>
              <w:t xml:space="preserve">0.5</w:t>
            </w:r>
          </w:p>
        </w:tc>
        <w:tc>
          <w:tcPr/>
          <w:p>
            <w:pPr>
              <w:pStyle w:val="Compact"/>
              <w:jc w:val="left"/>
            </w:pPr>
            <w:r>
              <w:t xml:space="preserve">100 contigs</w:t>
            </w:r>
          </w:p>
        </w:tc>
        <w:tc>
          <w:tcPr/>
          <w:p>
            <w:pPr>
              <w:pStyle w:val="Compact"/>
              <w:jc w:val="right"/>
            </w:pPr>
            <w:r>
              <w:t xml:space="preserve">16</w:t>
            </w:r>
          </w:p>
        </w:tc>
        <w:tc>
          <w:tcPr/>
          <w:p>
            <w:pPr>
              <w:pStyle w:val="Compact"/>
              <w:jc w:val="right"/>
            </w:pPr>
            <w:r>
              <w:t xml:space="preserve">0.382</w:t>
            </w:r>
          </w:p>
        </w:tc>
        <w:tc>
          <w:tcPr/>
          <w:p>
            <w:pPr>
              <w:pStyle w:val="Compact"/>
              <w:jc w:val="right"/>
            </w:pPr>
            <w:r>
              <w:t xml:space="preserve">0.833</w:t>
            </w:r>
          </w:p>
        </w:tc>
        <w:tc>
          <w:tcPr/>
          <w:p>
            <w:pPr>
              <w:pStyle w:val="Compact"/>
              <w:jc w:val="right"/>
            </w:pPr>
            <w:r>
              <w:t xml:space="preserve">-0.750</w:t>
            </w:r>
          </w:p>
        </w:tc>
        <w:tc>
          <w:tcPr/>
          <w:p>
            <w:pPr>
              <w:pStyle w:val="Compact"/>
              <w:jc w:val="right"/>
            </w:pPr>
            <w:r>
              <w:t xml:space="preserve">0.082</w:t>
            </w:r>
          </w:p>
        </w:tc>
        <w:tc>
          <w:tcPr/>
          <w:p>
            <w:pPr>
              <w:pStyle w:val="Compact"/>
              <w:jc w:val="right"/>
            </w:pPr>
            <w:r>
              <w:t xml:space="preserve">0.000</w:t>
            </w:r>
          </w:p>
        </w:tc>
        <w:tc>
          <w:tcPr/>
          <w:p>
            <w:pPr>
              <w:pStyle w:val="Compact"/>
              <w:jc w:val="right"/>
            </w:pPr>
            <w:r>
              <w:t xml:space="preserve">0.150</w:t>
            </w:r>
          </w:p>
        </w:tc>
      </w:tr>
      <w:tr>
        <w:tc>
          <w:tcPr/>
          <w:p>
            <w:pPr>
              <w:pStyle w:val="Compact"/>
              <w:jc w:val="right"/>
            </w:pPr>
            <w:r>
              <w:t xml:space="preserve">0.5</w:t>
            </w:r>
          </w:p>
        </w:tc>
        <w:tc>
          <w:tcPr/>
          <w:p>
            <w:pPr>
              <w:pStyle w:val="Compact"/>
              <w:jc w:val="left"/>
            </w:pPr>
            <w:r>
              <w:t xml:space="preserve">100 contigs, scaffolded vs itself</w:t>
            </w:r>
          </w:p>
        </w:tc>
        <w:tc>
          <w:tcPr/>
          <w:p>
            <w:pPr>
              <w:pStyle w:val="Compact"/>
              <w:jc w:val="right"/>
            </w:pPr>
            <w:r>
              <w:t xml:space="preserve">16</w:t>
            </w:r>
          </w:p>
        </w:tc>
        <w:tc>
          <w:tcPr/>
          <w:p>
            <w:pPr>
              <w:pStyle w:val="Compact"/>
              <w:jc w:val="right"/>
            </w:pPr>
            <w:r>
              <w:t xml:space="preserve">0.922</w:t>
            </w:r>
          </w:p>
        </w:tc>
        <w:tc>
          <w:tcPr/>
          <w:p>
            <w:pPr>
              <w:pStyle w:val="Compact"/>
              <w:jc w:val="right"/>
            </w:pPr>
            <w:r>
              <w:t xml:space="preserve">0.304</w:t>
            </w:r>
          </w:p>
        </w:tc>
        <w:tc>
          <w:tcPr/>
          <w:p>
            <w:pPr>
              <w:pStyle w:val="Compact"/>
              <w:jc w:val="right"/>
            </w:pPr>
            <w:r>
              <w:t xml:space="preserve">-0.255</w:t>
            </w:r>
          </w:p>
        </w:tc>
        <w:tc>
          <w:tcPr/>
          <w:p>
            <w:pPr>
              <w:pStyle w:val="Compact"/>
              <w:jc w:val="right"/>
            </w:pPr>
            <w:r>
              <w:t xml:space="preserve">0.632</w:t>
            </w:r>
          </w:p>
        </w:tc>
        <w:tc>
          <w:tcPr/>
          <w:p>
            <w:pPr>
              <w:pStyle w:val="Compact"/>
              <w:jc w:val="right"/>
            </w:pPr>
            <w:r>
              <w:t xml:space="preserve">0.000</w:t>
            </w:r>
          </w:p>
        </w:tc>
        <w:tc>
          <w:tcPr/>
          <w:p>
            <w:pPr>
              <w:pStyle w:val="Compact"/>
              <w:jc w:val="right"/>
            </w:pPr>
            <w:r>
              <w:t xml:space="preserve">0.257</w:t>
            </w:r>
          </w:p>
        </w:tc>
      </w:tr>
      <w:tr>
        <w:tc>
          <w:tcPr/>
          <w:p>
            <w:pPr>
              <w:pStyle w:val="Compact"/>
              <w:jc w:val="right"/>
            </w:pPr>
            <w:r>
              <w:t xml:space="preserve">0.5</w:t>
            </w:r>
          </w:p>
        </w:tc>
        <w:tc>
          <w:tcPr/>
          <w:p>
            <w:pPr>
              <w:pStyle w:val="Compact"/>
              <w:jc w:val="left"/>
            </w:pPr>
            <w:r>
              <w:t xml:space="preserve">100 contigs, scaffolded vs a relative</w:t>
            </w:r>
          </w:p>
        </w:tc>
        <w:tc>
          <w:tcPr/>
          <w:p>
            <w:pPr>
              <w:pStyle w:val="Compact"/>
              <w:jc w:val="right"/>
            </w:pPr>
            <w:r>
              <w:t xml:space="preserve">16</w:t>
            </w:r>
          </w:p>
        </w:tc>
        <w:tc>
          <w:tcPr/>
          <w:p>
            <w:pPr>
              <w:pStyle w:val="Compact"/>
              <w:jc w:val="right"/>
            </w:pPr>
            <w:r>
              <w:t xml:space="preserve">0.921</w:t>
            </w:r>
          </w:p>
        </w:tc>
        <w:tc>
          <w:tcPr/>
          <w:p>
            <w:pPr>
              <w:pStyle w:val="Compact"/>
              <w:jc w:val="right"/>
            </w:pPr>
            <w:r>
              <w:t xml:space="preserve">0.266</w:t>
            </w:r>
          </w:p>
        </w:tc>
        <w:tc>
          <w:tcPr/>
          <w:p>
            <w:pPr>
              <w:pStyle w:val="Compact"/>
              <w:jc w:val="right"/>
            </w:pPr>
            <w:r>
              <w:t xml:space="preserve">-0.227</w:t>
            </w:r>
          </w:p>
        </w:tc>
        <w:tc>
          <w:tcPr/>
          <w:p>
            <w:pPr>
              <w:pStyle w:val="Compact"/>
              <w:jc w:val="right"/>
            </w:pPr>
            <w:r>
              <w:t xml:space="preserve">0.685</w:t>
            </w:r>
          </w:p>
        </w:tc>
        <w:tc>
          <w:tcPr/>
          <w:p>
            <w:pPr>
              <w:pStyle w:val="Compact"/>
              <w:jc w:val="right"/>
            </w:pPr>
            <w:r>
              <w:t xml:space="preserve">0.000</w:t>
            </w:r>
          </w:p>
        </w:tc>
        <w:tc>
          <w:tcPr/>
          <w:p>
            <w:pPr>
              <w:pStyle w:val="Compact"/>
              <w:jc w:val="right"/>
            </w:pPr>
            <w:r>
              <w:t xml:space="preserve">0.299</w:t>
            </w:r>
          </w:p>
        </w:tc>
      </w:tr>
      <w:tr>
        <w:tc>
          <w:tcPr/>
          <w:p>
            <w:pPr>
              <w:pStyle w:val="Compact"/>
              <w:jc w:val="right"/>
            </w:pPr>
            <w:r>
              <w:t xml:space="preserve">0.5</w:t>
            </w:r>
          </w:p>
        </w:tc>
        <w:tc>
          <w:tcPr/>
          <w:p>
            <w:pPr>
              <w:pStyle w:val="Compact"/>
              <w:jc w:val="left"/>
            </w:pPr>
            <w:r>
              <w:t xml:space="preserve">100 contigs, Pilea</w:t>
            </w:r>
          </w:p>
        </w:tc>
        <w:tc>
          <w:tcPr/>
          <w:p>
            <w:pPr>
              <w:pStyle w:val="Compact"/>
              <w:jc w:val="right"/>
            </w:pPr>
            <w:r>
              <w:t xml:space="preserve">16</w:t>
            </w:r>
          </w:p>
        </w:tc>
        <w:tc>
          <w:tcPr/>
          <w:p>
            <w:pPr>
              <w:pStyle w:val="Compact"/>
              <w:jc w:val="right"/>
            </w:pPr>
            <w:r>
              <w:t xml:space="preserve">nan</w:t>
            </w:r>
          </w:p>
        </w:tc>
        <w:tc>
          <w:tcPr/>
          <w:p>
            <w:pPr>
              <w:pStyle w:val="Compact"/>
              <w:jc w:val="right"/>
            </w:pPr>
            <w:r>
              <w:t xml:space="preserve">1.117</w:t>
            </w:r>
          </w:p>
        </w:tc>
        <w:tc>
          <w:tcPr/>
          <w:p>
            <w:pPr>
              <w:pStyle w:val="Compact"/>
              <w:jc w:val="right"/>
            </w:pPr>
            <w:r>
              <w:t xml:space="preserve">-1.045</w:t>
            </w:r>
          </w:p>
        </w:tc>
        <w:tc>
          <w:tcPr/>
          <w:p>
            <w:pPr>
              <w:pStyle w:val="Compact"/>
              <w:jc w:val="right"/>
            </w:pPr>
            <w:r>
              <w:t xml:space="preserve">nan</w:t>
            </w:r>
          </w:p>
        </w:tc>
        <w:tc>
          <w:tcPr/>
          <w:p>
            <w:pPr>
              <w:pStyle w:val="Compact"/>
              <w:jc w:val="right"/>
            </w:pPr>
            <w:r>
              <w:t xml:space="preserve">nan</w:t>
            </w:r>
          </w:p>
        </w:tc>
        <w:tc>
          <w:tcPr/>
          <w:p>
            <w:pPr>
              <w:pStyle w:val="Compact"/>
              <w:jc w:val="right"/>
            </w:pPr>
            <w:r>
              <w:t xml:space="preserve">0.000</w:t>
            </w:r>
          </w:p>
        </w:tc>
      </w:tr>
      <w:tr>
        <w:tc>
          <w:tcPr/>
          <w:p>
            <w:pPr>
              <w:pStyle w:val="Compact"/>
              <w:jc w:val="right"/>
            </w:pPr>
            <w:r>
              <w:t xml:space="preserve">0.5</w:t>
            </w:r>
          </w:p>
        </w:tc>
        <w:tc>
          <w:tcPr/>
          <w:p>
            <w:pPr>
              <w:pStyle w:val="Compact"/>
              <w:jc w:val="left"/>
            </w:pPr>
            <w:r>
              <w:t xml:space="preserve">100 contigs, order-free spread MLE</w:t>
            </w:r>
          </w:p>
        </w:tc>
        <w:tc>
          <w:tcPr/>
          <w:p>
            <w:pPr>
              <w:pStyle w:val="Compact"/>
              <w:jc w:val="right"/>
            </w:pPr>
            <w:r>
              <w:t xml:space="preserve">16</w:t>
            </w:r>
          </w:p>
        </w:tc>
        <w:tc>
          <w:tcPr/>
          <w:p>
            <w:pPr>
              <w:pStyle w:val="Compact"/>
              <w:jc w:val="right"/>
            </w:pPr>
            <w:r>
              <w:t xml:space="preserve">0.308</w:t>
            </w:r>
          </w:p>
        </w:tc>
        <w:tc>
          <w:tcPr/>
          <w:p>
            <w:pPr>
              <w:pStyle w:val="Compact"/>
              <w:jc w:val="right"/>
            </w:pPr>
            <w:r>
              <w:t xml:space="preserve">1.067</w:t>
            </w:r>
          </w:p>
        </w:tc>
        <w:tc>
          <w:tcPr/>
          <w:p>
            <w:pPr>
              <w:pStyle w:val="Compact"/>
              <w:jc w:val="right"/>
            </w:pPr>
            <w:r>
              <w:t xml:space="preserve">-0.994</w:t>
            </w:r>
          </w:p>
        </w:tc>
        <w:tc>
          <w:tcPr/>
          <w:p>
            <w:pPr>
              <w:pStyle w:val="Compact"/>
              <w:jc w:val="right"/>
            </w:pPr>
            <w:r>
              <w:t xml:space="preserve">0.143</w:t>
            </w:r>
          </w:p>
        </w:tc>
        <w:tc>
          <w:tcPr/>
          <w:p>
            <w:pPr>
              <w:pStyle w:val="Compact"/>
              <w:jc w:val="right"/>
            </w:pPr>
            <w:r>
              <w:t xml:space="preserve">nan</w:t>
            </w:r>
          </w:p>
        </w:tc>
        <w:tc>
          <w:tcPr/>
          <w:p>
            <w:pPr>
              <w:pStyle w:val="Compact"/>
              <w:jc w:val="right"/>
            </w:pPr>
            <w:r>
              <w:t xml:space="preserve">0.000</w:t>
            </w:r>
          </w:p>
        </w:tc>
      </w:tr>
      <w:tr>
        <w:tc>
          <w:tcPr/>
          <w:p>
            <w:pPr>
              <w:pStyle w:val="Compact"/>
              <w:jc w:val="right"/>
            </w:pPr>
            <w:r>
              <w:t xml:space="preserve">1.0</w:t>
            </w:r>
          </w:p>
        </w:tc>
        <w:tc>
          <w:tcPr/>
          <w:p>
            <w:pPr>
              <w:pStyle w:val="Compact"/>
              <w:jc w:val="left"/>
            </w:pPr>
            <w:r>
              <w:t xml:space="preserve">complete chromosome</w:t>
            </w:r>
          </w:p>
        </w:tc>
        <w:tc>
          <w:tcPr/>
          <w:p>
            <w:pPr>
              <w:pStyle w:val="Compact"/>
              <w:jc w:val="right"/>
            </w:pPr>
            <w:r>
              <w:t xml:space="preserve">16</w:t>
            </w:r>
          </w:p>
        </w:tc>
        <w:tc>
          <w:tcPr/>
          <w:p>
            <w:pPr>
              <w:pStyle w:val="Compact"/>
              <w:jc w:val="right"/>
            </w:pPr>
            <w:r>
              <w:t xml:space="preserve">0.981</w:t>
            </w:r>
          </w:p>
        </w:tc>
        <w:tc>
          <w:tcPr/>
          <w:p>
            <w:pPr>
              <w:pStyle w:val="Compact"/>
              <w:jc w:val="right"/>
            </w:pPr>
            <w:r>
              <w:t xml:space="preserve">0.157</w:t>
            </w:r>
          </w:p>
        </w:tc>
        <w:tc>
          <w:tcPr/>
          <w:p>
            <w:pPr>
              <w:pStyle w:val="Compact"/>
              <w:jc w:val="right"/>
            </w:pPr>
            <w:r>
              <w:t xml:space="preserve">-0.130</w:t>
            </w:r>
          </w:p>
        </w:tc>
        <w:tc>
          <w:tcPr/>
          <w:p>
            <w:pPr>
              <w:pStyle w:val="Compact"/>
              <w:jc w:val="right"/>
            </w:pPr>
            <w:r>
              <w:t xml:space="preserve">0.779</w:t>
            </w:r>
          </w:p>
        </w:tc>
        <w:tc>
          <w:tcPr/>
          <w:p>
            <w:pPr>
              <w:pStyle w:val="Compact"/>
              <w:jc w:val="right"/>
            </w:pPr>
            <w:r>
              <w:t xml:space="preserve">0.000</w:t>
            </w:r>
          </w:p>
        </w:tc>
        <w:tc>
          <w:tcPr/>
          <w:p>
            <w:pPr>
              <w:pStyle w:val="Compact"/>
              <w:jc w:val="right"/>
            </w:pPr>
            <w:r>
              <w:t xml:space="preserve">0.077</w:t>
            </w:r>
          </w:p>
        </w:tc>
      </w:tr>
      <w:tr>
        <w:tc>
          <w:tcPr/>
          <w:p>
            <w:pPr>
              <w:pStyle w:val="Compact"/>
              <w:jc w:val="right"/>
            </w:pPr>
            <w:r>
              <w:t xml:space="preserve">1.0</w:t>
            </w:r>
          </w:p>
        </w:tc>
        <w:tc>
          <w:tcPr/>
          <w:p>
            <w:pPr>
              <w:pStyle w:val="Compact"/>
              <w:jc w:val="left"/>
            </w:pPr>
            <w:r>
              <w:t xml:space="preserve">100 contigs</w:t>
            </w:r>
          </w:p>
        </w:tc>
        <w:tc>
          <w:tcPr/>
          <w:p>
            <w:pPr>
              <w:pStyle w:val="Compact"/>
              <w:jc w:val="right"/>
            </w:pPr>
            <w:r>
              <w:t xml:space="preserve">16</w:t>
            </w:r>
          </w:p>
        </w:tc>
        <w:tc>
          <w:tcPr/>
          <w:p>
            <w:pPr>
              <w:pStyle w:val="Compact"/>
              <w:jc w:val="right"/>
            </w:pPr>
            <w:r>
              <w:t xml:space="preserve">0.550</w:t>
            </w:r>
          </w:p>
        </w:tc>
        <w:tc>
          <w:tcPr/>
          <w:p>
            <w:pPr>
              <w:pStyle w:val="Compact"/>
              <w:jc w:val="right"/>
            </w:pPr>
            <w:r>
              <w:t xml:space="preserve">0.890</w:t>
            </w:r>
          </w:p>
        </w:tc>
        <w:tc>
          <w:tcPr/>
          <w:p>
            <w:pPr>
              <w:pStyle w:val="Compact"/>
              <w:jc w:val="right"/>
            </w:pPr>
            <w:r>
              <w:t xml:space="preserve">-0.817</w:t>
            </w:r>
          </w:p>
        </w:tc>
        <w:tc>
          <w:tcPr/>
          <w:p>
            <w:pPr>
              <w:pStyle w:val="Compact"/>
              <w:jc w:val="right"/>
            </w:pPr>
            <w:r>
              <w:t xml:space="preserve">0.103</w:t>
            </w:r>
          </w:p>
        </w:tc>
        <w:tc>
          <w:tcPr/>
          <w:p>
            <w:pPr>
              <w:pStyle w:val="Compact"/>
              <w:jc w:val="right"/>
            </w:pPr>
            <w:r>
              <w:t xml:space="preserve">0.000</w:t>
            </w:r>
          </w:p>
        </w:tc>
        <w:tc>
          <w:tcPr/>
          <w:p>
            <w:pPr>
              <w:pStyle w:val="Compact"/>
              <w:jc w:val="right"/>
            </w:pPr>
            <w:r>
              <w:t xml:space="preserve">0.192</w:t>
            </w:r>
          </w:p>
        </w:tc>
      </w:tr>
      <w:tr>
        <w:tc>
          <w:tcPr/>
          <w:p>
            <w:pPr>
              <w:pStyle w:val="Compact"/>
              <w:jc w:val="right"/>
            </w:pPr>
            <w:r>
              <w:t xml:space="preserve">1.0</w:t>
            </w:r>
          </w:p>
        </w:tc>
        <w:tc>
          <w:tcPr/>
          <w:p>
            <w:pPr>
              <w:pStyle w:val="Compact"/>
              <w:jc w:val="left"/>
            </w:pPr>
            <w:r>
              <w:t xml:space="preserve">100 contigs, scaffolded vs itself</w:t>
            </w:r>
          </w:p>
        </w:tc>
        <w:tc>
          <w:tcPr/>
          <w:p>
            <w:pPr>
              <w:pStyle w:val="Compact"/>
              <w:jc w:val="right"/>
            </w:pPr>
            <w:r>
              <w:t xml:space="preserve">16</w:t>
            </w:r>
          </w:p>
        </w:tc>
        <w:tc>
          <w:tcPr/>
          <w:p>
            <w:pPr>
              <w:pStyle w:val="Compact"/>
              <w:jc w:val="right"/>
            </w:pPr>
            <w:r>
              <w:t xml:space="preserve">0.983</w:t>
            </w:r>
          </w:p>
        </w:tc>
        <w:tc>
          <w:tcPr/>
          <w:p>
            <w:pPr>
              <w:pStyle w:val="Compact"/>
              <w:jc w:val="right"/>
            </w:pPr>
            <w:r>
              <w:t xml:space="preserve">0.155</w:t>
            </w:r>
          </w:p>
        </w:tc>
        <w:tc>
          <w:tcPr/>
          <w:p>
            <w:pPr>
              <w:pStyle w:val="Compact"/>
              <w:jc w:val="right"/>
            </w:pPr>
            <w:r>
              <w:t xml:space="preserve">-0.128</w:t>
            </w:r>
          </w:p>
        </w:tc>
        <w:tc>
          <w:tcPr/>
          <w:p>
            <w:pPr>
              <w:pStyle w:val="Compact"/>
              <w:jc w:val="right"/>
            </w:pPr>
            <w:r>
              <w:t xml:space="preserve">0.772</w:t>
            </w:r>
          </w:p>
        </w:tc>
        <w:tc>
          <w:tcPr/>
          <w:p>
            <w:pPr>
              <w:pStyle w:val="Compact"/>
              <w:jc w:val="right"/>
            </w:pPr>
            <w:r>
              <w:t xml:space="preserve">0.000</w:t>
            </w:r>
          </w:p>
        </w:tc>
        <w:tc>
          <w:tcPr/>
          <w:p>
            <w:pPr>
              <w:pStyle w:val="Compact"/>
              <w:jc w:val="right"/>
            </w:pPr>
            <w:r>
              <w:t xml:space="preserve">0.078</w:t>
            </w:r>
          </w:p>
        </w:tc>
      </w:tr>
      <w:tr>
        <w:tc>
          <w:tcPr/>
          <w:p>
            <w:pPr>
              <w:pStyle w:val="Compact"/>
              <w:jc w:val="right"/>
            </w:pPr>
            <w:r>
              <w:t xml:space="preserve">1.0</w:t>
            </w:r>
          </w:p>
        </w:tc>
        <w:tc>
          <w:tcPr/>
          <w:p>
            <w:pPr>
              <w:pStyle w:val="Compact"/>
              <w:jc w:val="left"/>
            </w:pPr>
            <w:r>
              <w:t xml:space="preserve">100 contigs, scaffolded vs a relative</w:t>
            </w:r>
          </w:p>
        </w:tc>
        <w:tc>
          <w:tcPr/>
          <w:p>
            <w:pPr>
              <w:pStyle w:val="Compact"/>
              <w:jc w:val="right"/>
            </w:pPr>
            <w:r>
              <w:t xml:space="preserve">16</w:t>
            </w:r>
          </w:p>
        </w:tc>
        <w:tc>
          <w:tcPr/>
          <w:p>
            <w:pPr>
              <w:pStyle w:val="Compact"/>
              <w:jc w:val="right"/>
            </w:pPr>
            <w:r>
              <w:t xml:space="preserve">0.977</w:t>
            </w:r>
          </w:p>
        </w:tc>
        <w:tc>
          <w:tcPr/>
          <w:p>
            <w:pPr>
              <w:pStyle w:val="Compact"/>
              <w:jc w:val="right"/>
            </w:pPr>
            <w:r>
              <w:t xml:space="preserve">0.152</w:t>
            </w:r>
          </w:p>
        </w:tc>
        <w:tc>
          <w:tcPr/>
          <w:p>
            <w:pPr>
              <w:pStyle w:val="Compact"/>
              <w:jc w:val="right"/>
            </w:pPr>
            <w:r>
              <w:t xml:space="preserve">-0.117</w:t>
            </w:r>
          </w:p>
        </w:tc>
        <w:tc>
          <w:tcPr/>
          <w:p>
            <w:pPr>
              <w:pStyle w:val="Compact"/>
              <w:jc w:val="right"/>
            </w:pPr>
            <w:r>
              <w:t xml:space="preserve">0.755</w:t>
            </w:r>
          </w:p>
        </w:tc>
        <w:tc>
          <w:tcPr/>
          <w:p>
            <w:pPr>
              <w:pStyle w:val="Compact"/>
              <w:jc w:val="right"/>
            </w:pPr>
            <w:r>
              <w:t xml:space="preserve">0.000</w:t>
            </w:r>
          </w:p>
        </w:tc>
        <w:tc>
          <w:tcPr/>
          <w:p>
            <w:pPr>
              <w:pStyle w:val="Compact"/>
              <w:jc w:val="right"/>
            </w:pPr>
            <w:r>
              <w:t xml:space="preserve">0.113</w:t>
            </w:r>
          </w:p>
        </w:tc>
      </w:tr>
      <w:tr>
        <w:tc>
          <w:tcPr/>
          <w:p>
            <w:pPr>
              <w:pStyle w:val="Compact"/>
              <w:jc w:val="right"/>
            </w:pPr>
            <w:r>
              <w:t xml:space="preserve">1.0</w:t>
            </w:r>
          </w:p>
        </w:tc>
        <w:tc>
          <w:tcPr/>
          <w:p>
            <w:pPr>
              <w:pStyle w:val="Compact"/>
              <w:jc w:val="left"/>
            </w:pPr>
            <w:r>
              <w:t xml:space="preserve">100 contigs, Pilea</w:t>
            </w:r>
          </w:p>
        </w:tc>
        <w:tc>
          <w:tcPr/>
          <w:p>
            <w:pPr>
              <w:pStyle w:val="Compact"/>
              <w:jc w:val="right"/>
            </w:pPr>
            <w:r>
              <w:t xml:space="preserve">16</w:t>
            </w:r>
          </w:p>
        </w:tc>
        <w:tc>
          <w:tcPr/>
          <w:p>
            <w:pPr>
              <w:pStyle w:val="Compact"/>
              <w:jc w:val="right"/>
            </w:pPr>
            <w:r>
              <w:t xml:space="preserve">0.827</w:t>
            </w:r>
          </w:p>
        </w:tc>
        <w:tc>
          <w:tcPr/>
          <w:p>
            <w:pPr>
              <w:pStyle w:val="Compact"/>
              <w:jc w:val="right"/>
            </w:pPr>
            <w:r>
              <w:t xml:space="preserve">0.545</w:t>
            </w:r>
          </w:p>
        </w:tc>
        <w:tc>
          <w:tcPr/>
          <w:p>
            <w:pPr>
              <w:pStyle w:val="Compact"/>
              <w:jc w:val="right"/>
            </w:pPr>
            <w:r>
              <w:t xml:space="preserve">0.508</w:t>
            </w:r>
          </w:p>
        </w:tc>
        <w:tc>
          <w:tcPr/>
          <w:p>
            <w:pPr>
              <w:pStyle w:val="Compact"/>
              <w:jc w:val="right"/>
            </w:pPr>
            <w:r>
              <w:t xml:space="preserve">0.628</w:t>
            </w:r>
          </w:p>
        </w:tc>
        <w:tc>
          <w:tcPr/>
          <w:p>
            <w:pPr>
              <w:pStyle w:val="Compact"/>
              <w:jc w:val="right"/>
            </w:pPr>
            <w:r>
              <w:t xml:space="preserve">nan</w:t>
            </w:r>
          </w:p>
        </w:tc>
        <w:tc>
          <w:tcPr/>
          <w:p>
            <w:pPr>
              <w:pStyle w:val="Compact"/>
              <w:jc w:val="right"/>
            </w:pPr>
            <w:r>
              <w:t xml:space="preserve">1.153</w:t>
            </w:r>
          </w:p>
        </w:tc>
      </w:tr>
      <w:tr>
        <w:tc>
          <w:tcPr/>
          <w:p>
            <w:pPr>
              <w:pStyle w:val="Compact"/>
              <w:jc w:val="right"/>
            </w:pPr>
            <w:r>
              <w:t xml:space="preserve">1.0</w:t>
            </w:r>
          </w:p>
        </w:tc>
        <w:tc>
          <w:tcPr/>
          <w:p>
            <w:pPr>
              <w:pStyle w:val="Compact"/>
              <w:jc w:val="left"/>
            </w:pPr>
            <w:r>
              <w:t xml:space="preserve">100 contigs, order-free spread MLE</w:t>
            </w:r>
          </w:p>
        </w:tc>
        <w:tc>
          <w:tcPr/>
          <w:p>
            <w:pPr>
              <w:pStyle w:val="Compact"/>
              <w:jc w:val="right"/>
            </w:pPr>
            <w:r>
              <w:t xml:space="preserve">16</w:t>
            </w:r>
          </w:p>
        </w:tc>
        <w:tc>
          <w:tcPr/>
          <w:p>
            <w:pPr>
              <w:pStyle w:val="Compact"/>
              <w:jc w:val="right"/>
            </w:pPr>
            <w:r>
              <w:t xml:space="preserve">-0.273</w:t>
            </w:r>
          </w:p>
        </w:tc>
        <w:tc>
          <w:tcPr/>
          <w:p>
            <w:pPr>
              <w:pStyle w:val="Compact"/>
              <w:jc w:val="right"/>
            </w:pPr>
            <w:r>
              <w:t xml:space="preserve">1.108</w:t>
            </w:r>
          </w:p>
        </w:tc>
        <w:tc>
          <w:tcPr/>
          <w:p>
            <w:pPr>
              <w:pStyle w:val="Compact"/>
              <w:jc w:val="right"/>
            </w:pPr>
            <w:r>
              <w:t xml:space="preserve">-0.977</w:t>
            </w:r>
          </w:p>
        </w:tc>
        <w:tc>
          <w:tcPr/>
          <w:p>
            <w:pPr>
              <w:pStyle w:val="Compact"/>
              <w:jc w:val="right"/>
            </w:pPr>
            <w:r>
              <w:t xml:space="preserve">-0.167</w:t>
            </w:r>
          </w:p>
        </w:tc>
        <w:tc>
          <w:tcPr/>
          <w:p>
            <w:pPr>
              <w:pStyle w:val="Compact"/>
              <w:jc w:val="right"/>
            </w:pPr>
            <w:r>
              <w:t xml:space="preserve">nan</w:t>
            </w:r>
          </w:p>
        </w:tc>
        <w:tc>
          <w:tcPr/>
          <w:p>
            <w:pPr>
              <w:pStyle w:val="Compact"/>
              <w:jc w:val="right"/>
            </w:pPr>
            <w:r>
              <w:t xml:space="preserve">0.000</w:t>
            </w:r>
          </w:p>
        </w:tc>
      </w:tr>
      <w:tr>
        <w:tc>
          <w:tcPr/>
          <w:p>
            <w:pPr>
              <w:pStyle w:val="Compact"/>
              <w:jc w:val="right"/>
            </w:pPr>
            <w:r>
              <w:t xml:space="preserve">2.0</w:t>
            </w:r>
          </w:p>
        </w:tc>
        <w:tc>
          <w:tcPr/>
          <w:p>
            <w:pPr>
              <w:pStyle w:val="Compact"/>
              <w:jc w:val="left"/>
            </w:pPr>
            <w:r>
              <w:t xml:space="preserve">complete chromosome</w:t>
            </w:r>
          </w:p>
        </w:tc>
        <w:tc>
          <w:tcPr/>
          <w:p>
            <w:pPr>
              <w:pStyle w:val="Compact"/>
              <w:jc w:val="right"/>
            </w:pPr>
            <w:r>
              <w:t xml:space="preserve">16</w:t>
            </w:r>
          </w:p>
        </w:tc>
        <w:tc>
          <w:tcPr/>
          <w:p>
            <w:pPr>
              <w:pStyle w:val="Compact"/>
              <w:jc w:val="right"/>
            </w:pPr>
            <w:r>
              <w:t xml:space="preserve">0.982</w:t>
            </w:r>
          </w:p>
        </w:tc>
        <w:tc>
          <w:tcPr/>
          <w:p>
            <w:pPr>
              <w:pStyle w:val="Compact"/>
              <w:jc w:val="right"/>
            </w:pPr>
            <w:r>
              <w:t xml:space="preserve">0.128</w:t>
            </w:r>
          </w:p>
        </w:tc>
        <w:tc>
          <w:tcPr/>
          <w:p>
            <w:pPr>
              <w:pStyle w:val="Compact"/>
              <w:jc w:val="right"/>
            </w:pPr>
            <w:r>
              <w:t xml:space="preserve">-0.078</w:t>
            </w:r>
          </w:p>
        </w:tc>
        <w:tc>
          <w:tcPr/>
          <w:p>
            <w:pPr>
              <w:pStyle w:val="Compact"/>
              <w:jc w:val="right"/>
            </w:pPr>
            <w:r>
              <w:t xml:space="preserve">0.840</w:t>
            </w:r>
          </w:p>
        </w:tc>
        <w:tc>
          <w:tcPr/>
          <w:p>
            <w:pPr>
              <w:pStyle w:val="Compact"/>
              <w:jc w:val="right"/>
            </w:pPr>
            <w:r>
              <w:t xml:space="preserve">50.000</w:t>
            </w:r>
          </w:p>
        </w:tc>
        <w:tc>
          <w:tcPr/>
          <w:p>
            <w:pPr>
              <w:pStyle w:val="Compact"/>
              <w:jc w:val="right"/>
            </w:pPr>
            <w:r>
              <w:t xml:space="preserve">0.097</w:t>
            </w:r>
          </w:p>
        </w:tc>
      </w:tr>
      <w:tr>
        <w:tc>
          <w:tcPr/>
          <w:p>
            <w:pPr>
              <w:pStyle w:val="Compact"/>
              <w:jc w:val="right"/>
            </w:pPr>
            <w:r>
              <w:t xml:space="preserve">2.0</w:t>
            </w:r>
          </w:p>
        </w:tc>
        <w:tc>
          <w:tcPr/>
          <w:p>
            <w:pPr>
              <w:pStyle w:val="Compact"/>
              <w:jc w:val="left"/>
            </w:pPr>
            <w:r>
              <w:t xml:space="preserve">100 contigs</w:t>
            </w:r>
          </w:p>
        </w:tc>
        <w:tc>
          <w:tcPr/>
          <w:p>
            <w:pPr>
              <w:pStyle w:val="Compact"/>
              <w:jc w:val="right"/>
            </w:pPr>
            <w:r>
              <w:t xml:space="preserve">16</w:t>
            </w:r>
          </w:p>
        </w:tc>
        <w:tc>
          <w:tcPr/>
          <w:p>
            <w:pPr>
              <w:pStyle w:val="Compact"/>
              <w:jc w:val="right"/>
            </w:pPr>
            <w:r>
              <w:t xml:space="preserve">0.774</w:t>
            </w:r>
          </w:p>
        </w:tc>
        <w:tc>
          <w:tcPr/>
          <w:p>
            <w:pPr>
              <w:pStyle w:val="Compact"/>
              <w:jc w:val="right"/>
            </w:pPr>
            <w:r>
              <w:t xml:space="preserve">0.886</w:t>
            </w:r>
          </w:p>
        </w:tc>
        <w:tc>
          <w:tcPr/>
          <w:p>
            <w:pPr>
              <w:pStyle w:val="Compact"/>
              <w:jc w:val="right"/>
            </w:pPr>
            <w:r>
              <w:t xml:space="preserve">-0.829</w:t>
            </w:r>
          </w:p>
        </w:tc>
        <w:tc>
          <w:tcPr/>
          <w:p>
            <w:pPr>
              <w:pStyle w:val="Compact"/>
              <w:jc w:val="right"/>
            </w:pPr>
            <w:r>
              <w:t xml:space="preserve">0.208</w:t>
            </w:r>
          </w:p>
        </w:tc>
        <w:tc>
          <w:tcPr/>
          <w:p>
            <w:pPr>
              <w:pStyle w:val="Compact"/>
              <w:jc w:val="right"/>
            </w:pPr>
            <w:r>
              <w:t xml:space="preserve">75.000</w:t>
            </w:r>
          </w:p>
        </w:tc>
        <w:tc>
          <w:tcPr/>
          <w:p>
            <w:pPr>
              <w:pStyle w:val="Compact"/>
              <w:jc w:val="right"/>
            </w:pPr>
            <w:r>
              <w:t xml:space="preserve">0.135</w:t>
            </w:r>
          </w:p>
        </w:tc>
      </w:tr>
      <w:tr>
        <w:tc>
          <w:tcPr/>
          <w:p>
            <w:pPr>
              <w:pStyle w:val="Compact"/>
              <w:jc w:val="right"/>
            </w:pPr>
            <w:r>
              <w:t xml:space="preserve">2.0</w:t>
            </w:r>
          </w:p>
        </w:tc>
        <w:tc>
          <w:tcPr/>
          <w:p>
            <w:pPr>
              <w:pStyle w:val="Compact"/>
              <w:jc w:val="left"/>
            </w:pPr>
            <w:r>
              <w:t xml:space="preserve">100 contigs, scaffolded vs itself</w:t>
            </w:r>
          </w:p>
        </w:tc>
        <w:tc>
          <w:tcPr/>
          <w:p>
            <w:pPr>
              <w:pStyle w:val="Compact"/>
              <w:jc w:val="right"/>
            </w:pPr>
            <w:r>
              <w:t xml:space="preserve">16</w:t>
            </w:r>
          </w:p>
        </w:tc>
        <w:tc>
          <w:tcPr/>
          <w:p>
            <w:pPr>
              <w:pStyle w:val="Compact"/>
              <w:jc w:val="right"/>
            </w:pPr>
            <w:r>
              <w:t xml:space="preserve">0.986</w:t>
            </w:r>
          </w:p>
        </w:tc>
        <w:tc>
          <w:tcPr/>
          <w:p>
            <w:pPr>
              <w:pStyle w:val="Compact"/>
              <w:jc w:val="right"/>
            </w:pPr>
            <w:r>
              <w:t xml:space="preserve">0.123</w:t>
            </w:r>
          </w:p>
        </w:tc>
        <w:tc>
          <w:tcPr/>
          <w:p>
            <w:pPr>
              <w:pStyle w:val="Compact"/>
              <w:jc w:val="right"/>
            </w:pPr>
            <w:r>
              <w:t xml:space="preserve">-0.074</w:t>
            </w:r>
          </w:p>
        </w:tc>
        <w:tc>
          <w:tcPr/>
          <w:p>
            <w:pPr>
              <w:pStyle w:val="Compact"/>
              <w:jc w:val="right"/>
            </w:pPr>
            <w:r>
              <w:t xml:space="preserve">0.837</w:t>
            </w:r>
          </w:p>
        </w:tc>
        <w:tc>
          <w:tcPr/>
          <w:p>
            <w:pPr>
              <w:pStyle w:val="Compact"/>
              <w:jc w:val="right"/>
            </w:pPr>
            <w:r>
              <w:t xml:space="preserve">50.000</w:t>
            </w:r>
          </w:p>
        </w:tc>
        <w:tc>
          <w:tcPr/>
          <w:p>
            <w:pPr>
              <w:pStyle w:val="Compact"/>
              <w:jc w:val="right"/>
            </w:pPr>
            <w:r>
              <w:t xml:space="preserve">0.104</w:t>
            </w:r>
          </w:p>
        </w:tc>
      </w:tr>
      <w:tr>
        <w:tc>
          <w:tcPr/>
          <w:p>
            <w:pPr>
              <w:pStyle w:val="Compact"/>
              <w:jc w:val="right"/>
            </w:pPr>
            <w:r>
              <w:t xml:space="preserve">2.0</w:t>
            </w:r>
          </w:p>
        </w:tc>
        <w:tc>
          <w:tcPr/>
          <w:p>
            <w:pPr>
              <w:pStyle w:val="Compact"/>
              <w:jc w:val="left"/>
            </w:pPr>
            <w:r>
              <w:t xml:space="preserve">100 contigs, scaffolded vs a relative</w:t>
            </w:r>
          </w:p>
        </w:tc>
        <w:tc>
          <w:tcPr/>
          <w:p>
            <w:pPr>
              <w:pStyle w:val="Compact"/>
              <w:jc w:val="right"/>
            </w:pPr>
            <w:r>
              <w:t xml:space="preserve">16</w:t>
            </w:r>
          </w:p>
        </w:tc>
        <w:tc>
          <w:tcPr/>
          <w:p>
            <w:pPr>
              <w:pStyle w:val="Compact"/>
              <w:jc w:val="right"/>
            </w:pPr>
            <w:r>
              <w:t xml:space="preserve">0.982</w:t>
            </w:r>
          </w:p>
        </w:tc>
        <w:tc>
          <w:tcPr/>
          <w:p>
            <w:pPr>
              <w:pStyle w:val="Compact"/>
              <w:jc w:val="right"/>
            </w:pPr>
            <w:r>
              <w:t xml:space="preserve">0.099</w:t>
            </w:r>
          </w:p>
        </w:tc>
        <w:tc>
          <w:tcPr/>
          <w:p>
            <w:pPr>
              <w:pStyle w:val="Compact"/>
              <w:jc w:val="right"/>
            </w:pPr>
            <w:r>
              <w:t xml:space="preserve">-0.046</w:t>
            </w:r>
          </w:p>
        </w:tc>
        <w:tc>
          <w:tcPr/>
          <w:p>
            <w:pPr>
              <w:pStyle w:val="Compact"/>
              <w:jc w:val="right"/>
            </w:pPr>
            <w:r>
              <w:t xml:space="preserve">0.856</w:t>
            </w:r>
          </w:p>
        </w:tc>
        <w:tc>
          <w:tcPr/>
          <w:p>
            <w:pPr>
              <w:pStyle w:val="Compact"/>
              <w:jc w:val="right"/>
            </w:pPr>
            <w:r>
              <w:t xml:space="preserve">62.500</w:t>
            </w:r>
          </w:p>
        </w:tc>
        <w:tc>
          <w:tcPr/>
          <w:p>
            <w:pPr>
              <w:pStyle w:val="Compact"/>
              <w:jc w:val="right"/>
            </w:pPr>
            <w:r>
              <w:t xml:space="preserve">0.123</w:t>
            </w:r>
          </w:p>
        </w:tc>
      </w:tr>
      <w:tr>
        <w:tc>
          <w:tcPr/>
          <w:p>
            <w:pPr>
              <w:pStyle w:val="Compact"/>
              <w:jc w:val="right"/>
            </w:pPr>
            <w:r>
              <w:t xml:space="preserve">2.0</w:t>
            </w:r>
          </w:p>
        </w:tc>
        <w:tc>
          <w:tcPr/>
          <w:p>
            <w:pPr>
              <w:pStyle w:val="Compact"/>
              <w:jc w:val="left"/>
            </w:pPr>
            <w:r>
              <w:t xml:space="preserve">100 contigs, Pilea</w:t>
            </w:r>
          </w:p>
        </w:tc>
        <w:tc>
          <w:tcPr/>
          <w:p>
            <w:pPr>
              <w:pStyle w:val="Compact"/>
              <w:jc w:val="right"/>
            </w:pPr>
            <w:r>
              <w:t xml:space="preserve">16</w:t>
            </w:r>
          </w:p>
        </w:tc>
        <w:tc>
          <w:tcPr/>
          <w:p>
            <w:pPr>
              <w:pStyle w:val="Compact"/>
              <w:jc w:val="right"/>
            </w:pPr>
            <w:r>
              <w:t xml:space="preserve">0.944</w:t>
            </w:r>
          </w:p>
        </w:tc>
        <w:tc>
          <w:tcPr/>
          <w:p>
            <w:pPr>
              <w:pStyle w:val="Compact"/>
              <w:jc w:val="right"/>
            </w:pPr>
            <w:r>
              <w:t xml:space="preserve">0.347</w:t>
            </w:r>
          </w:p>
        </w:tc>
        <w:tc>
          <w:tcPr/>
          <w:p>
            <w:pPr>
              <w:pStyle w:val="Compact"/>
              <w:jc w:val="right"/>
            </w:pPr>
            <w:r>
              <w:t xml:space="preserve">0.334</w:t>
            </w:r>
          </w:p>
        </w:tc>
        <w:tc>
          <w:tcPr/>
          <w:p>
            <w:pPr>
              <w:pStyle w:val="Compact"/>
              <w:jc w:val="right"/>
            </w:pPr>
            <w:r>
              <w:t xml:space="preserve">0.790</w:t>
            </w:r>
          </w:p>
        </w:tc>
        <w:tc>
          <w:tcPr/>
          <w:p>
            <w:pPr>
              <w:pStyle w:val="Compact"/>
              <w:jc w:val="right"/>
            </w:pPr>
            <w:r>
              <w:t xml:space="preserve">nan</w:t>
            </w:r>
          </w:p>
        </w:tc>
        <w:tc>
          <w:tcPr/>
          <w:p>
            <w:pPr>
              <w:pStyle w:val="Compact"/>
              <w:jc w:val="right"/>
            </w:pPr>
            <w:r>
              <w:t xml:space="preserve">0.621</w:t>
            </w:r>
          </w:p>
        </w:tc>
      </w:tr>
      <w:tr>
        <w:tc>
          <w:tcPr/>
          <w:p>
            <w:pPr>
              <w:pStyle w:val="Compact"/>
              <w:jc w:val="right"/>
            </w:pPr>
            <w:r>
              <w:t xml:space="preserve">2.0</w:t>
            </w:r>
          </w:p>
        </w:tc>
        <w:tc>
          <w:tcPr/>
          <w:p>
            <w:pPr>
              <w:pStyle w:val="Compact"/>
              <w:jc w:val="left"/>
            </w:pPr>
            <w:r>
              <w:t xml:space="preserve">100 contigs, order-free spread MLE</w:t>
            </w:r>
          </w:p>
        </w:tc>
        <w:tc>
          <w:tcPr/>
          <w:p>
            <w:pPr>
              <w:pStyle w:val="Compact"/>
              <w:jc w:val="right"/>
            </w:pPr>
            <w:r>
              <w:t xml:space="preserve">16</w:t>
            </w:r>
          </w:p>
        </w:tc>
        <w:tc>
          <w:tcPr/>
          <w:p>
            <w:pPr>
              <w:pStyle w:val="Compact"/>
              <w:jc w:val="right"/>
            </w:pPr>
            <w:r>
              <w:t xml:space="preserve">0.384</w:t>
            </w:r>
          </w:p>
        </w:tc>
        <w:tc>
          <w:tcPr/>
          <w:p>
            <w:pPr>
              <w:pStyle w:val="Compact"/>
              <w:jc w:val="right"/>
            </w:pPr>
            <w:r>
              <w:t xml:space="preserve">0.914</w:t>
            </w:r>
          </w:p>
        </w:tc>
        <w:tc>
          <w:tcPr/>
          <w:p>
            <w:pPr>
              <w:pStyle w:val="Compact"/>
              <w:jc w:val="right"/>
            </w:pPr>
            <w:r>
              <w:t xml:space="preserve">-0.712</w:t>
            </w:r>
          </w:p>
        </w:tc>
        <w:tc>
          <w:tcPr/>
          <w:p>
            <w:pPr>
              <w:pStyle w:val="Compact"/>
              <w:jc w:val="right"/>
            </w:pPr>
            <w:r>
              <w:t xml:space="preserve">0.537</w:t>
            </w:r>
          </w:p>
        </w:tc>
        <w:tc>
          <w:tcPr/>
          <w:p>
            <w:pPr>
              <w:pStyle w:val="Compact"/>
              <w:jc w:val="right"/>
            </w:pPr>
            <w:r>
              <w:t xml:space="preserve">nan</w:t>
            </w:r>
          </w:p>
        </w:tc>
        <w:tc>
          <w:tcPr/>
          <w:p>
            <w:pPr>
              <w:pStyle w:val="Compact"/>
              <w:jc w:val="right"/>
            </w:pPr>
            <w:r>
              <w:t xml:space="preserve">0.000</w:t>
            </w:r>
          </w:p>
        </w:tc>
      </w:tr>
      <w:tr>
        <w:tc>
          <w:tcPr/>
          <w:p>
            <w:pPr>
              <w:pStyle w:val="Compact"/>
              <w:jc w:val="right"/>
            </w:pPr>
            <w:r>
              <w:t xml:space="preserve">5.0</w:t>
            </w:r>
          </w:p>
        </w:tc>
        <w:tc>
          <w:tcPr/>
          <w:p>
            <w:pPr>
              <w:pStyle w:val="Compact"/>
              <w:jc w:val="left"/>
            </w:pPr>
            <w:r>
              <w:t xml:space="preserve">complete chromosome</w:t>
            </w:r>
          </w:p>
        </w:tc>
        <w:tc>
          <w:tcPr/>
          <w:p>
            <w:pPr>
              <w:pStyle w:val="Compact"/>
              <w:jc w:val="right"/>
            </w:pPr>
            <w:r>
              <w:t xml:space="preserve">16</w:t>
            </w:r>
          </w:p>
        </w:tc>
        <w:tc>
          <w:tcPr/>
          <w:p>
            <w:pPr>
              <w:pStyle w:val="Compact"/>
              <w:jc w:val="right"/>
            </w:pPr>
            <w:r>
              <w:t xml:space="preserve">0.979</w:t>
            </w:r>
          </w:p>
        </w:tc>
        <w:tc>
          <w:tcPr/>
          <w:p>
            <w:pPr>
              <w:pStyle w:val="Compact"/>
              <w:jc w:val="right"/>
            </w:pPr>
            <w:r>
              <w:t xml:space="preserve">0.039</w:t>
            </w:r>
          </w:p>
        </w:tc>
        <w:tc>
          <w:tcPr/>
          <w:p>
            <w:pPr>
              <w:pStyle w:val="Compact"/>
              <w:jc w:val="right"/>
            </w:pPr>
            <w:r>
              <w:t xml:space="preserve">0.001</w:t>
            </w:r>
          </w:p>
        </w:tc>
        <w:tc>
          <w:tcPr/>
          <w:p>
            <w:pPr>
              <w:pStyle w:val="Compact"/>
              <w:jc w:val="right"/>
            </w:pPr>
            <w:r>
              <w:t xml:space="preserve">0.920</w:t>
            </w:r>
          </w:p>
        </w:tc>
        <w:tc>
          <w:tcPr/>
          <w:p>
            <w:pPr>
              <w:pStyle w:val="Compact"/>
              <w:jc w:val="right"/>
            </w:pPr>
            <w:r>
              <w:t xml:space="preserve">75.000</w:t>
            </w:r>
          </w:p>
        </w:tc>
        <w:tc>
          <w:tcPr/>
          <w:p>
            <w:pPr>
              <w:pStyle w:val="Compact"/>
              <w:jc w:val="right"/>
            </w:pPr>
            <w:r>
              <w:t xml:space="preserve">0.060</w:t>
            </w:r>
          </w:p>
        </w:tc>
      </w:tr>
      <w:tr>
        <w:tc>
          <w:tcPr/>
          <w:p>
            <w:pPr>
              <w:pStyle w:val="Compact"/>
              <w:jc w:val="right"/>
            </w:pPr>
            <w:r>
              <w:t xml:space="preserve">5.0</w:t>
            </w:r>
          </w:p>
        </w:tc>
        <w:tc>
          <w:tcPr/>
          <w:p>
            <w:pPr>
              <w:pStyle w:val="Compact"/>
              <w:jc w:val="left"/>
            </w:pPr>
            <w:r>
              <w:t xml:space="preserve">100 contigs</w:t>
            </w:r>
          </w:p>
        </w:tc>
        <w:tc>
          <w:tcPr/>
          <w:p>
            <w:pPr>
              <w:pStyle w:val="Compact"/>
              <w:jc w:val="right"/>
            </w:pPr>
            <w:r>
              <w:t xml:space="preserve">16</w:t>
            </w:r>
          </w:p>
        </w:tc>
        <w:tc>
          <w:tcPr/>
          <w:p>
            <w:pPr>
              <w:pStyle w:val="Compact"/>
              <w:jc w:val="right"/>
            </w:pPr>
            <w:r>
              <w:t xml:space="preserve">0.871</w:t>
            </w:r>
          </w:p>
        </w:tc>
        <w:tc>
          <w:tcPr/>
          <w:p>
            <w:pPr>
              <w:pStyle w:val="Compact"/>
              <w:jc w:val="right"/>
            </w:pPr>
            <w:r>
              <w:t xml:space="preserve">0.871</w:t>
            </w:r>
          </w:p>
        </w:tc>
        <w:tc>
          <w:tcPr/>
          <w:p>
            <w:pPr>
              <w:pStyle w:val="Compact"/>
              <w:jc w:val="right"/>
            </w:pPr>
            <w:r>
              <w:t xml:space="preserve">-0.813</w:t>
            </w:r>
          </w:p>
        </w:tc>
        <w:tc>
          <w:tcPr/>
          <w:p>
            <w:pPr>
              <w:pStyle w:val="Compact"/>
              <w:jc w:val="right"/>
            </w:pPr>
            <w:r>
              <w:t xml:space="preserve">0.187</w:t>
            </w:r>
          </w:p>
        </w:tc>
        <w:tc>
          <w:tcPr/>
          <w:p>
            <w:pPr>
              <w:pStyle w:val="Compact"/>
              <w:jc w:val="right"/>
            </w:pPr>
            <w:r>
              <w:t xml:space="preserve">100.000</w:t>
            </w:r>
          </w:p>
        </w:tc>
        <w:tc>
          <w:tcPr/>
          <w:p>
            <w:pPr>
              <w:pStyle w:val="Compact"/>
              <w:jc w:val="right"/>
            </w:pPr>
            <w:r>
              <w:t xml:space="preserve">0.050</w:t>
            </w:r>
          </w:p>
        </w:tc>
      </w:tr>
      <w:tr>
        <w:tc>
          <w:tcPr/>
          <w:p>
            <w:pPr>
              <w:pStyle w:val="Compact"/>
              <w:jc w:val="right"/>
            </w:pPr>
            <w:r>
              <w:t xml:space="preserve">5.0</w:t>
            </w:r>
          </w:p>
        </w:tc>
        <w:tc>
          <w:tcPr/>
          <w:p>
            <w:pPr>
              <w:pStyle w:val="Compact"/>
              <w:jc w:val="left"/>
            </w:pPr>
            <w:r>
              <w:t xml:space="preserve">100 contigs, scaffolded vs itself</w:t>
            </w:r>
          </w:p>
        </w:tc>
        <w:tc>
          <w:tcPr/>
          <w:p>
            <w:pPr>
              <w:pStyle w:val="Compact"/>
              <w:jc w:val="right"/>
            </w:pPr>
            <w:r>
              <w:t xml:space="preserve">16</w:t>
            </w:r>
          </w:p>
        </w:tc>
        <w:tc>
          <w:tcPr/>
          <w:p>
            <w:pPr>
              <w:pStyle w:val="Compact"/>
              <w:jc w:val="right"/>
            </w:pPr>
            <w:r>
              <w:t xml:space="preserve">0.981</w:t>
            </w:r>
          </w:p>
        </w:tc>
        <w:tc>
          <w:tcPr/>
          <w:p>
            <w:pPr>
              <w:pStyle w:val="Compact"/>
              <w:jc w:val="right"/>
            </w:pPr>
            <w:r>
              <w:t xml:space="preserve">0.042</w:t>
            </w:r>
          </w:p>
        </w:tc>
        <w:tc>
          <w:tcPr/>
          <w:p>
            <w:pPr>
              <w:pStyle w:val="Compact"/>
              <w:jc w:val="right"/>
            </w:pPr>
            <w:r>
              <w:t xml:space="preserve">-0.002</w:t>
            </w:r>
          </w:p>
        </w:tc>
        <w:tc>
          <w:tcPr/>
          <w:p>
            <w:pPr>
              <w:pStyle w:val="Compact"/>
              <w:jc w:val="right"/>
            </w:pPr>
            <w:r>
              <w:t xml:space="preserve">0.910</w:t>
            </w:r>
          </w:p>
        </w:tc>
        <w:tc>
          <w:tcPr/>
          <w:p>
            <w:pPr>
              <w:pStyle w:val="Compact"/>
              <w:jc w:val="right"/>
            </w:pPr>
            <w:r>
              <w:t xml:space="preserve">62.500</w:t>
            </w:r>
          </w:p>
        </w:tc>
        <w:tc>
          <w:tcPr/>
          <w:p>
            <w:pPr>
              <w:pStyle w:val="Compact"/>
              <w:jc w:val="right"/>
            </w:pPr>
            <w:r>
              <w:t xml:space="preserve">0.055</w:t>
            </w:r>
          </w:p>
        </w:tc>
      </w:tr>
      <w:tr>
        <w:tc>
          <w:tcPr/>
          <w:p>
            <w:pPr>
              <w:pStyle w:val="Compact"/>
              <w:jc w:val="right"/>
            </w:pPr>
            <w:r>
              <w:t xml:space="preserve">5.0</w:t>
            </w:r>
          </w:p>
        </w:tc>
        <w:tc>
          <w:tcPr/>
          <w:p>
            <w:pPr>
              <w:pStyle w:val="Compact"/>
              <w:jc w:val="left"/>
            </w:pPr>
            <w:r>
              <w:t xml:space="preserve">100 contigs, scaffolded vs a relative</w:t>
            </w:r>
          </w:p>
        </w:tc>
        <w:tc>
          <w:tcPr/>
          <w:p>
            <w:pPr>
              <w:pStyle w:val="Compact"/>
              <w:jc w:val="right"/>
            </w:pPr>
            <w:r>
              <w:t xml:space="preserve">16</w:t>
            </w:r>
          </w:p>
        </w:tc>
        <w:tc>
          <w:tcPr/>
          <w:p>
            <w:pPr>
              <w:pStyle w:val="Compact"/>
              <w:jc w:val="right"/>
            </w:pPr>
            <w:r>
              <w:t xml:space="preserve">0.978</w:t>
            </w:r>
          </w:p>
        </w:tc>
        <w:tc>
          <w:tcPr/>
          <w:p>
            <w:pPr>
              <w:pStyle w:val="Compact"/>
              <w:jc w:val="right"/>
            </w:pPr>
            <w:r>
              <w:t xml:space="preserve">0.053</w:t>
            </w:r>
          </w:p>
        </w:tc>
        <w:tc>
          <w:tcPr/>
          <w:p>
            <w:pPr>
              <w:pStyle w:val="Compact"/>
              <w:jc w:val="right"/>
            </w:pPr>
            <w:r>
              <w:t xml:space="preserve">0.023</w:t>
            </w:r>
          </w:p>
        </w:tc>
        <w:tc>
          <w:tcPr/>
          <w:p>
            <w:pPr>
              <w:pStyle w:val="Compact"/>
              <w:jc w:val="right"/>
            </w:pPr>
            <w:r>
              <w:t xml:space="preserve">0.946</w:t>
            </w:r>
          </w:p>
        </w:tc>
        <w:tc>
          <w:tcPr/>
          <w:p>
            <w:pPr>
              <w:pStyle w:val="Compact"/>
              <w:jc w:val="right"/>
            </w:pPr>
            <w:r>
              <w:t xml:space="preserve">81.250</w:t>
            </w:r>
          </w:p>
        </w:tc>
        <w:tc>
          <w:tcPr/>
          <w:p>
            <w:pPr>
              <w:pStyle w:val="Compact"/>
              <w:jc w:val="right"/>
            </w:pPr>
            <w:r>
              <w:t xml:space="preserve">0.064</w:t>
            </w:r>
          </w:p>
        </w:tc>
      </w:tr>
      <w:tr>
        <w:tc>
          <w:tcPr/>
          <w:p>
            <w:pPr>
              <w:pStyle w:val="Compact"/>
              <w:jc w:val="right"/>
            </w:pPr>
            <w:r>
              <w:t xml:space="preserve">5.0</w:t>
            </w:r>
          </w:p>
        </w:tc>
        <w:tc>
          <w:tcPr/>
          <w:p>
            <w:pPr>
              <w:pStyle w:val="Compact"/>
              <w:jc w:val="left"/>
            </w:pPr>
            <w:r>
              <w:t xml:space="preserve">100 contigs, Pilea</w:t>
            </w:r>
          </w:p>
        </w:tc>
        <w:tc>
          <w:tcPr/>
          <w:p>
            <w:pPr>
              <w:pStyle w:val="Compact"/>
              <w:jc w:val="right"/>
            </w:pPr>
            <w:r>
              <w:t xml:space="preserve">16</w:t>
            </w:r>
          </w:p>
        </w:tc>
        <w:tc>
          <w:tcPr/>
          <w:p>
            <w:pPr>
              <w:pStyle w:val="Compact"/>
              <w:jc w:val="right"/>
            </w:pPr>
            <w:r>
              <w:t xml:space="preserve">0.948</w:t>
            </w:r>
          </w:p>
        </w:tc>
        <w:tc>
          <w:tcPr/>
          <w:p>
            <w:pPr>
              <w:pStyle w:val="Compact"/>
              <w:jc w:val="right"/>
            </w:pPr>
            <w:r>
              <w:t xml:space="preserve">0.116</w:t>
            </w:r>
          </w:p>
        </w:tc>
        <w:tc>
          <w:tcPr/>
          <w:p>
            <w:pPr>
              <w:pStyle w:val="Compact"/>
              <w:jc w:val="right"/>
            </w:pPr>
            <w:r>
              <w:t xml:space="preserve">0.053</w:t>
            </w:r>
          </w:p>
        </w:tc>
        <w:tc>
          <w:tcPr/>
          <w:p>
            <w:pPr>
              <w:pStyle w:val="Compact"/>
              <w:jc w:val="right"/>
            </w:pPr>
            <w:r>
              <w:t xml:space="preserve">0.888</w:t>
            </w:r>
          </w:p>
        </w:tc>
        <w:tc>
          <w:tcPr/>
          <w:p>
            <w:pPr>
              <w:pStyle w:val="Compact"/>
              <w:jc w:val="right"/>
            </w:pPr>
            <w:r>
              <w:t xml:space="preserve">nan</w:t>
            </w:r>
          </w:p>
        </w:tc>
        <w:tc>
          <w:tcPr/>
          <w:p>
            <w:pPr>
              <w:pStyle w:val="Compact"/>
              <w:jc w:val="right"/>
            </w:pPr>
            <w:r>
              <w:t xml:space="preserve">0.255</w:t>
            </w:r>
          </w:p>
        </w:tc>
      </w:tr>
      <w:tr>
        <w:tc>
          <w:tcPr/>
          <w:p>
            <w:pPr>
              <w:pStyle w:val="Compact"/>
              <w:jc w:val="right"/>
            </w:pPr>
            <w:r>
              <w:t xml:space="preserve">5.0</w:t>
            </w:r>
          </w:p>
        </w:tc>
        <w:tc>
          <w:tcPr/>
          <w:p>
            <w:pPr>
              <w:pStyle w:val="Compact"/>
              <w:jc w:val="left"/>
            </w:pPr>
            <w:r>
              <w:t xml:space="preserve">100 contigs, order-free spread MLE</w:t>
            </w:r>
          </w:p>
        </w:tc>
        <w:tc>
          <w:tcPr/>
          <w:p>
            <w:pPr>
              <w:pStyle w:val="Compact"/>
              <w:jc w:val="right"/>
            </w:pPr>
            <w:r>
              <w:t xml:space="preserve">16</w:t>
            </w:r>
          </w:p>
        </w:tc>
        <w:tc>
          <w:tcPr/>
          <w:p>
            <w:pPr>
              <w:pStyle w:val="Compact"/>
              <w:jc w:val="right"/>
            </w:pPr>
            <w:r>
              <w:t xml:space="preserve">0.917</w:t>
            </w:r>
          </w:p>
        </w:tc>
        <w:tc>
          <w:tcPr/>
          <w:p>
            <w:pPr>
              <w:pStyle w:val="Compact"/>
              <w:jc w:val="right"/>
            </w:pPr>
            <w:r>
              <w:t xml:space="preserve">0.144</w:t>
            </w:r>
          </w:p>
        </w:tc>
        <w:tc>
          <w:tcPr/>
          <w:p>
            <w:pPr>
              <w:pStyle w:val="Compact"/>
              <w:jc w:val="right"/>
            </w:pPr>
            <w:r>
              <w:t xml:space="preserve">0.080</w:t>
            </w:r>
          </w:p>
        </w:tc>
        <w:tc>
          <w:tcPr/>
          <w:p>
            <w:pPr>
              <w:pStyle w:val="Compact"/>
              <w:jc w:val="right"/>
            </w:pPr>
            <w:r>
              <w:t xml:space="preserve">0.922</w:t>
            </w:r>
          </w:p>
        </w:tc>
        <w:tc>
          <w:tcPr/>
          <w:p>
            <w:pPr>
              <w:pStyle w:val="Compact"/>
              <w:jc w:val="right"/>
            </w:pPr>
            <w:r>
              <w:t xml:space="preserve">nan</w:t>
            </w:r>
          </w:p>
        </w:tc>
        <w:tc>
          <w:tcPr/>
          <w:p>
            <w:pPr>
              <w:pStyle w:val="Compact"/>
              <w:jc w:val="right"/>
            </w:pPr>
            <w:r>
              <w:t xml:space="preserve">0.383</w:t>
            </w:r>
          </w:p>
        </w:tc>
      </w:tr>
      <w:tr>
        <w:tc>
          <w:tcPr/>
          <w:p>
            <w:pPr>
              <w:pStyle w:val="Compact"/>
              <w:jc w:val="right"/>
            </w:pPr>
            <w:r>
              <w:t xml:space="preserve">10.0</w:t>
            </w:r>
          </w:p>
        </w:tc>
        <w:tc>
          <w:tcPr/>
          <w:p>
            <w:pPr>
              <w:pStyle w:val="Compact"/>
              <w:jc w:val="left"/>
            </w:pPr>
            <w:r>
              <w:t xml:space="preserve">complete chromosome</w:t>
            </w:r>
          </w:p>
        </w:tc>
        <w:tc>
          <w:tcPr/>
          <w:p>
            <w:pPr>
              <w:pStyle w:val="Compact"/>
              <w:jc w:val="right"/>
            </w:pPr>
            <w:r>
              <w:t xml:space="preserve">16</w:t>
            </w:r>
          </w:p>
        </w:tc>
        <w:tc>
          <w:tcPr/>
          <w:p>
            <w:pPr>
              <w:pStyle w:val="Compact"/>
              <w:jc w:val="right"/>
            </w:pPr>
            <w:r>
              <w:t xml:space="preserve">0.968</w:t>
            </w:r>
          </w:p>
        </w:tc>
        <w:tc>
          <w:tcPr/>
          <w:p>
            <w:pPr>
              <w:pStyle w:val="Compact"/>
              <w:jc w:val="right"/>
            </w:pPr>
            <w:r>
              <w:t xml:space="preserve">0.063</w:t>
            </w:r>
          </w:p>
        </w:tc>
        <w:tc>
          <w:tcPr/>
          <w:p>
            <w:pPr>
              <w:pStyle w:val="Compact"/>
              <w:jc w:val="right"/>
            </w:pPr>
            <w:r>
              <w:t xml:space="preserve">0.031</w:t>
            </w:r>
          </w:p>
        </w:tc>
        <w:tc>
          <w:tcPr/>
          <w:p>
            <w:pPr>
              <w:pStyle w:val="Compact"/>
              <w:jc w:val="right"/>
            </w:pPr>
            <w:r>
              <w:t xml:space="preserve">0.951</w:t>
            </w:r>
          </w:p>
        </w:tc>
        <w:tc>
          <w:tcPr/>
          <w:p>
            <w:pPr>
              <w:pStyle w:val="Compact"/>
              <w:jc w:val="right"/>
            </w:pPr>
            <w:r>
              <w:t xml:space="preserve">75.000</w:t>
            </w:r>
          </w:p>
        </w:tc>
        <w:tc>
          <w:tcPr/>
          <w:p>
            <w:pPr>
              <w:pStyle w:val="Compact"/>
              <w:jc w:val="right"/>
            </w:pPr>
            <w:r>
              <w:t xml:space="preserve">0.046</w:t>
            </w:r>
          </w:p>
        </w:tc>
      </w:tr>
      <w:tr>
        <w:tc>
          <w:tcPr/>
          <w:p>
            <w:pPr>
              <w:pStyle w:val="Compact"/>
              <w:jc w:val="right"/>
            </w:pPr>
            <w:r>
              <w:t xml:space="preserve">10.0</w:t>
            </w:r>
          </w:p>
        </w:tc>
        <w:tc>
          <w:tcPr/>
          <w:p>
            <w:pPr>
              <w:pStyle w:val="Compact"/>
              <w:jc w:val="left"/>
            </w:pPr>
            <w:r>
              <w:t xml:space="preserve">100 contigs</w:t>
            </w:r>
          </w:p>
        </w:tc>
        <w:tc>
          <w:tcPr/>
          <w:p>
            <w:pPr>
              <w:pStyle w:val="Compact"/>
              <w:jc w:val="right"/>
            </w:pPr>
            <w:r>
              <w:t xml:space="preserve">16</w:t>
            </w:r>
          </w:p>
        </w:tc>
        <w:tc>
          <w:tcPr/>
          <w:p>
            <w:pPr>
              <w:pStyle w:val="Compact"/>
              <w:jc w:val="right"/>
            </w:pPr>
            <w:r>
              <w:t xml:space="preserve">0.859</w:t>
            </w:r>
          </w:p>
        </w:tc>
        <w:tc>
          <w:tcPr/>
          <w:p>
            <w:pPr>
              <w:pStyle w:val="Compact"/>
              <w:jc w:val="right"/>
            </w:pPr>
            <w:r>
              <w:t xml:space="preserve">0.862</w:t>
            </w:r>
          </w:p>
        </w:tc>
        <w:tc>
          <w:tcPr/>
          <w:p>
            <w:pPr>
              <w:pStyle w:val="Compact"/>
              <w:jc w:val="right"/>
            </w:pPr>
            <w:r>
              <w:t xml:space="preserve">-0.808</w:t>
            </w:r>
          </w:p>
        </w:tc>
        <w:tc>
          <w:tcPr/>
          <w:p>
            <w:pPr>
              <w:pStyle w:val="Compact"/>
              <w:jc w:val="right"/>
            </w:pPr>
            <w:r>
              <w:t xml:space="preserve">0.210</w:t>
            </w:r>
          </w:p>
        </w:tc>
        <w:tc>
          <w:tcPr/>
          <w:p>
            <w:pPr>
              <w:pStyle w:val="Compact"/>
              <w:jc w:val="right"/>
            </w:pPr>
            <w:r>
              <w:t xml:space="preserve">100.000</w:t>
            </w:r>
          </w:p>
        </w:tc>
        <w:tc>
          <w:tcPr/>
          <w:p>
            <w:pPr>
              <w:pStyle w:val="Compact"/>
              <w:jc w:val="right"/>
            </w:pPr>
            <w:r>
              <w:t xml:space="preserve">0.059</w:t>
            </w:r>
          </w:p>
        </w:tc>
      </w:tr>
      <w:tr>
        <w:tc>
          <w:tcPr/>
          <w:p>
            <w:pPr>
              <w:pStyle w:val="Compact"/>
              <w:jc w:val="right"/>
            </w:pPr>
            <w:r>
              <w:t xml:space="preserve">10.0</w:t>
            </w:r>
          </w:p>
        </w:tc>
        <w:tc>
          <w:tcPr/>
          <w:p>
            <w:pPr>
              <w:pStyle w:val="Compact"/>
              <w:jc w:val="left"/>
            </w:pPr>
            <w:r>
              <w:t xml:space="preserve">100 contigs, scaffolded vs itself</w:t>
            </w:r>
          </w:p>
        </w:tc>
        <w:tc>
          <w:tcPr/>
          <w:p>
            <w:pPr>
              <w:pStyle w:val="Compact"/>
              <w:jc w:val="right"/>
            </w:pPr>
            <w:r>
              <w:t xml:space="preserve">16</w:t>
            </w:r>
          </w:p>
        </w:tc>
        <w:tc>
          <w:tcPr/>
          <w:p>
            <w:pPr>
              <w:pStyle w:val="Compact"/>
              <w:jc w:val="right"/>
            </w:pPr>
            <w:r>
              <w:t xml:space="preserve">0.973</w:t>
            </w:r>
          </w:p>
        </w:tc>
        <w:tc>
          <w:tcPr/>
          <w:p>
            <w:pPr>
              <w:pStyle w:val="Compact"/>
              <w:jc w:val="right"/>
            </w:pPr>
            <w:r>
              <w:t xml:space="preserve">0.056</w:t>
            </w:r>
          </w:p>
        </w:tc>
        <w:tc>
          <w:tcPr/>
          <w:p>
            <w:pPr>
              <w:pStyle w:val="Compact"/>
              <w:jc w:val="right"/>
            </w:pPr>
            <w:r>
              <w:t xml:space="preserve">0.026</w:t>
            </w:r>
          </w:p>
        </w:tc>
        <w:tc>
          <w:tcPr/>
          <w:p>
            <w:pPr>
              <w:pStyle w:val="Compact"/>
              <w:jc w:val="right"/>
            </w:pPr>
            <w:r>
              <w:t xml:space="preserve">0.948</w:t>
            </w:r>
          </w:p>
        </w:tc>
        <w:tc>
          <w:tcPr/>
          <w:p>
            <w:pPr>
              <w:pStyle w:val="Compact"/>
              <w:jc w:val="right"/>
            </w:pPr>
            <w:r>
              <w:t xml:space="preserve">68.750</w:t>
            </w:r>
          </w:p>
        </w:tc>
        <w:tc>
          <w:tcPr/>
          <w:p>
            <w:pPr>
              <w:pStyle w:val="Compact"/>
              <w:jc w:val="right"/>
            </w:pPr>
            <w:r>
              <w:t xml:space="preserve">0.059</w:t>
            </w:r>
          </w:p>
        </w:tc>
      </w:tr>
      <w:tr>
        <w:tc>
          <w:tcPr/>
          <w:p>
            <w:pPr>
              <w:pStyle w:val="Compact"/>
              <w:jc w:val="right"/>
            </w:pPr>
            <w:r>
              <w:t xml:space="preserve">10.0</w:t>
            </w:r>
          </w:p>
        </w:tc>
        <w:tc>
          <w:tcPr/>
          <w:p>
            <w:pPr>
              <w:pStyle w:val="Compact"/>
              <w:jc w:val="left"/>
            </w:pPr>
            <w:r>
              <w:t xml:space="preserve">100 contigs, scaffolded vs a relative</w:t>
            </w:r>
          </w:p>
        </w:tc>
        <w:tc>
          <w:tcPr/>
          <w:p>
            <w:pPr>
              <w:pStyle w:val="Compact"/>
              <w:jc w:val="right"/>
            </w:pPr>
            <w:r>
              <w:t xml:space="preserve">16</w:t>
            </w:r>
          </w:p>
        </w:tc>
        <w:tc>
          <w:tcPr/>
          <w:p>
            <w:pPr>
              <w:pStyle w:val="Compact"/>
              <w:jc w:val="right"/>
            </w:pPr>
            <w:r>
              <w:t xml:space="preserve">0.967</w:t>
            </w:r>
          </w:p>
        </w:tc>
        <w:tc>
          <w:tcPr/>
          <w:p>
            <w:pPr>
              <w:pStyle w:val="Compact"/>
              <w:jc w:val="right"/>
            </w:pPr>
            <w:r>
              <w:t xml:space="preserve">0.086</w:t>
            </w:r>
          </w:p>
        </w:tc>
        <w:tc>
          <w:tcPr/>
          <w:p>
            <w:pPr>
              <w:pStyle w:val="Compact"/>
              <w:jc w:val="right"/>
            </w:pPr>
            <w:r>
              <w:t xml:space="preserve">0.052</w:t>
            </w:r>
          </w:p>
        </w:tc>
        <w:tc>
          <w:tcPr/>
          <w:p>
            <w:pPr>
              <w:pStyle w:val="Compact"/>
              <w:jc w:val="right"/>
            </w:pPr>
            <w:r>
              <w:t xml:space="preserve">0.984</w:t>
            </w:r>
          </w:p>
        </w:tc>
        <w:tc>
          <w:tcPr/>
          <w:p>
            <w:pPr>
              <w:pStyle w:val="Compact"/>
              <w:jc w:val="right"/>
            </w:pPr>
            <w:r>
              <w:t xml:space="preserve">87.500</w:t>
            </w:r>
          </w:p>
        </w:tc>
        <w:tc>
          <w:tcPr/>
          <w:p>
            <w:pPr>
              <w:pStyle w:val="Compact"/>
              <w:jc w:val="right"/>
            </w:pPr>
            <w:r>
              <w:t xml:space="preserve">0.052</w:t>
            </w:r>
          </w:p>
        </w:tc>
      </w:tr>
      <w:tr>
        <w:tc>
          <w:tcPr/>
          <w:p>
            <w:pPr>
              <w:pStyle w:val="Compact"/>
              <w:jc w:val="right"/>
            </w:pPr>
            <w:r>
              <w:t xml:space="preserve">10.0</w:t>
            </w:r>
          </w:p>
        </w:tc>
        <w:tc>
          <w:tcPr/>
          <w:p>
            <w:pPr>
              <w:pStyle w:val="Compact"/>
              <w:jc w:val="left"/>
            </w:pPr>
            <w:r>
              <w:t xml:space="preserve">100 contigs, Pilea</w:t>
            </w:r>
          </w:p>
        </w:tc>
        <w:tc>
          <w:tcPr/>
          <w:p>
            <w:pPr>
              <w:pStyle w:val="Compact"/>
              <w:jc w:val="right"/>
            </w:pPr>
            <w:r>
              <w:t xml:space="preserve">16</w:t>
            </w:r>
          </w:p>
        </w:tc>
        <w:tc>
          <w:tcPr/>
          <w:p>
            <w:pPr>
              <w:pStyle w:val="Compact"/>
              <w:jc w:val="right"/>
            </w:pPr>
            <w:r>
              <w:t xml:space="preserve">0.960</w:t>
            </w:r>
          </w:p>
        </w:tc>
        <w:tc>
          <w:tcPr/>
          <w:p>
            <w:pPr>
              <w:pStyle w:val="Compact"/>
              <w:jc w:val="right"/>
            </w:pPr>
            <w:r>
              <w:t xml:space="preserve">0.077</w:t>
            </w:r>
          </w:p>
        </w:tc>
        <w:tc>
          <w:tcPr/>
          <w:p>
            <w:pPr>
              <w:pStyle w:val="Compact"/>
              <w:jc w:val="right"/>
            </w:pPr>
            <w:r>
              <w:t xml:space="preserve">-0.031</w:t>
            </w:r>
          </w:p>
        </w:tc>
        <w:tc>
          <w:tcPr/>
          <w:p>
            <w:pPr>
              <w:pStyle w:val="Compact"/>
              <w:jc w:val="right"/>
            </w:pPr>
            <w:r>
              <w:t xml:space="preserve">0.820</w:t>
            </w:r>
          </w:p>
        </w:tc>
        <w:tc>
          <w:tcPr/>
          <w:p>
            <w:pPr>
              <w:pStyle w:val="Compact"/>
              <w:jc w:val="right"/>
            </w:pPr>
            <w:r>
              <w:t xml:space="preserve">nan</w:t>
            </w:r>
          </w:p>
        </w:tc>
        <w:tc>
          <w:tcPr/>
          <w:p>
            <w:pPr>
              <w:pStyle w:val="Compact"/>
              <w:jc w:val="right"/>
            </w:pPr>
            <w:r>
              <w:t xml:space="preserve">0.203</w:t>
            </w:r>
          </w:p>
        </w:tc>
      </w:tr>
      <w:tr>
        <w:tc>
          <w:tcPr/>
          <w:p>
            <w:pPr>
              <w:pStyle w:val="Compact"/>
              <w:jc w:val="right"/>
            </w:pPr>
            <w:r>
              <w:t xml:space="preserve">10.0</w:t>
            </w:r>
          </w:p>
        </w:tc>
        <w:tc>
          <w:tcPr/>
          <w:p>
            <w:pPr>
              <w:pStyle w:val="Compact"/>
              <w:jc w:val="left"/>
            </w:pPr>
            <w:r>
              <w:t xml:space="preserve">100 contigs, order-free spread MLE</w:t>
            </w:r>
          </w:p>
        </w:tc>
        <w:tc>
          <w:tcPr/>
          <w:p>
            <w:pPr>
              <w:pStyle w:val="Compact"/>
              <w:jc w:val="right"/>
            </w:pPr>
            <w:r>
              <w:t xml:space="preserve">16</w:t>
            </w:r>
          </w:p>
        </w:tc>
        <w:tc>
          <w:tcPr/>
          <w:p>
            <w:pPr>
              <w:pStyle w:val="Compact"/>
              <w:jc w:val="right"/>
            </w:pPr>
            <w:r>
              <w:t xml:space="preserve">0.871</w:t>
            </w:r>
          </w:p>
        </w:tc>
        <w:tc>
          <w:tcPr/>
          <w:p>
            <w:pPr>
              <w:pStyle w:val="Compact"/>
              <w:jc w:val="right"/>
            </w:pPr>
            <w:r>
              <w:t xml:space="preserve">0.227</w:t>
            </w:r>
          </w:p>
        </w:tc>
        <w:tc>
          <w:tcPr/>
          <w:p>
            <w:pPr>
              <w:pStyle w:val="Compact"/>
              <w:jc w:val="right"/>
            </w:pPr>
            <w:r>
              <w:t xml:space="preserve">0.149</w:t>
            </w:r>
          </w:p>
        </w:tc>
        <w:tc>
          <w:tcPr/>
          <w:p>
            <w:pPr>
              <w:pStyle w:val="Compact"/>
              <w:jc w:val="right"/>
            </w:pPr>
            <w:r>
              <w:t xml:space="preserve">0.919</w:t>
            </w:r>
          </w:p>
        </w:tc>
        <w:tc>
          <w:tcPr/>
          <w:p>
            <w:pPr>
              <w:pStyle w:val="Compact"/>
              <w:jc w:val="right"/>
            </w:pPr>
            <w:r>
              <w:t xml:space="preserve">nan</w:t>
            </w:r>
          </w:p>
        </w:tc>
        <w:tc>
          <w:tcPr/>
          <w:p>
            <w:pPr>
              <w:pStyle w:val="Compact"/>
              <w:jc w:val="right"/>
            </w:pPr>
            <w:r>
              <w:t xml:space="preserve">0.458</w:t>
            </w:r>
          </w:p>
        </w:tc>
      </w:tr>
    </w:tbl>
    <w:p>
      <w:pPr>
        <w:pStyle w:val="BodyText"/>
      </w:pPr>
      <w:r>
        <w:t xml:space="preserve">The 100-contig reference holds 43,707 of the complete genome’s 43,735 anchors, so the genomic coordinate is the only variable. qc_pass is the share of estimates the fusion QC accepts – note that it is HIGHEST where the estimates are worst. stationary_control is the estimate for the RUN_OUT sample, whose true log2(PTR) is ~0. Blank r or slope: the method returned nothing, or a constant.</w:t>
      </w:r>
    </w:p>
    <w:p>
      <w:pPr>
        <w:pStyle w:val="BodyText"/>
      </w:pPr>
      <w:r>
        <w:rPr>
          <w:b/>
          <w:bCs/>
        </w:rPr>
        <w:t xml:space="preserve">Table 9. Landmark-source comparison: property by mode, every row with its evidence</w:t>
      </w:r>
    </w:p>
    <w:tbl>
      <w:tblPr>
        <w:tblStyle w:val="Table"/>
        <w:tblW w:type="pct" w:w="5000"/>
        <w:tblLayout w:type="fixed"/>
        <w:tblLook w:firstRow="1" w:lastRow="0" w:firstColumn="0" w:lastColumn="0" w:noHBand="0" w:noVBand="0" w:val="0020"/>
      </w:tblPr>
      <w:tblGrid>
        <w:gridCol w:w="600"/>
        <w:gridCol w:w="2588"/>
        <w:gridCol w:w="1337"/>
        <w:gridCol w:w="3394"/>
      </w:tblGrid>
      <w:tr>
        <w:trPr>
          <w:tblHeader w:val="on"/>
        </w:trPr>
        <w:tc>
          <w:tcPr/>
          <w:p>
            <w:pPr>
              <w:pStyle w:val="Compact"/>
              <w:jc w:val="left"/>
            </w:pPr>
            <w:r>
              <w:t xml:space="preserve">property</w:t>
            </w:r>
          </w:p>
        </w:tc>
        <w:tc>
          <w:tcPr/>
          <w:p>
            <w:pPr>
              <w:pStyle w:val="Compact"/>
              <w:jc w:val="left"/>
            </w:pPr>
            <w:r>
              <w:t xml:space="preserve">fracminhash_pilea</w:t>
            </w:r>
          </w:p>
        </w:tc>
        <w:tc>
          <w:tcPr/>
          <w:p>
            <w:pPr>
              <w:pStyle w:val="Compact"/>
              <w:jc w:val="left"/>
            </w:pPr>
            <w:r>
              <w:t xml:space="preserve">enzyme_anchors_ours</w:t>
            </w:r>
          </w:p>
        </w:tc>
        <w:tc>
          <w:tcPr/>
          <w:p>
            <w:pPr>
              <w:pStyle w:val="Compact"/>
              <w:jc w:val="left"/>
            </w:pPr>
            <w:r>
              <w:t xml:space="preserve">evidence</w:t>
            </w:r>
          </w:p>
        </w:tc>
      </w:tr>
      <w:tr>
        <w:tc>
          <w:tcPr/>
          <w:p>
            <w:pPr>
              <w:pStyle w:val="Compact"/>
              <w:jc w:val="left"/>
            </w:pPr>
            <w:r>
              <w:t xml:space="preserve">landmark rule</w:t>
            </w:r>
          </w:p>
        </w:tc>
        <w:tc>
          <w:tcPr/>
          <w:p>
            <w:pPr>
              <w:pStyle w:val="Compact"/>
              <w:jc w:val="left"/>
            </w:pPr>
            <w:r>
              <w:t xml:space="preserve">hash-prefix subsample of all 31-mers</w:t>
            </w:r>
          </w:p>
        </w:tc>
        <w:tc>
          <w:tcPr/>
          <w:p>
            <w:pPr>
              <w:pStyle w:val="Compact"/>
              <w:jc w:val="left"/>
            </w:pPr>
            <w:r>
              <w:t xml:space="preserve">Type IIB recognition motifs, enumerated per reference</w:t>
            </w:r>
          </w:p>
        </w:tc>
        <w:tc>
          <w:tcPr/>
          <w:p>
            <w:pPr>
              <w:pStyle w:val="Compact"/>
              <w:jc w:val="left"/>
            </w:pPr>
            <w:r>
              <w:t xml:space="preserve">Table 1; manifest.json</w:t>
            </w:r>
          </w:p>
        </w:tc>
      </w:tr>
      <w:tr>
        <w:tc>
          <w:tcPr/>
          <w:p>
            <w:pPr>
              <w:pStyle w:val="Compact"/>
              <w:jc w:val="left"/>
            </w:pPr>
            <w:r>
              <w:t xml:space="preserve">coordinate enters estimator?</w:t>
            </w:r>
          </w:p>
        </w:tc>
        <w:tc>
          <w:tcPr/>
          <w:p>
            <w:pPr>
              <w:pStyle w:val="Compact"/>
              <w:jc w:val="left"/>
            </w:pPr>
            <w:r>
              <w:t xml:space="preserve">no — sorted ranks</w:t>
            </w:r>
          </w:p>
        </w:tc>
        <w:tc>
          <w:tcPr/>
          <w:p>
            <w:pPr>
              <w:pStyle w:val="Compact"/>
              <w:jc w:val="left"/>
            </w:pPr>
            <w:r>
              <w:t xml:space="preserve">yes — windowed V-fit</w:t>
            </w:r>
          </w:p>
        </w:tc>
        <w:tc>
          <w:tcPr/>
          <w:p>
            <w:pPr>
              <w:pStyle w:val="Compact"/>
              <w:jc w:val="left"/>
            </w:pPr>
            <w:r>
              <w:t xml:space="preserve">Fig 4 (2x2 attribution)</w:t>
            </w:r>
          </w:p>
        </w:tc>
      </w:tr>
      <w:tr>
        <w:tc>
          <w:tcPr/>
          <w:p>
            <w:pPr>
              <w:pStyle w:val="Compact"/>
              <w:jc w:val="left"/>
            </w:pPr>
            <w:r>
              <w:t xml:space="preserve">reference determinism</w:t>
            </w:r>
          </w:p>
        </w:tc>
        <w:tc>
          <w:tcPr/>
          <w:p>
            <w:pPr>
              <w:pStyle w:val="Compact"/>
              <w:jc w:val="left"/>
            </w:pPr>
            <w:r>
              <w:t xml:space="preserve">deterministic under the same hash-prefix rule</w:t>
            </w:r>
          </w:p>
        </w:tc>
        <w:tc>
          <w:tcPr/>
          <w:p>
            <w:pPr>
              <w:pStyle w:val="Compact"/>
              <w:jc w:val="left"/>
            </w:pPr>
            <w:r>
              <w:t xml:space="preserve">deterministic by motif enumeration</w:t>
            </w:r>
          </w:p>
        </w:tc>
        <w:tc>
          <w:tcPr/>
          <w:p>
            <w:pPr>
              <w:pStyle w:val="Compact"/>
              <w:jc w:val="left"/>
            </w:pPr>
            <w:r>
              <w:t xml:space="preserve">both modes; the determinism claim was dropped</w:t>
            </w:r>
          </w:p>
        </w:tc>
      </w:tr>
      <w:tr>
        <w:tc>
          <w:tcPr/>
          <w:p>
            <w:pPr>
              <w:pStyle w:val="Compact"/>
              <w:jc w:val="left"/>
            </w:pPr>
            <w:r>
              <w:t xml:space="preserve">internal-consistency strata</w:t>
            </w:r>
          </w:p>
        </w:tc>
        <w:tc>
          <w:tcPr/>
          <w:p>
            <w:pPr>
              <w:pStyle w:val="Compact"/>
              <w:jc w:val="left"/>
            </w:pPr>
            <w:r>
              <w:t xml:space="preserve">hash-prefix split possible, but shares every systematic bias of the sketch</w:t>
            </w:r>
          </w:p>
        </w:tc>
        <w:tc>
          <w:tcPr/>
          <w:p>
            <w:pPr>
              <w:pStyle w:val="Compact"/>
              <w:jc w:val="left"/>
            </w:pPr>
            <w:r>
              <w:t xml:space="preserve">~15 motif strata with heterogeneous biases (motif / GC / methylatable bases)</w:t>
            </w:r>
          </w:p>
        </w:tc>
        <w:tc>
          <w:tcPr/>
          <w:p>
            <w:pPr>
              <w:pStyle w:val="Compact"/>
              <w:jc w:val="left"/>
            </w:pPr>
            <w:r>
              <w:t xml:space="preserve">Cochran’s Q; Bsp24I-CjePI containment</w:t>
            </w:r>
          </w:p>
        </w:tc>
      </w:tr>
      <w:tr>
        <w:tc>
          <w:tcPr/>
          <w:p>
            <w:pPr>
              <w:pStyle w:val="Compact"/>
              <w:jc w:val="left"/>
            </w:pPr>
            <w:r>
              <w:t xml:space="preserve">accuracy at matched density, &gt;=1x</w:t>
            </w:r>
          </w:p>
        </w:tc>
        <w:tc>
          <w:tcPr/>
          <w:p>
            <w:pPr>
              <w:pStyle w:val="Compact"/>
              <w:jc w:val="left"/>
            </w:pPr>
            <w:r>
              <w:t xml:space="preserve">identical</w:t>
            </w:r>
          </w:p>
        </w:tc>
        <w:tc>
          <w:tcPr/>
          <w:p>
            <w:pPr>
              <w:pStyle w:val="Compact"/>
              <w:jc w:val="left"/>
            </w:pPr>
            <w:r>
              <w:t xml:space="preserve">identical</w:t>
            </w:r>
          </w:p>
        </w:tc>
        <w:tc>
          <w:tcPr/>
          <w:p>
            <w:pPr>
              <w:pStyle w:val="Compact"/>
              <w:jc w:val="left"/>
            </w:pPr>
            <w:r>
              <w:t xml:space="preserve">F1 (density-matched sweep, this study)</w:t>
            </w:r>
          </w:p>
        </w:tc>
      </w:tr>
      <w:tr>
        <w:tc>
          <w:tcPr/>
          <w:p>
            <w:pPr>
              <w:pStyle w:val="Compact"/>
              <w:jc w:val="left"/>
            </w:pPr>
            <w:r>
              <w:t xml:space="preserve">robustness at 0.5x</w:t>
            </w:r>
          </w:p>
        </w:tc>
        <w:tc>
          <w:tcPr/>
          <w:p>
            <w:pPr>
              <w:pStyle w:val="Compact"/>
              <w:jc w:val="left"/>
            </w:pPr>
            <w:r>
              <w:t xml:space="preserve">loses 6/17 cells at the no-gradient gate (single stratum, unrescuable)</w:t>
            </w:r>
          </w:p>
        </w:tc>
        <w:tc>
          <w:tcPr/>
          <w:p>
            <w:pPr>
              <w:pStyle w:val="Compact"/>
              <w:jc w:val="left"/>
            </w:pPr>
            <w:r>
              <w:t xml:space="preserve">15–16/17 cells via multi-strata fusion redundancy</w:t>
            </w:r>
          </w:p>
        </w:tc>
        <w:tc>
          <w:tcPr/>
          <w:p>
            <w:pPr>
              <w:pStyle w:val="Compact"/>
              <w:jc w:val="left"/>
            </w:pPr>
            <w:r>
              <w:t xml:space="preserve">F1 (mechanism cells: per-window fill equal; fusion redundancy)</w:t>
            </w:r>
          </w:p>
        </w:tc>
      </w:tr>
      <w:tr>
        <w:tc>
          <w:tcPr/>
          <w:p>
            <w:pPr>
              <w:pStyle w:val="Compact"/>
              <w:jc w:val="left"/>
            </w:pPr>
            <w:r>
              <w:t xml:space="preserve">usable GC range</w:t>
            </w:r>
          </w:p>
        </w:tc>
        <w:tc>
          <w:tcPr/>
          <w:p>
            <w:pPr>
              <w:pStyle w:val="Compact"/>
              <w:jc w:val="left"/>
            </w:pPr>
            <w:r>
              <w:t xml:space="preserve">tied with panel; boundary GC &lt;=30% at 0.5x</w:t>
            </w:r>
          </w:p>
        </w:tc>
        <w:tc>
          <w:tcPr/>
          <w:p>
            <w:pPr>
              <w:pStyle w:val="Compact"/>
              <w:jc w:val="left"/>
            </w:pPr>
            <w:r>
              <w:t xml:space="preserve">same boundary (instrument limit, both modes)</w:t>
            </w:r>
          </w:p>
        </w:tc>
        <w:tc>
          <w:tcPr/>
          <w:p>
            <w:pPr>
              <w:pStyle w:val="Compact"/>
              <w:jc w:val="left"/>
            </w:pPr>
            <w:r>
              <w:t xml:space="preserve">F2 (18 genomes, GC 25.4-72.0%)</w:t>
            </w:r>
          </w:p>
        </w:tc>
      </w:tr>
      <w:tr>
        <w:tc>
          <w:tcPr/>
          <w:p>
            <w:pPr>
              <w:pStyle w:val="Compact"/>
              <w:jc w:val="left"/>
            </w:pPr>
            <w:r>
              <w:t xml:space="preserve">divergence geometry</w:t>
            </w:r>
          </w:p>
        </w:tc>
        <w:tc>
          <w:tcPr/>
          <w:p>
            <w:pPr>
              <w:pStyle w:val="Compact"/>
              <w:jc w:val="left"/>
            </w:pPr>
            <w:r>
              <w:t xml:space="preserve">smooth: one SNP destroys ~26% of a read’s 31-mers</w:t>
            </w:r>
          </w:p>
        </w:tc>
        <w:tc>
          <w:tcPr/>
          <w:p>
            <w:pPr>
              <w:pStyle w:val="Compact"/>
              <w:jc w:val="left"/>
            </w:pPr>
            <w:r>
              <w:t xml:space="preserve">blocky: one SNP kills one site, neighbours intact</w:t>
            </w:r>
          </w:p>
        </w:tc>
        <w:tc>
          <w:tcPr/>
          <w:p>
            <w:pPr>
              <w:pStyle w:val="Compact"/>
              <w:jc w:val="left"/>
            </w:pPr>
            <w:r>
              <w:t xml:space="preserve">retention at 0.1% substitutions: 94.6% vs 89.5% (4 enzymes); F4 rel-arm</w:t>
            </w:r>
          </w:p>
        </w:tc>
      </w:tr>
      <w:tr>
        <w:tc>
          <w:tcPr/>
          <w:p>
            <w:pPr>
              <w:pStyle w:val="Compact"/>
              <w:jc w:val="left"/>
            </w:pPr>
            <w:r>
              <w:t xml:space="preserve">mismatch tolerance</w:t>
            </w:r>
          </w:p>
        </w:tc>
        <w:tc>
          <w:tcPr/>
          <w:p>
            <w:pPr>
              <w:pStyle w:val="Compact"/>
              <w:jc w:val="left"/>
            </w:pPr>
            <w:r>
              <w:t xml:space="preserve">must lock mm=0: mm&gt;=1 opens a rescue channel crediting ~1% (mm1) / ~2% (mm2) of observations to the wrong coordinate, independent of sequencing error</w:t>
            </w:r>
          </w:p>
        </w:tc>
        <w:tc>
          <w:tcPr/>
          <w:p>
            <w:pPr>
              <w:pStyle w:val="Compact"/>
              <w:jc w:val="left"/>
            </w:pPr>
            <w:r>
              <w:t xml:space="preserve">mm&lt;=2 safe: exact-first suppression + motif gate keep misassignment &lt;=1.4e-4</w:t>
            </w:r>
          </w:p>
        </w:tc>
        <w:tc>
          <w:tcPr/>
          <w:p>
            <w:pPr>
              <w:pStyle w:val="Compact"/>
              <w:jc w:val="left"/>
            </w:pPr>
            <w:r>
              <w:t xml:space="preserve">F3 (near-neighbor census + read-level test)</w:t>
            </w:r>
          </w:p>
        </w:tc>
      </w:tr>
      <w:tr>
        <w:tc>
          <w:tcPr/>
          <w:p>
            <w:pPr>
              <w:pStyle w:val="Compact"/>
              <w:jc w:val="left"/>
            </w:pPr>
            <w:r>
              <w:t xml:space="preserve">wrong / absent reference</w:t>
            </w:r>
          </w:p>
        </w:tc>
        <w:tc>
          <w:tcPr/>
          <w:p>
            <w:pPr>
              <w:pStyle w:val="Compact"/>
              <w:jc w:val="left"/>
            </w:pPr>
            <w:r>
              <w:t xml:space="preserve">silent — the gate refuses output</w:t>
            </w:r>
          </w:p>
        </w:tc>
        <w:tc>
          <w:tcPr/>
          <w:p>
            <w:pPr>
              <w:pStyle w:val="Compact"/>
              <w:jc w:val="left"/>
            </w:pPr>
            <w:r>
              <w:t xml:space="preserve">loud — the estimate is emitted and wrong</w:t>
            </w:r>
          </w:p>
        </w:tc>
        <w:tc>
          <w:tcPr/>
          <w:p>
            <w:pPr>
              <w:pStyle w:val="Compact"/>
              <w:jc w:val="left"/>
            </w:pPr>
            <w:r>
              <w:t xml:space="preserve">Legacy C5: reported_fraction 1.00 (denominator artifact) vs silent gate; legacy common-denominator recall 3.8-13.8% vs 5.0-11.1%. Current auto policy passes only 26/4698 genome-sample observations</w:t>
            </w:r>
          </w:p>
        </w:tc>
      </w:tr>
      <w:tr>
        <w:tc>
          <w:tcPr/>
          <w:p>
            <w:pPr>
              <w:pStyle w:val="Compact"/>
              <w:jc w:val="left"/>
            </w:pPr>
            <w:r>
              <w:t xml:space="preserve">fragmented reference</w:t>
            </w:r>
          </w:p>
        </w:tc>
        <w:tc>
          <w:tcPr/>
          <w:p>
            <w:pPr>
              <w:pStyle w:val="Compact"/>
              <w:jc w:val="left"/>
            </w:pPr>
            <w:r>
              <w:t xml:space="preserve">rank regression barely affected (r 0.889-&gt;0.827)</w:t>
            </w:r>
          </w:p>
        </w:tc>
        <w:tc>
          <w:tcPr/>
          <w:p>
            <w:pPr>
              <w:pStyle w:val="Compact"/>
              <w:jc w:val="left"/>
            </w:pPr>
            <w:r>
              <w:t xml:space="preserve">gradient destroyed, QC-blind, scaffold-repairable</w:t>
            </w:r>
          </w:p>
        </w:tc>
        <w:tc>
          <w:tcPr/>
          <w:p>
            <w:pPr>
              <w:pStyle w:val="Compact"/>
              <w:jc w:val="left"/>
            </w:pPr>
            <w:r>
              <w:t xml:space="preserve">Fig 6; F4: collapse identical across landmark types (slope 0.26-0.38, RMSE x40, winner’s-curse residue)</w:t>
            </w:r>
          </w:p>
        </w:tc>
      </w:tr>
      <w:tr>
        <w:tc>
          <w:tcPr/>
          <w:p>
            <w:pPr>
              <w:pStyle w:val="Compact"/>
              <w:jc w:val="left"/>
            </w:pPr>
            <w:r>
              <w:t xml:space="preserve">scaffolding</w:t>
            </w:r>
          </w:p>
        </w:tc>
        <w:tc>
          <w:tcPr/>
          <w:p>
            <w:pPr>
              <w:pStyle w:val="Compact"/>
              <w:jc w:val="left"/>
            </w:pPr>
            <w:r>
              <w:t xml:space="preserve">works — placement is landmark-source-agnostic</w:t>
            </w:r>
          </w:p>
        </w:tc>
        <w:tc>
          <w:tcPr/>
          <w:p>
            <w:pPr>
              <w:pStyle w:val="Compact"/>
              <w:jc w:val="left"/>
            </w:pPr>
            <w:r>
              <w:t xml:space="preserve">works — self-arm ties the sketch arm exactly</w:t>
            </w:r>
          </w:p>
        </w:tc>
        <w:tc>
          <w:tcPr/>
          <w:p>
            <w:pPr>
              <w:pStyle w:val="Compact"/>
              <w:jc w:val="left"/>
            </w:pPr>
            <w:r>
              <w:t xml:space="preserve">F4: 98-100/100 contigs placed, order Spearman 1.0, both modes; sketch placement is a 1:1 port of scaffold.rs, not shipped</w:t>
            </w:r>
          </w:p>
        </w:tc>
      </w:tr>
      <w:tr>
        <w:tc>
          <w:tcPr/>
          <w:p>
            <w:pPr>
              <w:pStyle w:val="Compact"/>
              <w:jc w:val="left"/>
            </w:pPr>
            <w:r>
              <w:t xml:space="preserve">density control</w:t>
            </w:r>
          </w:p>
        </w:tc>
        <w:tc>
          <w:tcPr/>
          <w:p>
            <w:pPr>
              <w:pStyle w:val="Compact"/>
              <w:jc w:val="left"/>
            </w:pPr>
            <w:r>
              <w:t xml:space="preserve">scale parameter (content-agnostic)</w:t>
            </w:r>
          </w:p>
        </w:tc>
        <w:tc>
          <w:tcPr/>
          <w:p>
            <w:pPr>
              <w:pStyle w:val="Compact"/>
              <w:jc w:val="left"/>
            </w:pPr>
            <w:r>
              <w:t xml:space="preserve">panel composition (biology-aware, per-clade tunable)</w:t>
            </w:r>
          </w:p>
        </w:tc>
        <w:tc>
          <w:tcPr/>
          <w:p>
            <w:pPr>
              <w:pStyle w:val="Compact"/>
              <w:jc w:val="left"/>
            </w:pPr>
            <w:r>
              <w:t xml:space="preserve">Table 6 ranking; per-clade panel survey: not measured</w:t>
            </w:r>
          </w:p>
        </w:tc>
      </w:tr>
      <w:tr>
        <w:tc>
          <w:tcPr/>
          <w:p>
            <w:pPr>
              <w:pStyle w:val="Compact"/>
              <w:jc w:val="left"/>
            </w:pPr>
            <w:r>
              <w:t xml:space="preserve">index cost at matched density</w:t>
            </w:r>
          </w:p>
        </w:tc>
        <w:tc>
          <w:tcPr/>
          <w:p>
            <w:pPr>
              <w:pStyle w:val="Compact"/>
              <w:jc w:val="left"/>
            </w:pPr>
            <w:r>
              <w:t xml:space="preserve">~39 B/landmark if engineered into the same index format; merged FMH index (–mode fracminhash) not implemented</w:t>
            </w:r>
          </w:p>
        </w:tc>
        <w:tc>
          <w:tcPr/>
          <w:p>
            <w:pPr>
              <w:pStyle w:val="Compact"/>
              <w:jc w:val="left"/>
            </w:pPr>
            <w:r>
              <w:t xml:space="preserve">~38.7-38.9 B/anchor; merged 300-genome DB builds 10M anchors in 86 s</w:t>
            </w:r>
          </w:p>
        </w:tc>
        <w:tc>
          <w:tcPr/>
          <w:p>
            <w:pPr>
              <w:pStyle w:val="Compact"/>
              <w:jc w:val="left"/>
            </w:pPr>
            <w:r>
              <w:t xml:space="preserve">F5</w:t>
            </w:r>
          </w:p>
        </w:tc>
      </w:tr>
      <w:tr>
        <w:tc>
          <w:tcPr/>
          <w:p>
            <w:pPr>
              <w:pStyle w:val="Compact"/>
              <w:jc w:val="left"/>
            </w:pPr>
            <w:r>
              <w:t xml:space="preserve">half-density option</w:t>
            </w:r>
          </w:p>
        </w:tc>
        <w:tc>
          <w:tcPr/>
          <w:p>
            <w:pPr>
              <w:pStyle w:val="Compact"/>
              <w:jc w:val="left"/>
            </w:pPr>
            <w:r>
              <w:t xml:space="preserve">scale 200: ~124 GB GTDB projection, &lt;=0.007 r loss at &gt;=1x</w:t>
            </w:r>
          </w:p>
        </w:tc>
        <w:tc>
          <w:tcPr/>
          <w:p>
            <w:pPr>
              <w:pStyle w:val="Compact"/>
              <w:jc w:val="left"/>
            </w:pPr>
            <w:r>
              <w:t xml:space="preserve">no equivalent knob (panel size is the knob; Table 7)</w:t>
            </w:r>
          </w:p>
        </w:tc>
        <w:tc>
          <w:tcPr/>
          <w:p>
            <w:pPr>
              <w:pStyle w:val="Compact"/>
              <w:jc w:val="left"/>
            </w:pPr>
            <w:r>
              <w:t xml:space="preserve">F5</w:t>
            </w:r>
          </w:p>
        </w:tc>
      </w:tr>
      <w:tr>
        <w:tc>
          <w:tcPr/>
          <w:p>
            <w:pPr>
              <w:pStyle w:val="Compact"/>
              <w:jc w:val="left"/>
            </w:pPr>
            <w:r>
              <w:t xml:space="preserve">wet-lab realization</w:t>
            </w:r>
          </w:p>
        </w:tc>
        <w:tc>
          <w:tcPr/>
          <w:p>
            <w:pPr>
              <w:pStyle w:val="Compact"/>
              <w:jc w:val="left"/>
            </w:pPr>
            <w:r>
              <w:t xml:space="preserve">computational only</w:t>
            </w:r>
          </w:p>
        </w:tc>
        <w:tc>
          <w:tcPr/>
          <w:p>
            <w:pPr>
              <w:pStyle w:val="Compact"/>
              <w:jc w:val="left"/>
            </w:pPr>
            <w:r>
              <w:t xml:space="preserve">physically produced by the 2bRAD protocol</w:t>
            </w:r>
          </w:p>
        </w:tc>
        <w:tc>
          <w:tcPr/>
          <w:p>
            <w:pPr>
              <w:pStyle w:val="Compact"/>
              <w:jc w:val="left"/>
            </w:pPr>
            <w:r>
              <w:t xml:space="preserve">route B</w:t>
            </w:r>
          </w:p>
        </w:tc>
      </w:tr>
      <w:tr>
        <w:tc>
          <w:tcPr/>
          <w:p>
            <w:pPr>
              <w:pStyle w:val="Compact"/>
              <w:jc w:val="left"/>
            </w:pPr>
            <w:r>
              <w:t xml:space="preserve">methylation-bias effect on yield</w:t>
            </w:r>
          </w:p>
        </w:tc>
        <w:tc>
          <w:tcPr/>
          <w:p>
            <w:pPr>
              <w:pStyle w:val="Compact"/>
              <w:jc w:val="left"/>
            </w:pPr>
            <w:r>
              <w:t xml:space="preserve">n/a</w:t>
            </w:r>
          </w:p>
        </w:tc>
        <w:tc>
          <w:tcPr/>
          <w:p>
            <w:pPr>
              <w:pStyle w:val="Compact"/>
              <w:jc w:val="left"/>
            </w:pPr>
            <w:r>
              <w:t xml:space="preserve">not measured</w:t>
            </w:r>
          </w:p>
        </w:tc>
        <w:tc>
          <w:tcPr/>
          <w:p>
            <w:pPr>
              <w:pStyle w:val="Compact"/>
              <w:jc w:val="left"/>
            </w:pPr>
            <w:r>
              <w:t xml:space="preserve">—</w:t>
            </w:r>
          </w:p>
        </w:tc>
      </w:tr>
    </w:tbl>
    <w:p>
      <w:pPr>
        <w:pStyle w:val="BodyText"/>
      </w:pPr>
      <w:r>
        <w:t xml:space="preserve">Rows marked</w:t>
      </w:r>
      <w:r>
        <w:t xml:space="preserve"> </w:t>
      </w:r>
      <w:r>
        <w:t xml:space="preserve">“not measured”</w:t>
      </w:r>
      <w:r>
        <w:t xml:space="preserve"> </w:t>
      </w:r>
      <w:r>
        <w:t xml:space="preserve">have no data in this study and must not be read as null results. The mismatch-tolerance row is asymmetric for a measured reason (F3): the enzyme mode’s exact-first counting rule suppresses the near-neighbor search that becomes the sketch mode’s rescue channel at scale ~100. Sketch-side scaffolding and sketch mismatch tolerance rest on a rule-based port/simulation respectively, not on shipped CLI modes (F3/F4 REVIEW caveats).</w:t>
      </w:r>
    </w:p>
    <w:p>
      <w:pPr>
        <w:pStyle w:val="BodyText"/>
      </w:pPr>
      <w:r>
        <w:rPr>
          <w:b/>
          <w:bCs/>
        </w:rPr>
        <w:t xml:space="preserve">Table 10. Metagenome results: Sun fecal-cohort concordance, the real-2bRAD dedup finding, and the C5 RBC application</w:t>
      </w:r>
    </w:p>
    <w:p>
      <w:pPr>
        <w:pStyle w:val="BodyText"/>
      </w:pPr>
      <w:r>
        <w:rPr>
          <w:b/>
          <w:bCs/>
        </w:rPr>
        <w:t xml:space="preserve">(a) Sun fecal cohort (PRJNA689204): cross-method agreement on the WGS arms</w:t>
      </w:r>
    </w:p>
    <w:tbl>
      <w:tblPr>
        <w:tblStyle w:val="Table"/>
        <w:tblW w:type="pct" w:w="5000"/>
        <w:tblLayout w:type="fixed"/>
        <w:tblLook w:firstRow="1" w:lastRow="0" w:firstColumn="0" w:lastColumn="0" w:noHBand="0" w:noVBand="0" w:val="0020"/>
      </w:tblPr>
      <w:tblGrid>
        <w:gridCol w:w="1103"/>
        <w:gridCol w:w="649"/>
        <w:gridCol w:w="324"/>
        <w:gridCol w:w="843"/>
        <w:gridCol w:w="454"/>
        <w:gridCol w:w="519"/>
        <w:gridCol w:w="649"/>
        <w:gridCol w:w="649"/>
        <w:gridCol w:w="1428"/>
        <w:gridCol w:w="1298"/>
      </w:tblGrid>
      <w:tr>
        <w:trPr>
          <w:tblHeader w:val="on"/>
        </w:trPr>
        <w:tc>
          <w:tcPr/>
          <w:p>
            <w:pPr>
              <w:pStyle w:val="Compact"/>
              <w:jc w:val="left"/>
            </w:pPr>
            <w:r>
              <w:t xml:space="preserve">comparison</w:t>
            </w:r>
          </w:p>
        </w:tc>
        <w:tc>
          <w:tcPr/>
          <w:p>
            <w:pPr>
              <w:pStyle w:val="Compact"/>
              <w:jc w:val="left"/>
            </w:pPr>
            <w:r>
              <w:t xml:space="preserve">sample</w:t>
            </w:r>
          </w:p>
        </w:tc>
        <w:tc>
          <w:tcPr/>
          <w:p>
            <w:pPr>
              <w:pStyle w:val="Compact"/>
              <w:jc w:val="right"/>
            </w:pPr>
            <w:r>
              <w:t xml:space="preserve">n</w:t>
            </w:r>
          </w:p>
        </w:tc>
        <w:tc>
          <w:tcPr/>
          <w:p>
            <w:pPr>
              <w:pStyle w:val="Compact"/>
              <w:jc w:val="right"/>
            </w:pPr>
            <w:r>
              <w:t xml:space="preserve">pearson_r</w:t>
            </w:r>
          </w:p>
        </w:tc>
        <w:tc>
          <w:tcPr/>
          <w:p>
            <w:pPr>
              <w:pStyle w:val="Compact"/>
              <w:jc w:val="right"/>
            </w:pPr>
            <w:r>
              <w:t xml:space="preserve">ccc</w:t>
            </w:r>
          </w:p>
        </w:tc>
        <w:tc>
          <w:tcPr/>
          <w:p>
            <w:pPr>
              <w:pStyle w:val="Compact"/>
              <w:jc w:val="right"/>
            </w:pPr>
            <w:r>
              <w:t xml:space="preserve">bias</w:t>
            </w:r>
          </w:p>
        </w:tc>
        <w:tc>
          <w:tcPr/>
          <w:p>
            <w:pPr>
              <w:pStyle w:val="Compact"/>
              <w:jc w:val="right"/>
            </w:pPr>
            <w:r>
              <w:t xml:space="preserve">loa_lo</w:t>
            </w:r>
          </w:p>
        </w:tc>
        <w:tc>
          <w:tcPr/>
          <w:p>
            <w:pPr>
              <w:pStyle w:val="Compact"/>
              <w:jc w:val="right"/>
            </w:pPr>
            <w:r>
              <w:t xml:space="preserve">loa_hi</w:t>
            </w:r>
          </w:p>
        </w:tc>
        <w:tc>
          <w:tcPr/>
          <w:p>
            <w:pPr>
              <w:pStyle w:val="Compact"/>
              <w:jc w:val="left"/>
            </w:pPr>
            <w:r>
              <w:t xml:space="preserve">sk2bgrow_wgs_range</w:t>
            </w:r>
          </w:p>
        </w:tc>
        <w:tc>
          <w:tcPr/>
          <w:p>
            <w:pPr>
              <w:pStyle w:val="Compact"/>
              <w:jc w:val="left"/>
            </w:pPr>
            <w:r>
              <w:t xml:space="preserve">comparator_range</w:t>
            </w:r>
          </w:p>
        </w:tc>
      </w:tr>
      <w:tr>
        <w:tc>
          <w:tcPr/>
          <w:p>
            <w:pPr>
              <w:pStyle w:val="Compact"/>
              <w:jc w:val="left"/>
            </w:pPr>
            <w:r>
              <w:t xml:space="preserve">A_default_vs_B</w:t>
            </w:r>
          </w:p>
        </w:tc>
        <w:tc>
          <w:tcPr/>
          <w:p>
            <w:pPr>
              <w:pStyle w:val="Compact"/>
              <w:jc w:val="left"/>
            </w:pPr>
            <w:r>
              <w:t xml:space="preserve">S01</w:t>
            </w:r>
          </w:p>
        </w:tc>
        <w:tc>
          <w:tcPr/>
          <w:p>
            <w:pPr>
              <w:pStyle w:val="Compact"/>
              <w:jc w:val="right"/>
            </w:pPr>
            <w:r>
              <w:t xml:space="preserve">58</w:t>
            </w:r>
          </w:p>
        </w:tc>
        <w:tc>
          <w:tcPr/>
          <w:p>
            <w:pPr>
              <w:pStyle w:val="Compact"/>
              <w:jc w:val="right"/>
            </w:pPr>
            <w:r>
              <w:t xml:space="preserve">0.431</w:t>
            </w:r>
          </w:p>
        </w:tc>
        <w:tc>
          <w:tcPr/>
          <w:p>
            <w:pPr>
              <w:pStyle w:val="Compact"/>
              <w:jc w:val="right"/>
            </w:pPr>
            <w:r>
              <w:t xml:space="preserve">0.313</w:t>
            </w:r>
          </w:p>
        </w:tc>
        <w:tc>
          <w:tcPr/>
          <w:p>
            <w:pPr>
              <w:pStyle w:val="Compact"/>
              <w:jc w:val="right"/>
            </w:pPr>
            <w:r>
              <w:t xml:space="preserve">0.247</w:t>
            </w:r>
          </w:p>
        </w:tc>
        <w:tc>
          <w:tcPr/>
          <w:p>
            <w:pPr>
              <w:pStyle w:val="Compact"/>
              <w:jc w:val="right"/>
            </w:pPr>
            <w:r>
              <w:t xml:space="preserve">-0.418</w:t>
            </w:r>
          </w:p>
        </w:tc>
        <w:tc>
          <w:tcPr/>
          <w:p>
            <w:pPr>
              <w:pStyle w:val="Compact"/>
              <w:jc w:val="right"/>
            </w:pPr>
            <w:r>
              <w:t xml:space="preserve">0.913</w:t>
            </w:r>
          </w:p>
        </w:tc>
        <w:tc>
          <w:tcPr/>
          <w:p>
            <w:pPr>
              <w:pStyle w:val="Compact"/>
              <w:jc w:val="left"/>
            </w:pPr>
            <w:r>
              <w:t xml:space="preserve">0.04..1.45</w:t>
            </w:r>
          </w:p>
        </w:tc>
        <w:tc>
          <w:tcPr/>
          <w:p>
            <w:pPr>
              <w:pStyle w:val="Compact"/>
              <w:jc w:val="left"/>
            </w:pPr>
            <w:r>
              <w:t xml:space="preserve">0.32..1.74</w:t>
            </w:r>
          </w:p>
        </w:tc>
      </w:tr>
      <w:tr>
        <w:tc>
          <w:tcPr/>
          <w:p>
            <w:pPr>
              <w:pStyle w:val="Compact"/>
              <w:jc w:val="left"/>
            </w:pPr>
            <w:r>
              <w:t xml:space="preserve">A_default_vs_B</w:t>
            </w:r>
          </w:p>
        </w:tc>
        <w:tc>
          <w:tcPr/>
          <w:p>
            <w:pPr>
              <w:pStyle w:val="Compact"/>
              <w:jc w:val="left"/>
            </w:pPr>
            <w:r>
              <w:t xml:space="preserve">S06</w:t>
            </w:r>
          </w:p>
        </w:tc>
        <w:tc>
          <w:tcPr/>
          <w:p>
            <w:pPr>
              <w:pStyle w:val="Compact"/>
              <w:jc w:val="right"/>
            </w:pPr>
            <w:r>
              <w:t xml:space="preserve">68</w:t>
            </w:r>
          </w:p>
        </w:tc>
        <w:tc>
          <w:tcPr/>
          <w:p>
            <w:pPr>
              <w:pStyle w:val="Compact"/>
              <w:jc w:val="right"/>
            </w:pPr>
            <w:r>
              <w:t xml:space="preserve">0.344</w:t>
            </w:r>
          </w:p>
        </w:tc>
        <w:tc>
          <w:tcPr/>
          <w:p>
            <w:pPr>
              <w:pStyle w:val="Compact"/>
              <w:jc w:val="right"/>
            </w:pPr>
            <w:r>
              <w:t xml:space="preserve">0.253</w:t>
            </w:r>
          </w:p>
        </w:tc>
        <w:tc>
          <w:tcPr/>
          <w:p>
            <w:pPr>
              <w:pStyle w:val="Compact"/>
              <w:jc w:val="right"/>
            </w:pPr>
            <w:r>
              <w:t xml:space="preserve">0.222</w:t>
            </w:r>
          </w:p>
        </w:tc>
        <w:tc>
          <w:tcPr/>
          <w:p>
            <w:pPr>
              <w:pStyle w:val="Compact"/>
              <w:jc w:val="right"/>
            </w:pPr>
            <w:r>
              <w:t xml:space="preserve">-0.445</w:t>
            </w:r>
          </w:p>
        </w:tc>
        <w:tc>
          <w:tcPr/>
          <w:p>
            <w:pPr>
              <w:pStyle w:val="Compact"/>
              <w:jc w:val="right"/>
            </w:pPr>
            <w:r>
              <w:t xml:space="preserve">0.888</w:t>
            </w:r>
          </w:p>
        </w:tc>
        <w:tc>
          <w:tcPr/>
          <w:p>
            <w:pPr>
              <w:pStyle w:val="Compact"/>
              <w:jc w:val="left"/>
            </w:pPr>
            <w:r>
              <w:t xml:space="preserve">0.01..1.45</w:t>
            </w:r>
          </w:p>
        </w:tc>
        <w:tc>
          <w:tcPr/>
          <w:p>
            <w:pPr>
              <w:pStyle w:val="Compact"/>
              <w:jc w:val="left"/>
            </w:pPr>
            <w:r>
              <w:t xml:space="preserve">0.28..1.23</w:t>
            </w:r>
          </w:p>
        </w:tc>
      </w:tr>
      <w:tr>
        <w:tc>
          <w:tcPr/>
          <w:p>
            <w:pPr>
              <w:pStyle w:val="Compact"/>
              <w:jc w:val="left"/>
            </w:pPr>
            <w:r>
              <w:t xml:space="preserve">A_default_vs_B</w:t>
            </w:r>
          </w:p>
        </w:tc>
        <w:tc>
          <w:tcPr/>
          <w:p>
            <w:pPr>
              <w:pStyle w:val="Compact"/>
              <w:jc w:val="left"/>
            </w:pPr>
            <w:r>
              <w:t xml:space="preserve">S07</w:t>
            </w:r>
          </w:p>
        </w:tc>
        <w:tc>
          <w:tcPr/>
          <w:p>
            <w:pPr>
              <w:pStyle w:val="Compact"/>
              <w:jc w:val="right"/>
            </w:pPr>
            <w:r>
              <w:t xml:space="preserve">78</w:t>
            </w:r>
          </w:p>
        </w:tc>
        <w:tc>
          <w:tcPr/>
          <w:p>
            <w:pPr>
              <w:pStyle w:val="Compact"/>
              <w:jc w:val="right"/>
            </w:pPr>
            <w:r>
              <w:t xml:space="preserve">0.505</w:t>
            </w:r>
          </w:p>
        </w:tc>
        <w:tc>
          <w:tcPr/>
          <w:p>
            <w:pPr>
              <w:pStyle w:val="Compact"/>
              <w:jc w:val="right"/>
            </w:pPr>
            <w:r>
              <w:t xml:space="preserve">0.368</w:t>
            </w:r>
          </w:p>
        </w:tc>
        <w:tc>
          <w:tcPr/>
          <w:p>
            <w:pPr>
              <w:pStyle w:val="Compact"/>
              <w:jc w:val="right"/>
            </w:pPr>
            <w:r>
              <w:t xml:space="preserve">0.225</w:t>
            </w:r>
          </w:p>
        </w:tc>
        <w:tc>
          <w:tcPr/>
          <w:p>
            <w:pPr>
              <w:pStyle w:val="Compact"/>
              <w:jc w:val="right"/>
            </w:pPr>
            <w:r>
              <w:t xml:space="preserve">-0.433</w:t>
            </w:r>
          </w:p>
        </w:tc>
        <w:tc>
          <w:tcPr/>
          <w:p>
            <w:pPr>
              <w:pStyle w:val="Compact"/>
              <w:jc w:val="right"/>
            </w:pPr>
            <w:r>
              <w:t xml:space="preserve">0.882</w:t>
            </w:r>
          </w:p>
        </w:tc>
        <w:tc>
          <w:tcPr/>
          <w:p>
            <w:pPr>
              <w:pStyle w:val="Compact"/>
              <w:jc w:val="left"/>
            </w:pPr>
            <w:r>
              <w:t xml:space="preserve">0.03..1.49</w:t>
            </w:r>
          </w:p>
        </w:tc>
        <w:tc>
          <w:tcPr/>
          <w:p>
            <w:pPr>
              <w:pStyle w:val="Compact"/>
              <w:jc w:val="left"/>
            </w:pPr>
            <w:r>
              <w:t xml:space="preserve">0.30..1.36</w:t>
            </w:r>
          </w:p>
        </w:tc>
      </w:tr>
      <w:tr>
        <w:tc>
          <w:tcPr/>
          <w:p>
            <w:pPr>
              <w:pStyle w:val="Compact"/>
              <w:jc w:val="left"/>
            </w:pPr>
            <w:r>
              <w:t xml:space="preserve">A_gatesoff_vs_B</w:t>
            </w:r>
          </w:p>
        </w:tc>
        <w:tc>
          <w:tcPr/>
          <w:p>
            <w:pPr>
              <w:pStyle w:val="Compact"/>
              <w:jc w:val="left"/>
            </w:pPr>
            <w:r>
              <w:t xml:space="preserve">S01</w:t>
            </w:r>
          </w:p>
        </w:tc>
        <w:tc>
          <w:tcPr/>
          <w:p>
            <w:pPr>
              <w:pStyle w:val="Compact"/>
              <w:jc w:val="right"/>
            </w:pPr>
            <w:r>
              <w:t xml:space="preserve">381</w:t>
            </w:r>
          </w:p>
        </w:tc>
        <w:tc>
          <w:tcPr/>
          <w:p>
            <w:pPr>
              <w:pStyle w:val="Compact"/>
              <w:jc w:val="right"/>
            </w:pPr>
            <w:r>
              <w:t xml:space="preserve">0.095</w:t>
            </w:r>
          </w:p>
        </w:tc>
        <w:tc>
          <w:tcPr/>
          <w:p>
            <w:pPr>
              <w:pStyle w:val="Compact"/>
              <w:jc w:val="right"/>
            </w:pPr>
            <w:r>
              <w:t xml:space="preserve">0.070</w:t>
            </w:r>
          </w:p>
        </w:tc>
        <w:tc>
          <w:tcPr/>
          <w:p>
            <w:pPr>
              <w:pStyle w:val="Compact"/>
              <w:jc w:val="right"/>
            </w:pPr>
            <w:r>
              <w:t xml:space="preserve">-0.932</w:t>
            </w:r>
          </w:p>
        </w:tc>
        <w:tc>
          <w:tcPr/>
          <w:p>
            <w:pPr>
              <w:pStyle w:val="Compact"/>
              <w:jc w:val="right"/>
            </w:pPr>
            <w:r>
              <w:t xml:space="preserve">-6.363</w:t>
            </w:r>
          </w:p>
        </w:tc>
        <w:tc>
          <w:tcPr/>
          <w:p>
            <w:pPr>
              <w:pStyle w:val="Compact"/>
              <w:jc w:val="right"/>
            </w:pPr>
            <w:r>
              <w:t xml:space="preserve">4.498</w:t>
            </w:r>
          </w:p>
        </w:tc>
        <w:tc>
          <w:tcPr/>
          <w:p>
            <w:pPr>
              <w:pStyle w:val="Compact"/>
              <w:jc w:val="left"/>
            </w:pPr>
            <w:r>
              <w:t xml:space="preserve">0.00..15.86</w:t>
            </w:r>
          </w:p>
        </w:tc>
        <w:tc>
          <w:tcPr/>
          <w:p>
            <w:pPr>
              <w:pStyle w:val="Compact"/>
              <w:jc w:val="left"/>
            </w:pPr>
            <w:r>
              <w:t xml:space="preserve">0.00..13.70</w:t>
            </w:r>
          </w:p>
        </w:tc>
      </w:tr>
      <w:tr>
        <w:tc>
          <w:tcPr/>
          <w:p>
            <w:pPr>
              <w:pStyle w:val="Compact"/>
              <w:jc w:val="left"/>
            </w:pPr>
            <w:r>
              <w:t xml:space="preserve">A_gatesoff_vs_B</w:t>
            </w:r>
          </w:p>
        </w:tc>
        <w:tc>
          <w:tcPr/>
          <w:p>
            <w:pPr>
              <w:pStyle w:val="Compact"/>
              <w:jc w:val="left"/>
            </w:pPr>
            <w:r>
              <w:t xml:space="preserve">S06</w:t>
            </w:r>
          </w:p>
        </w:tc>
        <w:tc>
          <w:tcPr/>
          <w:p>
            <w:pPr>
              <w:pStyle w:val="Compact"/>
              <w:jc w:val="right"/>
            </w:pPr>
            <w:r>
              <w:t xml:space="preserve">459</w:t>
            </w:r>
          </w:p>
        </w:tc>
        <w:tc>
          <w:tcPr/>
          <w:p>
            <w:pPr>
              <w:pStyle w:val="Compact"/>
              <w:jc w:val="right"/>
            </w:pPr>
            <w:r>
              <w:t xml:space="preserve">0.005</w:t>
            </w:r>
          </w:p>
        </w:tc>
        <w:tc>
          <w:tcPr/>
          <w:p>
            <w:pPr>
              <w:pStyle w:val="Compact"/>
              <w:jc w:val="right"/>
            </w:pPr>
            <w:r>
              <w:t xml:space="preserve">0.003</w:t>
            </w:r>
          </w:p>
        </w:tc>
        <w:tc>
          <w:tcPr/>
          <w:p>
            <w:pPr>
              <w:pStyle w:val="Compact"/>
              <w:jc w:val="right"/>
            </w:pPr>
            <w:r>
              <w:t xml:space="preserve">-1.153</w:t>
            </w:r>
          </w:p>
        </w:tc>
        <w:tc>
          <w:tcPr/>
          <w:p>
            <w:pPr>
              <w:pStyle w:val="Compact"/>
              <w:jc w:val="right"/>
            </w:pPr>
            <w:r>
              <w:t xml:space="preserve">-7.812</w:t>
            </w:r>
          </w:p>
        </w:tc>
        <w:tc>
          <w:tcPr/>
          <w:p>
            <w:pPr>
              <w:pStyle w:val="Compact"/>
              <w:jc w:val="right"/>
            </w:pPr>
            <w:r>
              <w:t xml:space="preserve">5.505</w:t>
            </w:r>
          </w:p>
        </w:tc>
        <w:tc>
          <w:tcPr/>
          <w:p>
            <w:pPr>
              <w:pStyle w:val="Compact"/>
              <w:jc w:val="left"/>
            </w:pPr>
            <w:r>
              <w:t xml:space="preserve">0.01..35.46</w:t>
            </w:r>
          </w:p>
        </w:tc>
        <w:tc>
          <w:tcPr/>
          <w:p>
            <w:pPr>
              <w:pStyle w:val="Compact"/>
              <w:jc w:val="left"/>
            </w:pPr>
            <w:r>
              <w:t xml:space="preserve">0.00..8.00</w:t>
            </w:r>
          </w:p>
        </w:tc>
      </w:tr>
      <w:tr>
        <w:tc>
          <w:tcPr/>
          <w:p>
            <w:pPr>
              <w:pStyle w:val="Compact"/>
              <w:jc w:val="left"/>
            </w:pPr>
            <w:r>
              <w:t xml:space="preserve">A_gatesoff_vs_B</w:t>
            </w:r>
          </w:p>
        </w:tc>
        <w:tc>
          <w:tcPr/>
          <w:p>
            <w:pPr>
              <w:pStyle w:val="Compact"/>
              <w:jc w:val="left"/>
            </w:pPr>
            <w:r>
              <w:t xml:space="preserve">S07</w:t>
            </w:r>
          </w:p>
        </w:tc>
        <w:tc>
          <w:tcPr/>
          <w:p>
            <w:pPr>
              <w:pStyle w:val="Compact"/>
              <w:jc w:val="right"/>
            </w:pPr>
            <w:r>
              <w:t xml:space="preserve">403</w:t>
            </w:r>
          </w:p>
        </w:tc>
        <w:tc>
          <w:tcPr/>
          <w:p>
            <w:pPr>
              <w:pStyle w:val="Compact"/>
              <w:jc w:val="right"/>
            </w:pPr>
            <w:r>
              <w:t xml:space="preserve">0.046</w:t>
            </w:r>
          </w:p>
        </w:tc>
        <w:tc>
          <w:tcPr/>
          <w:p>
            <w:pPr>
              <w:pStyle w:val="Compact"/>
              <w:jc w:val="right"/>
            </w:pPr>
            <w:r>
              <w:t xml:space="preserve">0.026</w:t>
            </w:r>
          </w:p>
        </w:tc>
        <w:tc>
          <w:tcPr/>
          <w:p>
            <w:pPr>
              <w:pStyle w:val="Compact"/>
              <w:jc w:val="right"/>
            </w:pPr>
            <w:r>
              <w:t xml:space="preserve">-1.238</w:t>
            </w:r>
          </w:p>
        </w:tc>
        <w:tc>
          <w:tcPr/>
          <w:p>
            <w:pPr>
              <w:pStyle w:val="Compact"/>
              <w:jc w:val="right"/>
            </w:pPr>
            <w:r>
              <w:t xml:space="preserve">-7.561</w:t>
            </w:r>
          </w:p>
        </w:tc>
        <w:tc>
          <w:tcPr/>
          <w:p>
            <w:pPr>
              <w:pStyle w:val="Compact"/>
              <w:jc w:val="right"/>
            </w:pPr>
            <w:r>
              <w:t xml:space="preserve">5.087</w:t>
            </w:r>
          </w:p>
        </w:tc>
        <w:tc>
          <w:tcPr/>
          <w:p>
            <w:pPr>
              <w:pStyle w:val="Compact"/>
              <w:jc w:val="left"/>
            </w:pPr>
            <w:r>
              <w:t xml:space="preserve">0.00..27.21</w:t>
            </w:r>
          </w:p>
        </w:tc>
        <w:tc>
          <w:tcPr/>
          <w:p>
            <w:pPr>
              <w:pStyle w:val="Compact"/>
              <w:jc w:val="left"/>
            </w:pPr>
            <w:r>
              <w:t xml:space="preserve">0.00..10.85</w:t>
            </w:r>
          </w:p>
        </w:tc>
      </w:tr>
    </w:tbl>
    <w:p>
      <w:pPr>
        <w:pStyle w:val="BodyText"/>
      </w:pPr>
      <w:r>
        <w:rPr>
          <w:b/>
          <w:bCs/>
        </w:rPr>
        <w:t xml:space="preserve">(b) Same cohort, in-silico vs real 2bRAD library (same method, two preparations)</w:t>
      </w:r>
    </w:p>
    <w:tbl>
      <w:tblPr>
        <w:tblStyle w:val="Table"/>
        <w:tblW w:type="pct" w:w="5000"/>
        <w:tblLayout w:type="fixed"/>
        <w:tblLook w:firstRow="1" w:lastRow="0" w:firstColumn="0" w:lastColumn="0" w:noHBand="0" w:noVBand="0" w:val="0020"/>
      </w:tblPr>
      <w:tblGrid>
        <w:gridCol w:w="1320"/>
        <w:gridCol w:w="628"/>
        <w:gridCol w:w="314"/>
        <w:gridCol w:w="817"/>
        <w:gridCol w:w="440"/>
        <w:gridCol w:w="502"/>
        <w:gridCol w:w="628"/>
        <w:gridCol w:w="628"/>
        <w:gridCol w:w="1382"/>
        <w:gridCol w:w="1257"/>
      </w:tblGrid>
      <w:tr>
        <w:trPr>
          <w:tblHeader w:val="on"/>
        </w:trPr>
        <w:tc>
          <w:tcPr/>
          <w:p>
            <w:pPr>
              <w:pStyle w:val="Compact"/>
              <w:jc w:val="left"/>
            </w:pPr>
            <w:r>
              <w:t xml:space="preserve">arm</w:t>
            </w:r>
          </w:p>
        </w:tc>
        <w:tc>
          <w:tcPr/>
          <w:p>
            <w:pPr>
              <w:pStyle w:val="Compact"/>
              <w:jc w:val="left"/>
            </w:pPr>
            <w:r>
              <w:t xml:space="preserve">sample</w:t>
            </w:r>
          </w:p>
        </w:tc>
        <w:tc>
          <w:tcPr/>
          <w:p>
            <w:pPr>
              <w:pStyle w:val="Compact"/>
              <w:jc w:val="right"/>
            </w:pPr>
            <w:r>
              <w:t xml:space="preserve">n</w:t>
            </w:r>
          </w:p>
        </w:tc>
        <w:tc>
          <w:tcPr/>
          <w:p>
            <w:pPr>
              <w:pStyle w:val="Compact"/>
              <w:jc w:val="right"/>
            </w:pPr>
            <w:r>
              <w:t xml:space="preserve">pearson_r</w:t>
            </w:r>
          </w:p>
        </w:tc>
        <w:tc>
          <w:tcPr/>
          <w:p>
            <w:pPr>
              <w:pStyle w:val="Compact"/>
              <w:jc w:val="right"/>
            </w:pPr>
            <w:r>
              <w:t xml:space="preserve">ccc</w:t>
            </w:r>
          </w:p>
        </w:tc>
        <w:tc>
          <w:tcPr/>
          <w:p>
            <w:pPr>
              <w:pStyle w:val="Compact"/>
              <w:jc w:val="right"/>
            </w:pPr>
            <w:r>
              <w:t xml:space="preserve">bias</w:t>
            </w:r>
          </w:p>
        </w:tc>
        <w:tc>
          <w:tcPr/>
          <w:p>
            <w:pPr>
              <w:pStyle w:val="Compact"/>
              <w:jc w:val="right"/>
            </w:pPr>
            <w:r>
              <w:t xml:space="preserve">loa_lo</w:t>
            </w:r>
          </w:p>
        </w:tc>
        <w:tc>
          <w:tcPr/>
          <w:p>
            <w:pPr>
              <w:pStyle w:val="Compact"/>
              <w:jc w:val="right"/>
            </w:pPr>
            <w:r>
              <w:t xml:space="preserve">loa_hi</w:t>
            </w:r>
          </w:p>
        </w:tc>
        <w:tc>
          <w:tcPr/>
          <w:p>
            <w:pPr>
              <w:pStyle w:val="Compact"/>
              <w:jc w:val="left"/>
            </w:pPr>
            <w:r>
              <w:t xml:space="preserve">sk2bgrow_wgs_range</w:t>
            </w:r>
          </w:p>
        </w:tc>
        <w:tc>
          <w:tcPr/>
          <w:p>
            <w:pPr>
              <w:pStyle w:val="Compact"/>
              <w:jc w:val="left"/>
            </w:pPr>
            <w:r>
              <w:t xml:space="preserve">comparator_range</w:t>
            </w:r>
          </w:p>
        </w:tc>
      </w:tr>
      <w:tr>
        <w:tc>
          <w:tcPr/>
          <w:p>
            <w:pPr>
              <w:pStyle w:val="Compact"/>
              <w:jc w:val="left"/>
            </w:pPr>
            <w:r>
              <w:t xml:space="preserve">real 2bRAD, deduped</w:t>
            </w:r>
          </w:p>
        </w:tc>
        <w:tc>
          <w:tcPr/>
          <w:p>
            <w:pPr>
              <w:pStyle w:val="Compact"/>
              <w:jc w:val="left"/>
            </w:pPr>
            <w:r>
              <w:t xml:space="preserve">S01</w:t>
            </w:r>
          </w:p>
        </w:tc>
        <w:tc>
          <w:tcPr/>
          <w:p>
            <w:pPr>
              <w:pStyle w:val="Compact"/>
              <w:jc w:val="right"/>
            </w:pPr>
            <w:r>
              <w:t xml:space="preserve">18</w:t>
            </w:r>
          </w:p>
        </w:tc>
        <w:tc>
          <w:tcPr/>
          <w:p>
            <w:pPr>
              <w:pStyle w:val="Compact"/>
              <w:jc w:val="right"/>
            </w:pPr>
            <w:r>
              <w:t xml:space="preserve">0.297</w:t>
            </w:r>
          </w:p>
        </w:tc>
        <w:tc>
          <w:tcPr/>
          <w:p>
            <w:pPr>
              <w:pStyle w:val="Compact"/>
              <w:jc w:val="right"/>
            </w:pPr>
            <w:r>
              <w:t xml:space="preserve">0.186</w:t>
            </w:r>
          </w:p>
        </w:tc>
        <w:tc>
          <w:tcPr/>
          <w:p>
            <w:pPr>
              <w:pStyle w:val="Compact"/>
              <w:jc w:val="right"/>
            </w:pPr>
            <w:r>
              <w:t xml:space="preserve">-0.730</w:t>
            </w:r>
          </w:p>
        </w:tc>
        <w:tc>
          <w:tcPr/>
          <w:p>
            <w:pPr>
              <w:pStyle w:val="Compact"/>
              <w:jc w:val="right"/>
            </w:pPr>
            <w:r>
              <w:t xml:space="preserve">-4.446</w:t>
            </w:r>
          </w:p>
        </w:tc>
        <w:tc>
          <w:tcPr/>
          <w:p>
            <w:pPr>
              <w:pStyle w:val="Compact"/>
              <w:jc w:val="right"/>
            </w:pPr>
            <w:r>
              <w:t xml:space="preserve">2.986</w:t>
            </w:r>
          </w:p>
        </w:tc>
        <w:tc>
          <w:tcPr/>
          <w:p>
            <w:pPr>
              <w:pStyle w:val="Compact"/>
              <w:jc w:val="left"/>
            </w:pPr>
            <w:r>
              <w:t xml:space="preserve">0.08..7.73</w:t>
            </w:r>
          </w:p>
        </w:tc>
        <w:tc>
          <w:tcPr/>
          <w:p>
            <w:pPr>
              <w:pStyle w:val="Compact"/>
              <w:jc w:val="left"/>
            </w:pPr>
            <w:r>
              <w:t xml:space="preserve">0.04..2.55</w:t>
            </w:r>
          </w:p>
        </w:tc>
      </w:tr>
      <w:tr>
        <w:tc>
          <w:tcPr/>
          <w:p>
            <w:pPr>
              <w:pStyle w:val="Compact"/>
              <w:jc w:val="left"/>
            </w:pPr>
            <w:r>
              <w:t xml:space="preserve">real 2bRAD, deduped</w:t>
            </w:r>
          </w:p>
        </w:tc>
        <w:tc>
          <w:tcPr/>
          <w:p>
            <w:pPr>
              <w:pStyle w:val="Compact"/>
              <w:jc w:val="left"/>
            </w:pPr>
            <w:r>
              <w:t xml:space="preserve">S06</w:t>
            </w:r>
          </w:p>
        </w:tc>
        <w:tc>
          <w:tcPr/>
          <w:p>
            <w:pPr>
              <w:pStyle w:val="Compact"/>
              <w:jc w:val="right"/>
            </w:pPr>
            <w:r>
              <w:t xml:space="preserve">18</w:t>
            </w:r>
          </w:p>
        </w:tc>
        <w:tc>
          <w:tcPr/>
          <w:p>
            <w:pPr>
              <w:pStyle w:val="Compact"/>
              <w:jc w:val="right"/>
            </w:pPr>
            <w:r>
              <w:t xml:space="preserve">0.435</w:t>
            </w:r>
          </w:p>
        </w:tc>
        <w:tc>
          <w:tcPr/>
          <w:p>
            <w:pPr>
              <w:pStyle w:val="Compact"/>
              <w:jc w:val="right"/>
            </w:pPr>
            <w:r>
              <w:t xml:space="preserve">0.192</w:t>
            </w:r>
          </w:p>
        </w:tc>
        <w:tc>
          <w:tcPr/>
          <w:p>
            <w:pPr>
              <w:pStyle w:val="Compact"/>
              <w:jc w:val="right"/>
            </w:pPr>
            <w:r>
              <w:t xml:space="preserve">-1.210</w:t>
            </w:r>
          </w:p>
        </w:tc>
        <w:tc>
          <w:tcPr/>
          <w:p>
            <w:pPr>
              <w:pStyle w:val="Compact"/>
              <w:jc w:val="right"/>
            </w:pPr>
            <w:r>
              <w:t xml:space="preserve">-6.452</w:t>
            </w:r>
          </w:p>
        </w:tc>
        <w:tc>
          <w:tcPr/>
          <w:p>
            <w:pPr>
              <w:pStyle w:val="Compact"/>
              <w:jc w:val="right"/>
            </w:pPr>
            <w:r>
              <w:t xml:space="preserve">4.030</w:t>
            </w:r>
          </w:p>
        </w:tc>
        <w:tc>
          <w:tcPr/>
          <w:p>
            <w:pPr>
              <w:pStyle w:val="Compact"/>
              <w:jc w:val="left"/>
            </w:pPr>
            <w:r>
              <w:t xml:space="preserve">0.14..10.84</w:t>
            </w:r>
          </w:p>
        </w:tc>
        <w:tc>
          <w:tcPr/>
          <w:p>
            <w:pPr>
              <w:pStyle w:val="Compact"/>
              <w:jc w:val="left"/>
            </w:pPr>
            <w:r>
              <w:t xml:space="preserve">0.05..2.33</w:t>
            </w:r>
          </w:p>
        </w:tc>
      </w:tr>
      <w:tr>
        <w:tc>
          <w:tcPr/>
          <w:p>
            <w:pPr>
              <w:pStyle w:val="Compact"/>
              <w:jc w:val="left"/>
            </w:pPr>
            <w:r>
              <w:t xml:space="preserve">real 2bRAD, deduped</w:t>
            </w:r>
          </w:p>
        </w:tc>
        <w:tc>
          <w:tcPr/>
          <w:p>
            <w:pPr>
              <w:pStyle w:val="Compact"/>
              <w:jc w:val="left"/>
            </w:pPr>
            <w:r>
              <w:t xml:space="preserve">S07</w:t>
            </w:r>
          </w:p>
        </w:tc>
        <w:tc>
          <w:tcPr/>
          <w:p>
            <w:pPr>
              <w:pStyle w:val="Compact"/>
              <w:jc w:val="right"/>
            </w:pPr>
            <w:r>
              <w:t xml:space="preserve">20</w:t>
            </w:r>
          </w:p>
        </w:tc>
        <w:tc>
          <w:tcPr/>
          <w:p>
            <w:pPr>
              <w:pStyle w:val="Compact"/>
              <w:jc w:val="right"/>
            </w:pPr>
            <w:r>
              <w:t xml:space="preserve">0.604</w:t>
            </w:r>
          </w:p>
        </w:tc>
        <w:tc>
          <w:tcPr/>
          <w:p>
            <w:pPr>
              <w:pStyle w:val="Compact"/>
              <w:jc w:val="right"/>
            </w:pPr>
            <w:r>
              <w:t xml:space="preserve">0.308</w:t>
            </w:r>
          </w:p>
        </w:tc>
        <w:tc>
          <w:tcPr/>
          <w:p>
            <w:pPr>
              <w:pStyle w:val="Compact"/>
              <w:jc w:val="right"/>
            </w:pPr>
            <w:r>
              <w:t xml:space="preserve">-0.631</w:t>
            </w:r>
          </w:p>
        </w:tc>
        <w:tc>
          <w:tcPr/>
          <w:p>
            <w:pPr>
              <w:pStyle w:val="Compact"/>
              <w:jc w:val="right"/>
            </w:pPr>
            <w:r>
              <w:t xml:space="preserve">-5.568</w:t>
            </w:r>
          </w:p>
        </w:tc>
        <w:tc>
          <w:tcPr/>
          <w:p>
            <w:pPr>
              <w:pStyle w:val="Compact"/>
              <w:jc w:val="right"/>
            </w:pPr>
            <w:r>
              <w:t xml:space="preserve">4.306</w:t>
            </w:r>
          </w:p>
        </w:tc>
        <w:tc>
          <w:tcPr/>
          <w:p>
            <w:pPr>
              <w:pStyle w:val="Compact"/>
              <w:jc w:val="left"/>
            </w:pPr>
            <w:r>
              <w:t xml:space="preserve">0.03..10.45</w:t>
            </w:r>
          </w:p>
        </w:tc>
        <w:tc>
          <w:tcPr/>
          <w:p>
            <w:pPr>
              <w:pStyle w:val="Compact"/>
              <w:jc w:val="left"/>
            </w:pPr>
            <w:r>
              <w:t xml:space="preserve">0.17..3.16</w:t>
            </w:r>
          </w:p>
        </w:tc>
      </w:tr>
      <w:tr>
        <w:tc>
          <w:tcPr/>
          <w:p>
            <w:pPr>
              <w:pStyle w:val="Compact"/>
              <w:jc w:val="left"/>
            </w:pPr>
            <w:r>
              <w:t xml:space="preserve">real 2bRAD, deduped</w:t>
            </w:r>
          </w:p>
        </w:tc>
        <w:tc>
          <w:tcPr/>
          <w:p>
            <w:pPr>
              <w:pStyle w:val="Compact"/>
              <w:jc w:val="left"/>
            </w:pPr>
            <w:r>
              <w:t xml:space="preserve">ALL</w:t>
            </w:r>
          </w:p>
        </w:tc>
        <w:tc>
          <w:tcPr/>
          <w:p>
            <w:pPr>
              <w:pStyle w:val="Compact"/>
              <w:jc w:val="right"/>
            </w:pPr>
            <w:r>
              <w:t xml:space="preserve">56</w:t>
            </w:r>
          </w:p>
        </w:tc>
        <w:tc>
          <w:tcPr/>
          <w:p>
            <w:pPr>
              <w:pStyle w:val="Compact"/>
              <w:jc w:val="right"/>
            </w:pPr>
            <w:r>
              <w:t xml:space="preserve">0.455</w:t>
            </w:r>
          </w:p>
        </w:tc>
        <w:tc>
          <w:tcPr/>
          <w:p>
            <w:pPr>
              <w:pStyle w:val="Compact"/>
              <w:jc w:val="right"/>
            </w:pPr>
            <w:r>
              <w:t xml:space="preserve">0.238</w:t>
            </w:r>
          </w:p>
        </w:tc>
        <w:tc>
          <w:tcPr/>
          <w:p>
            <w:pPr>
              <w:pStyle w:val="Compact"/>
              <w:jc w:val="right"/>
            </w:pPr>
            <w:r>
              <w:t xml:space="preserve">-0.849</w:t>
            </w:r>
          </w:p>
        </w:tc>
        <w:tc>
          <w:tcPr/>
          <w:p>
            <w:pPr>
              <w:pStyle w:val="Compact"/>
              <w:jc w:val="right"/>
            </w:pPr>
            <w:r>
              <w:t xml:space="preserve">-5.478</w:t>
            </w:r>
          </w:p>
        </w:tc>
        <w:tc>
          <w:tcPr/>
          <w:p>
            <w:pPr>
              <w:pStyle w:val="Compact"/>
              <w:jc w:val="right"/>
            </w:pPr>
            <w:r>
              <w:t xml:space="preserve">3.780</w:t>
            </w:r>
          </w:p>
        </w:tc>
        <w:tc>
          <w:tcPr/>
          <w:p>
            <w:pPr>
              <w:pStyle w:val="Compact"/>
              <w:jc w:val="left"/>
            </w:pPr>
            <w:r>
              <w:t xml:space="preserve">0.03..10.84</w:t>
            </w:r>
          </w:p>
        </w:tc>
        <w:tc>
          <w:tcPr/>
          <w:p>
            <w:pPr>
              <w:pStyle w:val="Compact"/>
              <w:jc w:val="left"/>
            </w:pPr>
            <w:r>
              <w:t xml:space="preserve">0.04..3.16</w:t>
            </w:r>
          </w:p>
        </w:tc>
      </w:tr>
      <w:tr>
        <w:tc>
          <w:tcPr/>
          <w:p>
            <w:pPr>
              <w:pStyle w:val="Compact"/>
              <w:jc w:val="left"/>
            </w:pPr>
            <w:r>
              <w:t xml:space="preserve">real 2bRAD, raw</w:t>
            </w:r>
          </w:p>
        </w:tc>
        <w:tc>
          <w:tcPr/>
          <w:p>
            <w:pPr>
              <w:pStyle w:val="Compact"/>
              <w:jc w:val="left"/>
            </w:pPr>
            <w:r>
              <w:t xml:space="preserve">S01</w:t>
            </w:r>
          </w:p>
        </w:tc>
        <w:tc>
          <w:tcPr/>
          <w:p>
            <w:pPr>
              <w:pStyle w:val="Compact"/>
              <w:jc w:val="right"/>
            </w:pPr>
            <w:r>
              <w:t xml:space="preserve">8</w:t>
            </w:r>
          </w:p>
        </w:tc>
        <w:tc>
          <w:tcPr/>
          <w:p>
            <w:pPr>
              <w:pStyle w:val="Compact"/>
              <w:jc w:val="right"/>
            </w:pPr>
            <w:r>
              <w:t xml:space="preserve">0.449</w:t>
            </w:r>
          </w:p>
        </w:tc>
        <w:tc>
          <w:tcPr/>
          <w:p>
            <w:pPr>
              <w:pStyle w:val="Compact"/>
              <w:jc w:val="right"/>
            </w:pPr>
            <w:r>
              <w:t xml:space="preserve">0.440</w:t>
            </w:r>
          </w:p>
        </w:tc>
        <w:tc>
          <w:tcPr/>
          <w:p>
            <w:pPr>
              <w:pStyle w:val="Compact"/>
              <w:jc w:val="right"/>
            </w:pPr>
            <w:r>
              <w:t xml:space="preserve">-0.230</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real 2bRAD, raw</w:t>
            </w:r>
          </w:p>
        </w:tc>
        <w:tc>
          <w:tcPr/>
          <w:p>
            <w:pPr>
              <w:pStyle w:val="Compact"/>
              <w:jc w:val="left"/>
            </w:pPr>
            <w:r>
              <w:t xml:space="preserve">S06</w:t>
            </w:r>
          </w:p>
        </w:tc>
        <w:tc>
          <w:tcPr/>
          <w:p>
            <w:pPr>
              <w:pStyle w:val="Compact"/>
              <w:jc w:val="right"/>
            </w:pPr>
            <w:r>
              <w:t xml:space="preserve">10</w:t>
            </w:r>
          </w:p>
        </w:tc>
        <w:tc>
          <w:tcPr/>
          <w:p>
            <w:pPr>
              <w:pStyle w:val="Compact"/>
              <w:jc w:val="right"/>
            </w:pPr>
            <w:r>
              <w:t xml:space="preserve">0.797</w:t>
            </w:r>
          </w:p>
        </w:tc>
        <w:tc>
          <w:tcPr/>
          <w:p>
            <w:pPr>
              <w:pStyle w:val="Compact"/>
              <w:jc w:val="right"/>
            </w:pPr>
            <w:r>
              <w:t xml:space="preserve">0.728</w:t>
            </w:r>
          </w:p>
        </w:tc>
        <w:tc>
          <w:tcPr/>
          <w:p>
            <w:pPr>
              <w:pStyle w:val="Compact"/>
              <w:jc w:val="right"/>
            </w:pPr>
            <w:r>
              <w:t xml:space="preserve">0.600</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real 2bRAD, raw</w:t>
            </w:r>
          </w:p>
        </w:tc>
        <w:tc>
          <w:tcPr/>
          <w:p>
            <w:pPr>
              <w:pStyle w:val="Compact"/>
              <w:jc w:val="left"/>
            </w:pPr>
            <w:r>
              <w:t xml:space="preserve">S07</w:t>
            </w:r>
          </w:p>
        </w:tc>
        <w:tc>
          <w:tcPr/>
          <w:p>
            <w:pPr>
              <w:pStyle w:val="Compact"/>
              <w:jc w:val="right"/>
            </w:pPr>
            <w:r>
              <w:t xml:space="preserve">16</w:t>
            </w:r>
          </w:p>
        </w:tc>
        <w:tc>
          <w:tcPr/>
          <w:p>
            <w:pPr>
              <w:pStyle w:val="Compact"/>
              <w:jc w:val="right"/>
            </w:pPr>
            <w:r>
              <w:t xml:space="preserve">0.734</w:t>
            </w:r>
          </w:p>
        </w:tc>
        <w:tc>
          <w:tcPr/>
          <w:p>
            <w:pPr>
              <w:pStyle w:val="Compact"/>
              <w:jc w:val="right"/>
            </w:pPr>
            <w:r>
              <w:t xml:space="preserve">0.566</w:t>
            </w:r>
          </w:p>
        </w:tc>
        <w:tc>
          <w:tcPr/>
          <w:p>
            <w:pPr>
              <w:pStyle w:val="Compact"/>
              <w:jc w:val="right"/>
            </w:pPr>
            <w:r>
              <w:t xml:space="preserve">0.620</w:t>
            </w:r>
          </w:p>
        </w:tc>
        <w:tc>
          <w:tcPr/>
          <w:p>
            <w:pPr>
              <w:pStyle w:val="Compact"/>
              <w:jc w:val="right"/>
            </w:pPr>
            <w:r>
              <w:t xml:space="preserve">nan</w:t>
            </w:r>
          </w:p>
        </w:tc>
        <w:tc>
          <w:tcPr/>
          <w:p>
            <w:pPr>
              <w:pStyle w:val="Compact"/>
              <w:jc w:val="right"/>
            </w:pPr>
            <w:r>
              <w:t xml:space="preserve">nan</w:t>
            </w:r>
          </w:p>
        </w:tc>
        <w:tc>
          <w:tcPr/>
          <w:p>
            <w:pPr>
              <w:pStyle w:val="Compact"/>
              <w:jc w:val="left"/>
            </w:pPr>
            <w:r>
              <w:t xml:space="preserve">nan</w:t>
            </w:r>
          </w:p>
        </w:tc>
        <w:tc>
          <w:tcPr/>
          <w:p>
            <w:pPr>
              <w:pStyle w:val="Compact"/>
              <w:jc w:val="left"/>
            </w:pPr>
            <w:r>
              <w:t xml:space="preserve">nan</w:t>
            </w:r>
          </w:p>
        </w:tc>
      </w:tr>
    </w:tbl>
    <w:p>
      <w:pPr>
        <w:pStyle w:val="BodyText"/>
      </w:pPr>
      <w:r>
        <w:rPr>
          <w:b/>
          <w:bCs/>
        </w:rPr>
        <w:t xml:space="preserve">(b, cont.) Per-anchor capture efficiency (route-B characterization)</w:t>
      </w:r>
    </w:p>
    <w:tbl>
      <w:tblPr>
        <w:tblStyle w:val="Table"/>
        <w:tblW w:type="pct" w:w="5000"/>
        <w:tblLayout w:type="fixed"/>
        <w:tblLook w:firstRow="1" w:lastRow="0" w:firstColumn="0" w:lastColumn="0" w:noHBand="0" w:noVBand="0" w:val="0020"/>
      </w:tblPr>
      <w:tblGrid>
        <w:gridCol w:w="2003"/>
        <w:gridCol w:w="1001"/>
        <w:gridCol w:w="4914"/>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sigma_eff, raw per-anchor dispersion</w:t>
            </w:r>
          </w:p>
        </w:tc>
        <w:tc>
          <w:tcPr/>
          <w:p>
            <w:pPr>
              <w:pStyle w:val="Compact"/>
              <w:jc w:val="left"/>
            </w:pPr>
            <w:r>
              <w:t xml:space="preserve">1.53</w:t>
            </w:r>
          </w:p>
        </w:tc>
        <w:tc>
          <w:tcPr/>
          <w:p>
            <w:pPr>
              <w:pStyle w:val="Compact"/>
              <w:jc w:val="left"/>
            </w:pPr>
            <w:r>
              <w:t xml:space="preserve">first per-anchor capture-efficiency measurement for 2bRAD</w:t>
            </w:r>
          </w:p>
        </w:tc>
      </w:tr>
      <w:tr>
        <w:tc>
          <w:tcPr/>
          <w:p>
            <w:pPr>
              <w:pStyle w:val="Compact"/>
              <w:jc w:val="left"/>
            </w:pPr>
            <w:r>
              <w:t xml:space="preserve">ICC-correctable fraction, median (IQR)</w:t>
            </w:r>
          </w:p>
        </w:tc>
        <w:tc>
          <w:tcPr/>
          <w:p>
            <w:pPr>
              <w:pStyle w:val="Compact"/>
              <w:jc w:val="left"/>
            </w:pPr>
            <w:r>
              <w:t xml:space="preserve">0.748 (0.679-0.816)</w:t>
            </w:r>
          </w:p>
        </w:tc>
        <w:tc>
          <w:tcPr/>
          <w:p>
            <w:pPr>
              <w:pStyle w:val="Compact"/>
              <w:jc w:val="left"/>
            </w:pPr>
            <w:r>
              <w:t xml:space="preserve">between/(between+within), Poisson-corrected; 21 species with &gt;=30 shared anchors across the 3 samples</w:t>
            </w:r>
          </w:p>
        </w:tc>
      </w:tr>
      <w:tr>
        <w:tc>
          <w:tcPr/>
          <w:p>
            <w:pPr>
              <w:pStyle w:val="Compact"/>
              <w:jc w:val="left"/>
            </w:pPr>
            <w:r>
              <w:t xml:space="preserve">residual sigma_eff after e_prior, median</w:t>
            </w:r>
          </w:p>
        </w:tc>
        <w:tc>
          <w:tcPr/>
          <w:p>
            <w:pPr>
              <w:pStyle w:val="Compact"/>
              <w:jc w:val="left"/>
            </w:pPr>
            <w:r>
              <w:t xml:space="preserve">0.699</w:t>
            </w:r>
          </w:p>
        </w:tc>
        <w:tc>
          <w:tcPr/>
          <w:p>
            <w:pPr>
              <w:pStyle w:val="Compact"/>
              <w:jc w:val="left"/>
            </w:pPr>
            <w:r>
              <w:t xml:space="preserve">within-batch; window averaging (/sqrt(99)) dilutes it to ~0.07-0.10 on the gradient scale</w:t>
            </w:r>
          </w:p>
        </w:tc>
      </w:tr>
    </w:tbl>
    <w:p>
      <w:pPr>
        <w:pStyle w:val="BodyText"/>
      </w:pPr>
      <w:r>
        <w:rPr>
          <w:b/>
          <w:bCs/>
        </w:rPr>
        <w:t xml:space="preserve">(c) C5 rotating biological contactor (PRJNA974210, 9 samples, 522 MAGs)</w:t>
      </w:r>
    </w:p>
    <w:tbl>
      <w:tblPr>
        <w:tblStyle w:val="Table"/>
        <w:tblW w:type="pct" w:w="5000"/>
        <w:tblLayout w:type="fixed"/>
        <w:tblLook w:firstRow="1" w:lastRow="0" w:firstColumn="0" w:lastColumn="0" w:noHBand="0" w:noVBand="0" w:val="0020"/>
      </w:tblPr>
      <w:tblGrid>
        <w:gridCol w:w="1144"/>
        <w:gridCol w:w="3124"/>
        <w:gridCol w:w="365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legacy sk2bgrow reported_fraction</w:t>
            </w:r>
          </w:p>
        </w:tc>
        <w:tc>
          <w:tcPr/>
          <w:p>
            <w:pPr>
              <w:pStyle w:val="Compact"/>
              <w:jc w:val="left"/>
            </w:pPr>
            <w:r>
              <w:t xml:space="preserve">1.00 (522/522)</w:t>
            </w:r>
          </w:p>
        </w:tc>
        <w:tc>
          <w:tcPr/>
          <w:p>
            <w:pPr>
              <w:pStyle w:val="Compact"/>
              <w:jc w:val="left"/>
            </w:pPr>
            <w:r>
              <w:t xml:space="preserve">no output gate; a denominator artifact, never a performance claim</w:t>
            </w:r>
          </w:p>
        </w:tc>
      </w:tr>
      <w:tr>
        <w:tc>
          <w:tcPr/>
          <w:p>
            <w:pPr>
              <w:pStyle w:val="Compact"/>
              <w:jc w:val="left"/>
            </w:pPr>
            <w:r>
              <w:t xml:space="preserve">legacy sk2bgrow estimate_fraction</w:t>
            </w:r>
          </w:p>
        </w:tc>
        <w:tc>
          <w:tcPr/>
          <w:p>
            <w:pPr>
              <w:pStyle w:val="Compact"/>
              <w:jc w:val="left"/>
            </w:pPr>
            <w:r>
              <w:t xml:space="preserve">0.989-1.000</w:t>
            </w:r>
          </w:p>
        </w:tc>
        <w:tc>
          <w:tcPr/>
          <w:p>
            <w:pPr>
              <w:pStyle w:val="Compact"/>
              <w:jc w:val="left"/>
            </w:pPr>
            <w:r>
              <w:t xml:space="preserve">19 rows carry no PTR estimate (coverage NaN, 0 QC pass)</w:t>
            </w:r>
          </w:p>
        </w:tc>
      </w:tr>
      <w:tr>
        <w:tc>
          <w:tcPr/>
          <w:p>
            <w:pPr>
              <w:pStyle w:val="Compact"/>
              <w:jc w:val="left"/>
            </w:pPr>
            <w:r>
              <w:t xml:space="preserve">legacy sk2bgrow qc_recall</w:t>
            </w:r>
          </w:p>
        </w:tc>
        <w:tc>
          <w:tcPr/>
          <w:p>
            <w:pPr>
              <w:pStyle w:val="Compact"/>
              <w:jc w:val="left"/>
            </w:pPr>
            <w:r>
              <w:t xml:space="preserve">3.8-13.8% (20-72 of 522)</w:t>
            </w:r>
          </w:p>
        </w:tc>
        <w:tc>
          <w:tcPr/>
          <w:p>
            <w:pPr>
              <w:pStyle w:val="Compact"/>
              <w:jc w:val="left"/>
            </w:pPr>
            <w:r>
              <w:t xml:space="preserve">former sorted-fallback statistics, not current-default behavior</w:t>
            </w:r>
          </w:p>
        </w:tc>
      </w:tr>
      <w:tr>
        <w:tc>
          <w:tcPr/>
          <w:p>
            <w:pPr>
              <w:pStyle w:val="Compact"/>
              <w:jc w:val="left"/>
            </w:pPr>
            <w:r>
              <w:t xml:space="preserve">Pilea default reported</w:t>
            </w:r>
          </w:p>
        </w:tc>
        <w:tc>
          <w:tcPr/>
          <w:p>
            <w:pPr>
              <w:pStyle w:val="Compact"/>
              <w:jc w:val="left"/>
            </w:pPr>
            <w:r>
              <w:t xml:space="preserve">5.0-11.1% (26-58 of 522)</w:t>
            </w:r>
          </w:p>
        </w:tc>
        <w:tc>
          <w:tcPr/>
          <w:p>
            <w:pPr>
              <w:pStyle w:val="Compact"/>
              <w:jc w:val="left"/>
            </w:pPr>
            <w:r>
              <w:t xml:space="preserve">overlaps legacy sk2bgrow qc_recall almost exactly</w:t>
            </w:r>
          </w:p>
        </w:tc>
      </w:tr>
      <w:tr>
        <w:tc>
          <w:tcPr/>
          <w:p>
            <w:pPr>
              <w:pStyle w:val="Compact"/>
              <w:jc w:val="left"/>
            </w:pPr>
            <w:r>
              <w:t xml:space="preserve">common denominator</w:t>
            </w:r>
          </w:p>
        </w:tc>
        <w:tc>
          <w:tcPr/>
          <w:p>
            <w:pPr>
              <w:pStyle w:val="Compact"/>
              <w:jc w:val="left"/>
            </w:pPr>
            <w:r>
              <w:t xml:space="preserve">Pilea-default MAGs are a strict subset of sk2bgrow outputs; sk2bgrow QC passes 15-36 of 26-58 on it</w:t>
            </w:r>
          </w:p>
        </w:tc>
        <w:tc>
          <w:tcPr/>
          <w:p>
            <w:pPr>
              <w:pStyle w:val="Compact"/>
              <w:jc w:val="left"/>
            </w:pPr>
            <w:r>
              <w:t xml:space="preserve">c5_common_denominator.tsv</w:t>
            </w:r>
          </w:p>
        </w:tc>
      </w:tr>
      <w:tr>
        <w:tc>
          <w:tcPr/>
          <w:p>
            <w:pPr>
              <w:pStyle w:val="Compact"/>
              <w:jc w:val="left"/>
            </w:pPr>
            <w:r>
              <w:t xml:space="preserve">legacy QC pass vs MAG fragmentation</w:t>
            </w:r>
          </w:p>
        </w:tc>
        <w:tc>
          <w:tcPr/>
          <w:p>
            <w:pPr>
              <w:pStyle w:val="Compact"/>
              <w:jc w:val="left"/>
            </w:pPr>
            <w:r>
              <w:t xml:space="preserve">Spearman rho -0.41 vs n_contigs; -0.34 controlling mean coverage</w:t>
            </w:r>
          </w:p>
        </w:tc>
        <w:tc>
          <w:tcPr/>
          <w:p>
            <w:pPr>
              <w:pStyle w:val="Compact"/>
              <w:jc w:val="left"/>
            </w:pPr>
            <w:r>
              <w:t xml:space="preserve">legacy result; coverage is the strongest single predictor and the two effects are partially entangled</w:t>
            </w:r>
          </w:p>
        </w:tc>
      </w:tr>
      <w:tr>
        <w:tc>
          <w:tcPr/>
          <w:p>
            <w:pPr>
              <w:pStyle w:val="Compact"/>
              <w:jc w:val="left"/>
            </w:pPr>
            <w:r>
              <w:t xml:space="preserve">cost vs Pilea, per sample</w:t>
            </w:r>
          </w:p>
        </w:tc>
        <w:tc>
          <w:tcPr/>
          <w:p>
            <w:pPr>
              <w:pStyle w:val="Compact"/>
              <w:jc w:val="left"/>
            </w:pPr>
            <w:r>
              <w:t xml:space="preserve">89.5-240.8x at mm=2; 4.0-12.8x (median 8.1x) at mm=1</w:t>
            </w:r>
          </w:p>
        </w:tc>
        <w:tc>
          <w:tcPr/>
          <w:p>
            <w:pPr>
              <w:pStyle w:val="Compact"/>
              <w:jc w:val="left"/>
            </w:pPr>
            <w:r>
              <w:t xml:space="preserve">both measured against Pilea defaults; mm=1 loses a median 4.4% of detected anchors and no genome on all nine samples</w:t>
            </w:r>
          </w:p>
        </w:tc>
      </w:tr>
      <w:tr>
        <w:tc>
          <w:tcPr/>
          <w:p>
            <w:pPr>
              <w:pStyle w:val="Compact"/>
              <w:jc w:val="left"/>
            </w:pPr>
            <w:r>
              <w:t xml:space="preserve">current auto-policy refusion QC</w:t>
            </w:r>
          </w:p>
        </w:tc>
        <w:tc>
          <w:tcPr/>
          <w:p>
            <w:pPr>
              <w:pStyle w:val="Compact"/>
              <w:jc w:val="left"/>
            </w:pPr>
            <w:r>
              <w:t xml:space="preserve">26 of 4698 observations; 1-6 per sample</w:t>
            </w:r>
          </w:p>
        </w:tc>
        <w:tc>
          <w:tcPr/>
          <w:p>
            <w:pPr>
              <w:pStyle w:val="Compact"/>
              <w:jc w:val="left"/>
            </w:pPr>
            <w:r>
              <w:t xml:space="preserve">current code refuses unsafe sorted-rank fallback on fragmented MAGs</w:t>
            </w:r>
          </w:p>
        </w:tc>
      </w:tr>
      <w:tr>
        <w:tc>
          <w:tcPr/>
          <w:p>
            <w:pPr>
              <w:pStyle w:val="Compact"/>
              <w:jc w:val="left"/>
            </w:pPr>
            <w:r>
              <w:t xml:space="preserve">current QC vs fragmentation</w:t>
            </w:r>
          </w:p>
        </w:tc>
        <w:tc>
          <w:tcPr/>
          <w:p>
            <w:pPr>
              <w:pStyle w:val="Compact"/>
              <w:jc w:val="left"/>
            </w:pPr>
            <w:r>
              <w:t xml:space="preserve">contigs rho -0.21 (-0.18 coverage-partial); completeness rho 0.16 (0.12)</w:t>
            </w:r>
          </w:p>
        </w:tc>
        <w:tc>
          <w:tcPr/>
          <w:p>
            <w:pPr>
              <w:pStyle w:val="Compact"/>
              <w:jc w:val="left"/>
            </w:pPr>
            <w:r>
              <w:t xml:space="preserve">attenuated legacy association; current QC recall is too sparse for the former real-MAG QC validation claim</w:t>
            </w:r>
          </w:p>
        </w:tc>
      </w:tr>
      <w:tr>
        <w:tc>
          <w:tcPr/>
          <w:p>
            <w:pPr>
              <w:pStyle w:val="Compact"/>
              <w:jc w:val="left"/>
            </w:pPr>
            <w:r>
              <w:t xml:space="preserve">explicit sorted-policy refusion QC</w:t>
            </w:r>
          </w:p>
        </w:tc>
        <w:tc>
          <w:tcPr/>
          <w:p>
            <w:pPr>
              <w:pStyle w:val="Compact"/>
              <w:jc w:val="left"/>
            </w:pPr>
            <w:r>
              <w:t xml:space="preserve">108 of 4698 observations; 2-30 per sample</w:t>
            </w:r>
          </w:p>
        </w:tc>
        <w:tc>
          <w:tcPr/>
          <w:p>
            <w:pPr>
              <w:pStyle w:val="Compact"/>
              <w:jc w:val="left"/>
            </w:pPr>
            <w:r>
              <w:t xml:space="preserve">contigs rho 0.04 (0.08 coverage-partial); current code, fallback selected deliberately</w:t>
            </w:r>
          </w:p>
        </w:tc>
      </w:tr>
    </w:tbl>
    <w:p>
      <w:pPr>
        <w:pStyle w:val="BodyText"/>
      </w:pPr>
      <w:r>
        <w:t xml:space="preserve">Agreement coefficients are over species x sample units. In (a) the comparator is Pilea at its shipped gates; the observed ranges span only ~1.4 log2, so the low CCC (0.25-0.37) is dynamic-range deflation, not broken concordance; the gates-off rows (r ~0) are the control showing Pilea’s gate does real work. In (b) exact read-level deduplication before counting flattens the PTR dynamic range (deduped r 0.30-0.60 vs raw 0.45-0.80); the cap-dedup sensitivity sweep found no robust intermediate (cap=2 is best in S07, worst in S06), so the process recommendation is to not exactly dedup 2bRAD libraries before counting; a GLM on deduped counts does not recover the signal (r -0.03-0.41). sigma_eff is within-batch (3 libraries, one study/one centre; cross-lab transfer awaits the Hou cohort) and measured on the single enzyme (BcgI) present in the Sun libraries. In (c) C5 recall/QC rows are labelled by code policy: legacy rows predate signed fixed-origin fitting and the conservative refusal of sorted fallback on fragmented references; refusion rows rerun the retained window rates with current code. The 1.00 recall headline is reported_fraction (no gate), not accuracy.</w:t>
      </w:r>
    </w:p>
    <w:bookmarkEnd w:id="115"/>
    <w:bookmarkEnd w:id="116"/>
    <w:sectPr>
      <w:footerReference r:id="rId9" w:type="default"/>
      <w:footnotePr>
        <w:numRestart w:val="eachSect"/>
      </w:footnotePr>
      <w:pgSz w:h="15840" w:w="12240"/>
      <w:pgMar w:bottom="1440" w:left="1440" w:right="1440" w:top="1440"/>
      <w:lnNumType w:countBy="1" w:distance="240" w:restart="continuous"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eastAsia="Times New Roman" w:hAnsi="Times New Roman"/>
      <w:sz w:val="24"/>
    </w:rPr>
  </w:style>
  <w:style w:styleId="BodyText" w:type="paragraph">
    <w:name w:val="Body Text"/>
    <w:basedOn w:val="Normal"/>
    <w:link w:val="BodyTextChar"/>
    <w:qFormat/>
    <w:pPr>
      <w:spacing w:after="0" w:before="0" w:line="480" w:lineRule="auto"/>
    </w:pPr>
  </w:style>
  <w:style w:customStyle="1" w:styleId="FirstParagraph" w:type="paragraph">
    <w:name w:val="First Paragraph"/>
    <w:basedOn w:val="BodyText"/>
    <w:next w:val="BodyText"/>
    <w:qFormat/>
    <w:pPr>
      <w:spacing w:after="0" w:before="0" w:line="480" w:lineRule="auto"/>
    </w:pPr>
  </w:style>
  <w:style w:customStyle="1" w:styleId="Compact" w:type="paragraph">
    <w:name w:val="Compact"/>
    <w:basedOn w:val="BodyText"/>
    <w:qFormat/>
    <w:pPr>
      <w:spacing w:after="36" w:before="36" w:line="48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imes New Roman"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line="480" w:lineRule="auto"/>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imes New Roman" w:eastAsiaTheme="majorEastAsia" w:hAnsi="Times New Roman" w:hAnsiTheme="majorHAnsi"/>
      <w:b/>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imes New Roman" w:eastAsiaTheme="majorEastAsia" w:hAnsi="Times New Roman" w:hAnsiTheme="majorHAnsi"/>
      <w: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48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pPr>
    <w:rPr>
      <w:b/>
    </w:rPr>
  </w:style>
  <w:style w:customStyle="1" w:styleId="Definition" w:type="paragraph">
    <w:name w:val="Definition"/>
    <w:basedOn w:val="Normal"/>
    <w:pPr>
      <w:spacing w:line="480" w:lineRule="auto"/>
    </w:pPr>
  </w:style>
  <w:style w:styleId="Caption" w:type="paragraph">
    <w:name w:val="Caption"/>
    <w:basedOn w:val="Normal"/>
    <w:link w:val="BodyTextChar"/>
    <w:pPr>
      <w:spacing w:after="120" w:before="0" w:line="240" w:lineRule="auto"/>
    </w:pPr>
    <w:rPr>
      <w:i/>
    </w:rPr>
  </w:style>
  <w:style w:customStyle="1" w:styleId="TableCaption" w:type="paragraph">
    <w:name w:val="Table Caption"/>
    <w:basedOn w:val="Caption"/>
    <w:pPr>
      <w:keepNext/>
      <w:spacing w:line="240" w:lineRule="auto"/>
    </w:pPr>
  </w:style>
  <w:style w:customStyle="1" w:styleId="ImageCaption" w:type="paragraph">
    <w:name w:val="Image Caption"/>
    <w:basedOn w:val="Caption"/>
    <w:pPr>
      <w:spacing w:line="24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Times New Roman" w:hAnsi="Times New Roman"/>
      <w:b/>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hyperlink" Id="rId82" Target="https://doi.org/10.1038/nbt.3704" TargetMode="External" /><Relationship Type="http://schemas.openxmlformats.org/officeDocument/2006/relationships/hyperlink" Id="rId85" Target="https://doi.org/10.1038/nmeth.2023" TargetMode="External" /><Relationship Type="http://schemas.openxmlformats.org/officeDocument/2006/relationships/hyperlink" Id="rId88" Target="https://doi.org/10.1101/2022.01.11.475838" TargetMode="External" /><Relationship Type="http://schemas.openxmlformats.org/officeDocument/2006/relationships/hyperlink" Id="rId83" Target="https://doi.org/10.1101/gr.275533.121" TargetMode="External" /><Relationship Type="http://schemas.openxmlformats.org/officeDocument/2006/relationships/hyperlink" Id="rId81" Target="https://doi.org/10.1126/science.aac4812" TargetMode="External" /><Relationship Type="http://schemas.openxmlformats.org/officeDocument/2006/relationships/hyperlink" Id="rId87" Target="https://doi.org/10.1186/s13059-021-02576-9" TargetMode="External" /><Relationship Type="http://schemas.openxmlformats.org/officeDocument/2006/relationships/hyperlink" Id="rId84" Target="https://doi.org/10.1186/s40168-026-02374-0" TargetMode="External" /><Relationship Type="http://schemas.openxmlformats.org/officeDocument/2006/relationships/hyperlink" Id="rId86" Target="https://doi.org/10.1371/journal.pone.0219882" TargetMode="External" /><Relationship Type="http://schemas.openxmlformats.org/officeDocument/2006/relationships/hyperlink" Id="rId22" Target="https://github.com/HuangShiLab/sk2bGrow" TargetMode="External" /><Relationship Type="http://schemas.openxmlformats.org/officeDocument/2006/relationships/hyperlink" Id="rId73" Target="https://github.com/HuangShiLab/sk2bGrow-paper"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38/nbt.3704" TargetMode="External" /><Relationship Type="http://schemas.openxmlformats.org/officeDocument/2006/relationships/hyperlink" Id="rId85" Target="https://doi.org/10.1038/nmeth.2023" TargetMode="External" /><Relationship Type="http://schemas.openxmlformats.org/officeDocument/2006/relationships/hyperlink" Id="rId88" Target="https://doi.org/10.1101/2022.01.11.475838" TargetMode="External" /><Relationship Type="http://schemas.openxmlformats.org/officeDocument/2006/relationships/hyperlink" Id="rId83" Target="https://doi.org/10.1101/gr.275533.121" TargetMode="External" /><Relationship Type="http://schemas.openxmlformats.org/officeDocument/2006/relationships/hyperlink" Id="rId81" Target="https://doi.org/10.1126/science.aac4812" TargetMode="External" /><Relationship Type="http://schemas.openxmlformats.org/officeDocument/2006/relationships/hyperlink" Id="rId87" Target="https://doi.org/10.1186/s13059-021-02576-9" TargetMode="External" /><Relationship Type="http://schemas.openxmlformats.org/officeDocument/2006/relationships/hyperlink" Id="rId84" Target="https://doi.org/10.1186/s40168-026-02374-0" TargetMode="External" /><Relationship Type="http://schemas.openxmlformats.org/officeDocument/2006/relationships/hyperlink" Id="rId86" Target="https://doi.org/10.1371/journal.pone.0219882" TargetMode="External" /><Relationship Type="http://schemas.openxmlformats.org/officeDocument/2006/relationships/hyperlink" Id="rId22" Target="https://github.com/HuangShiLab/sk2bGrow" TargetMode="External" /><Relationship Type="http://schemas.openxmlformats.org/officeDocument/2006/relationships/hyperlink" Id="rId73" Target="https://github.com/HuangShiLab/sk2bGrow-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2026-09-18T14:57:26Z</dcterms:created>
  <dcterms:modified xsi:type="dcterms:W3CDTF">2026-09-18T14:57:26Z</dcterms:modified>
</cp:coreProperties>
</file>

<file path=docProps/custom.xml><?xml version="1.0" encoding="utf-8"?>
<Properties xmlns="http://schemas.openxmlformats.org/officeDocument/2006/custom-properties" xmlns:vt="http://schemas.openxmlformats.org/officeDocument/2006/docPropsVTypes"/>
</file>