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k2bgrow-项目代码架构设计v0.1"/>
    <w:p>
      <w:pPr>
        <w:pStyle w:val="1"/>
      </w:pPr>
      <w:r>
        <w:t xml:space="preserve">sk2bGrow 项目代码架构设计（v0.1）</w:t>
      </w:r>
    </w:p>
    <w:p>
      <w:pPr>
        <w:pStyle w:val="aa"/>
      </w:pPr>
      <w:r>
        <w:t xml:space="preserve">目标：以 16 种 Type IIB 酶的确定性锚点（TGT）为 sketch，从 WMS reads（路线 A）或真实 2bRAD 测序数据（路线 B）估计细菌 PTR 及其动态。架构遵循一个原则：</w:t>
      </w:r>
      <w:r>
        <w:rPr>
          <w:b/>
          <w:bCs/>
        </w:rPr>
        <w:t xml:space="preserve">消化/锚点层直接复用 Syn2b/Syn2bANI（Rust），计数与统计层对齐 Pilea（Python + Cython）的模块划分</w:t>
      </w:r>
      <w:r>
        <w:t xml:space="preserve">，使每一步都有现成代码可参照。</w:t>
      </w:r>
    </w:p>
    <w:bookmarkStart w:id="20" w:name="语言与分层选型"/>
    <w:p>
      <w:pPr>
        <w:pStyle w:val="2"/>
      </w:pPr>
      <w:r>
        <w:t xml:space="preserve">1. 语言与分层选型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复用来源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锚点索引层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silico 酶切、TGT 读写、锚点库构建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Syn2b（</w:t>
            </w:r>
            <w:r>
              <w:rPr>
                <w:rStyle w:val="VerbatimChar"/>
              </w:rPr>
              <w:t xml:space="preserve">bsyn</w:t>
            </w:r>
            <w:r>
              <w:t xml:space="preserve"> </w:t>
            </w:r>
            <w:r>
              <w:t xml:space="preserve">crate）、Syn2bANI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计数层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reads→锚点匹配计数、共享锚点 EM 重分配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Rust</w:t>
            </w:r>
            <w:r>
              <w:t xml:space="preserve">（性能关键）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Syn2bANI</w:t>
            </w:r>
            <w:r>
              <w:t xml:space="preserve"> </w:t>
            </w:r>
            <w:r>
              <w:rPr>
                <w:rStyle w:val="VerbatimChar"/>
              </w:rPr>
              <w:t xml:space="preserve">tag_matcher.rs</w:t>
            </w:r>
            <w:r>
              <w:t xml:space="preserve"> </w:t>
            </w:r>
            <w:r>
              <w:t xml:space="preserve">+ Pilea</w:t>
            </w:r>
            <w:r>
              <w:t xml:space="preserve"> </w:t>
            </w:r>
            <w:r>
              <w:rPr>
                <w:rStyle w:val="VerbatimChar"/>
              </w:rPr>
              <w:t xml:space="preserve">kmc.pyx</w:t>
            </w:r>
            <w:r>
              <w:t xml:space="preserve">/</w:t>
            </w:r>
            <w:r>
              <w:rPr>
                <w:rStyle w:val="VerbatimChar"/>
              </w:rPr>
              <w:t xml:space="preserve">io.pyx</w:t>
            </w:r>
            <w:r>
              <w:t xml:space="preserve"> </w:t>
            </w:r>
            <w:r>
              <w:t xml:space="preserve">思路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ZTP/NB 窗口模型、GC 校正、V 形/排序拟合、跨酶融合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Python</w:t>
            </w:r>
            <w:r>
              <w:t xml:space="preserve">（原型快）→ 稳定后下沉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</w:t>
            </w:r>
            <w:r>
              <w:t xml:space="preserve"> </w:t>
            </w:r>
            <w:r>
              <w:rPr>
                <w:rStyle w:val="VerbatimChar"/>
              </w:rPr>
              <w:t xml:space="preserve">ztp.py</w:t>
            </w:r>
            <w:r>
              <w:t xml:space="preserve">、</w:t>
            </w:r>
            <w:r>
              <w:rPr>
                <w:rStyle w:val="VerbatimChar"/>
              </w:rPr>
              <w:t xml:space="preserve">profile.py</w:t>
            </w:r>
            <w:r>
              <w:t xml:space="preserve">、</w:t>
            </w:r>
            <w:r>
              <w:rPr>
                <w:rStyle w:val="VerbatimChar"/>
              </w:rPr>
              <w:t xml:space="preserve">sketch.py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CLI/编排层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子命令、并行调度、报告输出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Rust（clap）+ Python（click/typer）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  <w:r>
              <w:t xml:space="preserve">、Syn2b</w:t>
            </w:r>
            <w:r>
              <w:t xml:space="preserve"> </w:t>
            </w:r>
            <w:r>
              <w:rPr>
                <w:rStyle w:val="VerbatimChar"/>
              </w:rPr>
              <w:t xml:space="preserve">main.rs</w:t>
            </w:r>
          </w:p>
        </w:tc>
      </w:tr>
    </w:tbl>
    <w:p>
      <w:pPr>
        <w:pStyle w:val="a0"/>
      </w:pPr>
      <w:r>
        <w:t xml:space="preserve">理由：Syn2b/Syn2bANI 已经是 Rust（clap + rayon + serde/bincode），TGT 二进制 IO 现成；Pilea 是 Python + Cython（KMC 绑定），其统计模块（ZTP 混合 EM、loess、RANSAC）在 Python 生态（numpy/scipy/statsmodels）里重写成本最低、便于 benchmark 对齐，性能瓶颈（计数）则留在 Rust。</w:t>
      </w:r>
    </w:p>
    <w:bookmarkEnd w:id="20"/>
    <w:bookmarkStart w:id="21" w:name="仓库布局monorepo-cargo-workspace"/>
    <w:p>
      <w:pPr>
        <w:pStyle w:val="2"/>
      </w:pPr>
      <w:r>
        <w:t xml:space="preserve">2. 仓库布局（monorepo / cargo workspace）</w:t>
      </w:r>
    </w:p>
    <w:p>
      <w:pPr>
        <w:pStyle w:val="SourceCode"/>
      </w:pPr>
      <w:r>
        <w:rPr>
          <w:rStyle w:val="VerbatimChar"/>
        </w:rPr>
        <w:t xml:space="preserve">sk2bgrow/</w:t>
      </w:r>
      <w:r>
        <w:br/>
      </w:r>
      <w:r>
        <w:rPr>
          <w:rStyle w:val="VerbatimChar"/>
        </w:rPr>
        <w:t xml:space="preserve">├── Cargo.toml                  # workspace: [sk2bgrow-core, sk2bgrow-cli]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sk2bgrow-core/            # Rust 核心库</w:t>
      </w:r>
      <w:r>
        <w:br/>
      </w:r>
      <w:r>
        <w:rPr>
          <w:rStyle w:val="VerbatimChar"/>
        </w:rPr>
        <w:t xml:space="preserve">│   │   └── src/</w:t>
      </w:r>
      <w:r>
        <w:br/>
      </w:r>
      <w:r>
        <w:rPr>
          <w:rStyle w:val="VerbatimChar"/>
        </w:rPr>
        <w:t xml:space="preserve">│   │       ├── digest.rs       # 16 酶 in silico 酶切        ← 复用 bsyn::enzyme::digest</w:t>
      </w:r>
      <w:r>
        <w:br/>
      </w:r>
      <w:r>
        <w:rPr>
          <w:rStyle w:val="VerbatimChar"/>
        </w:rPr>
        <w:t xml:space="preserve">│   │       ├── tgt.rs          # TGT v2 读写（含 contig 元数据）← 复用 bsyn::tgt</w:t>
      </w:r>
      <w:r>
        <w:br/>
      </w:r>
      <w:r>
        <w:rPr>
          <w:rStyle w:val="VerbatimChar"/>
        </w:rPr>
        <w:t xml:space="preserve">│   │       ├── anchor_db.rs    # 锚点库：序列→(基因组, 位置, 酶) 倒排 + 唯一性掩码</w:t>
      </w:r>
      <w:r>
        <w:br/>
      </w:r>
      <w:r>
        <w:rPr>
          <w:rStyle w:val="VerbatimChar"/>
        </w:rPr>
        <w:t xml:space="preserve">│   │       ├── count.rs        # reads→锚点计数（≤2 mismatch）← 参照 Syn2bANI tag_matcher</w:t>
      </w:r>
      <w:r>
        <w:br/>
      </w:r>
      <w:r>
        <w:rPr>
          <w:rStyle w:val="VerbatimChar"/>
        </w:rPr>
        <w:t xml:space="preserve">│   │       ├── em.rs           # 跨基因组共享锚点 EM 重分配    ← 参照 Pilea sketch.py 重分配逻辑</w:t>
      </w:r>
      <w:r>
        <w:br/>
      </w:r>
      <w:r>
        <w:rPr>
          <w:rStyle w:val="VerbatimChar"/>
        </w:rPr>
        <w:t xml:space="preserve">│   │       ├── ori.rs          # ori 注释/网格联合搜索</w:t>
      </w:r>
      <w:r>
        <w:br/>
      </w:r>
      <w:r>
        <w:rPr>
          <w:rStyle w:val="VerbatimChar"/>
        </w:rPr>
        <w:t xml:space="preserve">│   │       └── scaffold.rs     # MAG contig 定序（可选）      ← 复用 bsyn scaffold 子命令</w:t>
      </w:r>
      <w:r>
        <w:br/>
      </w:r>
      <w:r>
        <w:rPr>
          <w:rStyle w:val="VerbatimChar"/>
        </w:rPr>
        <w:t xml:space="preserve">│   └── sk2bgrow-cli/             # Rust CLI（clap 子命令，见 §4）</w:t>
      </w:r>
      <w:r>
        <w:br/>
      </w:r>
      <w:r>
        <w:rPr>
          <w:rStyle w:val="VerbatimChar"/>
        </w:rPr>
        <w:t xml:space="preserve">│       └── src/main.rs</w:t>
      </w:r>
      <w:r>
        <w:br/>
      </w:r>
      <w:r>
        <w:rPr>
          <w:rStyle w:val="VerbatimChar"/>
        </w:rPr>
        <w:t xml:space="preserve">├── python/</w:t>
      </w:r>
      <w:r>
        <w:br/>
      </w:r>
      <w:r>
        <w:rPr>
          <w:rStyle w:val="VerbatimChar"/>
        </w:rPr>
        <w:t xml:space="preserve">│   └── sk2bgrow/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cli.py              # Python 统计流水线入口       ← 参照 Pilea cli.py</w:t>
      </w:r>
      <w:r>
        <w:br/>
      </w:r>
      <w:r>
        <w:rPr>
          <w:rStyle w:val="VerbatimChar"/>
        </w:rPr>
        <w:t xml:space="preserve">│       ├── ztp.py              # ZTP/NB 窗口速率模型（EM+BIC）← 参照 Pilea ztp.py</w:t>
      </w:r>
      <w:r>
        <w:br/>
      </w:r>
      <w:r>
        <w:rPr>
          <w:rStyle w:val="VerbatimChar"/>
        </w:rPr>
        <w:t xml:space="preserve">│       ├── gc_bias.py          # 分酶 loess GC 校正           ← 参照 Pilea profile.py 校正段</w:t>
      </w:r>
      <w:r>
        <w:br/>
      </w:r>
      <w:r>
        <w:rPr>
          <w:rStyle w:val="VerbatimChar"/>
        </w:rPr>
        <w:t xml:space="preserve">│       ├── fit.py              # V 形分段 MLE / 排序+RANSAC 拟合 ← 参照 Pilea profile.py 拟合段</w:t>
      </w:r>
      <w:r>
        <w:br/>
      </w:r>
      <w:r>
        <w:rPr>
          <w:rStyle w:val="VerbatimChar"/>
        </w:rPr>
        <w:t xml:space="preserve">│       ├── fusion.py           # 跨酶逆方差融合 + 一致性 QC（χ²）</w:t>
      </w:r>
      <w:r>
        <w:br/>
      </w:r>
      <w:r>
        <w:rPr>
          <w:rStyle w:val="VerbatimChar"/>
        </w:rPr>
        <w:t xml:space="preserve">│       ├── dynamics.py         # 多样本 ΔPTR / 锚点×样本计数表纵向分析</w:t>
      </w:r>
      <w:r>
        <w:br/>
      </w:r>
      <w:r>
        <w:rPr>
          <w:rStyle w:val="VerbatimChar"/>
        </w:rPr>
        <w:t xml:space="preserve">│       └── report.py           # output.tsv + QC 图</w:t>
      </w:r>
      <w:r>
        <w:br/>
      </w:r>
      <w:r>
        <w:rPr>
          <w:rStyle w:val="VerbatimChar"/>
        </w:rPr>
        <w:t xml:space="preserve">├── benches/                    # 与 Pilea 的对齐 benchmark（Zheng 数据集亚抽样）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Python 与 Rust 的接口：Rust 计数层输出</w:t>
      </w:r>
      <w:r>
        <w:rPr>
          <w:b/>
          <w:bCs/>
        </w:rPr>
        <w:t xml:space="preserve">每基因组 × 每酶 × 每锚点的计数表</w:t>
      </w:r>
      <w:r>
        <w:t xml:space="preserve">（Arrow/Parquet 或紧凑二进制），Python 统计层读入后完成建模——两侧无共享状态，接口即数据文件，便于两侧独立迭代。</w:t>
      </w:r>
    </w:p>
    <w:bookmarkEnd w:id="21"/>
    <w:bookmarkStart w:id="25" w:name="模块职责与复用映射"/>
    <w:p>
      <w:pPr>
        <w:pStyle w:val="2"/>
      </w:pPr>
      <w:r>
        <w:t xml:space="preserve">3. 模块职责与复用映射</w:t>
      </w:r>
    </w:p>
    <w:bookmarkStart w:id="22" w:name="直接复用syn2b-syn2bani"/>
    <w:p>
      <w:pPr>
        <w:pStyle w:val="3"/>
      </w:pPr>
      <w:r>
        <w:t xml:space="preserve">3.1 直接复用（Syn2b / Syn2bANI）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酶注册表 + IUPAC 简并匹配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bsyn::enzyme</w:t>
            </w:r>
            <w:r>
              <w:t xml:space="preserve">（</w:t>
            </w:r>
            <w:r>
              <w:rPr>
                <w:rStyle w:val="VerbatimChar"/>
              </w:rPr>
              <w:t xml:space="preserve">enzyme.rs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digest.rs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酶定义、tag 长度、双链消化均已实现并有测试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TGT v2 数据格式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bsyn::tgt</w:t>
            </w:r>
            <w:r>
              <w:t xml:space="preserve">（tag/gap/record/reader/writer）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B/tag 二进制 + 文本格式，contig 元数据齐备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锚点哈希匹配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Syn2bANI</w:t>
            </w:r>
            <w:r>
              <w:t xml:space="preserve"> </w:t>
            </w:r>
            <w:r>
              <w:rPr>
                <w:rStyle w:val="VerbatimChar"/>
              </w:rPr>
              <w:t xml:space="preserve">tag_matcher.rs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哈希表匹配，mismatch budget 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 scaffold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bsyn</w:t>
            </w:r>
            <w:r>
              <w:t xml:space="preserve"> </w:t>
            </w:r>
            <w:r>
              <w:t xml:space="preserve">scaffold 子命令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碎片化 MAG 先定序再算 PTR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多酶覆盖统计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Syn2b</w:t>
            </w:r>
            <w:r>
              <w:t xml:space="preserve"> </w:t>
            </w:r>
            <w:r>
              <w:rPr>
                <w:rStyle w:val="VerbatimChar"/>
              </w:rPr>
              <w:t xml:space="preserve">coverage</w:t>
            </w:r>
            <w:r>
              <w:t xml:space="preserve"> </w:t>
            </w:r>
            <w:r>
              <w:t xml:space="preserve">子命令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建库审计：锚点稀疏区检查</w:t>
            </w:r>
          </w:p>
        </w:tc>
      </w:tr>
    </w:tbl>
    <w:bookmarkEnd w:id="22"/>
    <w:bookmarkStart w:id="23" w:name="参照重写pilea"/>
    <w:p>
      <w:pPr>
        <w:pStyle w:val="3"/>
      </w:pPr>
      <w:r>
        <w:t xml:space="preserve">3.2 参照重写（Pilea）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Pilea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 sk2bGrow 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sketch.py</w:t>
            </w:r>
            <w:r>
              <w:t xml:space="preserve">（FracMinHash 抽取+窗口化）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anchor_db.rs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随机抽取→确定性 16 酶锚点；25 kb 定窗→等锚点数自适应窗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kmc.pyx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io.pyx</w:t>
            </w:r>
            <w:r>
              <w:t xml:space="preserve">（KMC k-mer 计数）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k-mer 计数→锚点 tag 计数（含 mismatch≤2）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sketch.py</w:t>
            </w:r>
            <w:r>
              <w:t xml:space="preserve"> </w:t>
            </w:r>
            <w:r>
              <w:t xml:space="preserve">共享 k-mer 重分配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 迭代分配逻辑照搬，作用对象换成锚点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ztp.py</w:t>
            </w:r>
            <w:r>
              <w:t xml:space="preserve">（ZTP 混合 EM+BIC）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ztp.py</w:t>
            </w:r>
            <w:r>
              <w:t xml:space="preserve">（Python）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 NB 分支与分酶分层；锚点效率随机效应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profile.py</w:t>
            </w:r>
            <w:r>
              <w:t xml:space="preserve">（loess+RANSAC 拟合）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gc_bias.py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 loess→酶内 loess；排序拟合之外新增 ori 已知时真实坐标 V 形 MLE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cli.py</w:t>
            </w:r>
            <w:r>
              <w:t xml:space="preserve">（index/profile/fetch/rebuild）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两侧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子命令结构对齐（见 §4）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质量门槛（min-cove / min-frac / disp）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fusion.py</w:t>
            </w:r>
            <w:r>
              <w:t xml:space="preserve"> </w:t>
            </w:r>
            <w:r>
              <w:t xml:space="preserve">QC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新增跨酶一致性 χ² 作为内置真实重复 QC</w:t>
            </w:r>
          </w:p>
        </w:tc>
      </w:tr>
    </w:tbl>
    <w:bookmarkEnd w:id="23"/>
    <w:bookmarkStart w:id="24" w:name="全新模块无现成参照"/>
    <w:p>
      <w:pPr>
        <w:pStyle w:val="3"/>
      </w:pPr>
      <w:r>
        <w:t xml:space="preserve">3.3 全新模块（无现成参照）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fusion.py</w:t>
      </w:r>
      <w:r>
        <w:t xml:space="preserve">：16 个分酶 PTR 估计的逆方差融合与一致性 QC——本项目的核心创新点；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ori.rs</w:t>
      </w:r>
      <w:r>
        <w:t xml:space="preserve">：ori 已知（DoriC/Ori-Finder 注释查表）与未知（坐标网格联合搜索）两条路径；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dynamics.py</w:t>
      </w:r>
      <w:r>
        <w:t xml:space="preserve">：利用锚点集合固定的性质，构造”锚点×样本”计数表，输出 ΔPTR 时间序列。</w:t>
      </w:r>
    </w:p>
    <w:bookmarkEnd w:id="24"/>
    <w:bookmarkEnd w:id="25"/>
    <w:bookmarkStart w:id="26" w:name="cli-设计对齐-pilea-的两段式"/>
    <w:p>
      <w:pPr>
        <w:pStyle w:val="2"/>
      </w:pPr>
      <w:r>
        <w:t xml:space="preserve">4. CLI 设计（对齐 Pilea 的两段式）</w:t>
      </w:r>
    </w:p>
    <w:p>
      <w:pPr>
        <w:pStyle w:val="SourceCode"/>
      </w:pPr>
      <w:r>
        <w:rPr>
          <w:rStyle w:val="CommentTok"/>
        </w:rPr>
        <w:t xml:space="preserve"># 索引：基因组集 → 16 酶锚点库（一次性）</w:t>
      </w:r>
      <w:r>
        <w:br/>
      </w:r>
      <w:r>
        <w:rPr>
          <w:rStyle w:val="ExtensionTok"/>
        </w:rPr>
        <w:t xml:space="preserve">sk2bgrow</w:t>
      </w:r>
      <w:r>
        <w:rPr>
          <w:rStyle w:val="NormalTok"/>
        </w:rPr>
        <w:t xml:space="preserve"> index genomes/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.fna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taxonomy.tsv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--enzymes</w:t>
      </w:r>
      <w:r>
        <w:rPr>
          <w:rStyle w:val="NormalTok"/>
        </w:rPr>
        <w:t xml:space="preserve"> all     </w:t>
      </w:r>
      <w:r>
        <w:rPr>
          <w:rStyle w:val="CommentTok"/>
        </w:rPr>
        <w:t xml:space="preserve"># Rust</w:t>
      </w:r>
      <w:r>
        <w:br/>
      </w:r>
      <w:r>
        <w:br/>
      </w:r>
      <w:r>
        <w:rPr>
          <w:rStyle w:val="CommentTok"/>
        </w:rPr>
        <w:t xml:space="preserve"># 分析：reads → PTR（批量样本一次载入数据库）</w:t>
      </w:r>
      <w:r>
        <w:br/>
      </w:r>
      <w:r>
        <w:rPr>
          <w:rStyle w:val="ExtensionTok"/>
        </w:rPr>
        <w:t xml:space="preserve">sk2bgrow</w:t>
      </w:r>
      <w:r>
        <w:rPr>
          <w:rStyle w:val="NormalTok"/>
        </w:rPr>
        <w:t xml:space="preserve"> profile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.fastq.gz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out/                            </w:t>
      </w:r>
      <w:r>
        <w:rPr>
          <w:rStyle w:val="CommentTok"/>
        </w:rPr>
        <w:t xml:space="preserve"># Rust 计数 + Python 统计</w:t>
      </w:r>
      <w:r>
        <w:br/>
      </w:r>
      <w:r>
        <w:br/>
      </w:r>
      <w:r>
        <w:rPr>
          <w:rStyle w:val="CommentTok"/>
        </w:rPr>
        <w:t xml:space="preserve"># 湿实验路线：真实 2bRAD reads，跳过数字消化直接计数</w:t>
      </w:r>
      <w:r>
        <w:br/>
      </w:r>
      <w:r>
        <w:rPr>
          <w:rStyle w:val="ExtensionTok"/>
        </w:rPr>
        <w:t xml:space="preserve">sk2bgrow</w:t>
      </w:r>
      <w:r>
        <w:rPr>
          <w:rStyle w:val="NormalTok"/>
        </w:rPr>
        <w:t xml:space="preserve"> profile 2brad/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.fq.gz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db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2brad </w:t>
      </w:r>
      <w:r>
        <w:rPr>
          <w:rStyle w:val="AttributeTok"/>
        </w:rPr>
        <w:t xml:space="preserve">--enzymes</w:t>
      </w:r>
      <w:r>
        <w:rPr>
          <w:rStyle w:val="NormalTok"/>
        </w:rPr>
        <w:t xml:space="preserve"> BcgI,AlfI,...</w:t>
      </w:r>
      <w:r>
        <w:br/>
      </w:r>
      <w:r>
        <w:br/>
      </w:r>
      <w:r>
        <w:rPr>
          <w:rStyle w:val="CommentTok"/>
        </w:rPr>
        <w:t xml:space="preserve"># 多样本动态</w:t>
      </w:r>
      <w:r>
        <w:br/>
      </w:r>
      <w:r>
        <w:rPr>
          <w:rStyle w:val="ExtensionTok"/>
        </w:rPr>
        <w:t xml:space="preserve">sk2bgrow</w:t>
      </w:r>
      <w:r>
        <w:rPr>
          <w:rStyle w:val="NormalTok"/>
        </w:rPr>
        <w:t xml:space="preserve"> dynamics out/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.tsv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delta_ptr.tsv</w:t>
      </w:r>
      <w:r>
        <w:br/>
      </w:r>
      <w:r>
        <w:br/>
      </w:r>
      <w:r>
        <w:rPr>
          <w:rStyle w:val="CommentTok"/>
        </w:rPr>
        <w:t xml:space="preserve"># 审计：锚点密度/空窗报告（建库质量门）</w:t>
      </w:r>
      <w:r>
        <w:br/>
      </w:r>
      <w:r>
        <w:rPr>
          <w:rStyle w:val="ExtensionTok"/>
        </w:rPr>
        <w:t xml:space="preserve">sk2bgrow</w:t>
      </w:r>
      <w:r>
        <w:rPr>
          <w:rStyle w:val="NormalTok"/>
        </w:rPr>
        <w:t xml:space="preserve"> audit db/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audit.html                                     </w:t>
      </w:r>
      <w:r>
        <w:rPr>
          <w:rStyle w:val="CommentTok"/>
        </w:rPr>
        <w:t xml:space="preserve"># 封装 bsyn coverage</w:t>
      </w:r>
    </w:p>
    <w:p>
      <w:pPr>
        <w:pStyle w:val="FirstParagraph"/>
      </w:pPr>
      <w:r>
        <w:rPr>
          <w:rStyle w:val="VerbatimChar"/>
        </w:rPr>
        <w:t xml:space="preserve">profile</w:t>
      </w:r>
      <w:r>
        <w:t xml:space="preserve"> </w:t>
      </w:r>
      <w:r>
        <w:t xml:space="preserve">输出格式与 Pilea 保持列级兼容（coverage / dispersion / fraction / containment / PTR / log2(PTR)），追加</w:t>
      </w:r>
      <w:r>
        <w:t xml:space="preserve"> </w:t>
      </w:r>
      <w:r>
        <w:rPr>
          <w:rStyle w:val="VerbatimChar"/>
        </w:rPr>
        <w:t xml:space="preserve">enzyme_consistency</w:t>
      </w:r>
      <w:r>
        <w:t xml:space="preserve">、</w:t>
      </w:r>
      <w:r>
        <w:rPr>
          <w:rStyle w:val="VerbatimChar"/>
        </w:rPr>
        <w:t xml:space="preserve">n_anchors</w:t>
      </w:r>
      <w:r>
        <w:t xml:space="preserve">、</w:t>
      </w:r>
      <w:r>
        <w:rPr>
          <w:rStyle w:val="VerbatimChar"/>
        </w:rPr>
        <w:t xml:space="preserve">ori_confidence</w:t>
      </w:r>
      <w:r>
        <w:t xml:space="preserve"> </w:t>
      </w:r>
      <w:r>
        <w:t xml:space="preserve">三列——方便在既有 benchmark 脚本里直接替换 Pilea 做 A/B 对比。</w:t>
      </w:r>
    </w:p>
    <w:bookmarkEnd w:id="26"/>
    <w:bookmarkStart w:id="27" w:name="关键数据结构"/>
    <w:p>
      <w:pPr>
        <w:pStyle w:val="2"/>
      </w:pPr>
      <w:r>
        <w:t xml:space="preserve">5. 关键数据结构</w:t>
      </w:r>
    </w:p>
    <w:p>
      <w:pPr>
        <w:pStyle w:val="FirstParagraph"/>
      </w:pPr>
      <w:r>
        <w:rPr>
          <w:b/>
          <w:bCs/>
        </w:rPr>
        <w:t xml:space="preserve">锚点库条目（建库产物，</w:t>
      </w:r>
      <w:r>
        <w:rPr>
          <w:rStyle w:val="VerbatimChar"/>
          <w:b/>
          <w:bCs/>
        </w:rPr>
        <w:t xml:space="preserve">anchor_db.rs</w:t>
      </w:r>
      <w:r>
        <w:rPr>
          <w:b/>
          <w:bCs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Anchor {</w:t>
      </w:r>
      <w:r>
        <w:br/>
      </w:r>
      <w:r>
        <w:rPr>
          <w:rStyle w:val="VerbatimChar"/>
        </w:rPr>
        <w:t xml:space="preserve">    seq_hash: u64,        // 27–33 bp tag 的 2-bit 哈希</w:t>
      </w:r>
      <w:r>
        <w:br/>
      </w:r>
      <w:r>
        <w:rPr>
          <w:rStyle w:val="VerbatimChar"/>
        </w:rPr>
        <w:t xml:space="preserve">    genome_id: u32,</w:t>
      </w:r>
      <w:r>
        <w:br/>
      </w:r>
      <w:r>
        <w:rPr>
          <w:rStyle w:val="VerbatimChar"/>
        </w:rPr>
        <w:t xml:space="preserve">    contig_id: u16,</w:t>
      </w:r>
      <w:r>
        <w:br/>
      </w:r>
      <w:r>
        <w:rPr>
          <w:rStyle w:val="VerbatimChar"/>
        </w:rPr>
        <w:t xml:space="preserve">    position: u64,</w:t>
      </w:r>
      <w:r>
        <w:br/>
      </w:r>
      <w:r>
        <w:rPr>
          <w:rStyle w:val="VerbatimChar"/>
        </w:rPr>
        <w:t xml:space="preserve">    enzyme_idx: u8,       // 0–15</w:t>
      </w:r>
      <w:r>
        <w:br/>
      </w:r>
      <w:r>
        <w:rPr>
          <w:rStyle w:val="VerbatimChar"/>
        </w:rPr>
        <w:t xml:space="preserve">    strand: u8,</w:t>
      </w:r>
      <w:r>
        <w:br/>
      </w:r>
      <w:r>
        <w:rPr>
          <w:rStyle w:val="VerbatimChar"/>
        </w:rPr>
        <w:t xml:space="preserve">    flags: u8,            // 基因组内唯一 / 跨基因组唯一 / 掩码原因</w:t>
      </w:r>
      <w:r>
        <w:br/>
      </w:r>
      <w:r>
        <w:rPr>
          <w:rStyle w:val="VerbatimChar"/>
        </w:rPr>
        <w:t xml:space="preserve">    local_gc: u8,         // ±250 bp GC%，量化存储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扩展自 Syn2b 的 48 B</w:t>
      </w:r>
      <w:r>
        <w:t xml:space="preserve"> </w:t>
      </w:r>
      <w:r>
        <w:rPr>
          <w:rStyle w:val="VerbatimChar"/>
        </w:rPr>
        <w:t xml:space="preserve">Tag</w:t>
      </w:r>
      <w:r>
        <w:t xml:space="preserve"> </w:t>
      </w:r>
      <w:r>
        <w:t xml:space="preserve">布局，新增 flags 与 local_gc 两个字段；唯一性掩码在建库时一次算好（参照 Pilea 的多拷贝 k-mer 掩码策略），分析时零成本过滤。</w:t>
      </w:r>
    </w:p>
    <w:bookmarkEnd w:id="27"/>
    <w:bookmarkStart w:id="28" w:name="开发顺序建议"/>
    <w:p>
      <w:pPr>
        <w:pStyle w:val="2"/>
      </w:pPr>
      <w:r>
        <w:t xml:space="preserve">6. 开发顺序建议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M1（对齐复现）</w:t>
      </w:r>
      <w:r>
        <w:t xml:space="preserve">：</w:t>
      </w:r>
      <w:r>
        <w:rPr>
          <w:rStyle w:val="VerbatimChar"/>
        </w:rPr>
        <w:t xml:space="preserve">digest + anchor_db + count + ztp + fit</w:t>
      </w:r>
      <w:r>
        <w:t xml:space="preserve"> </w:t>
      </w:r>
      <w:r>
        <w:t xml:space="preserve">最小闭环，先只实现 Pilea 式排序拟合，在 E. coli 模拟数据上复现第 5 节模拟结论；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M2（A/B benchmark）</w:t>
      </w:r>
      <w:r>
        <w:t xml:space="preserve">：Zheng E. coli 16 条件数据集亚抽样（0.5–10×），与 Pilea 同脚本对比——P0/P1 验证门槛；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M3（创新层）</w:t>
      </w:r>
      <w:r>
        <w:t xml:space="preserve">：ori 感知 V 形 MLE、跨酶融合与 QC、</w:t>
      </w:r>
      <w:r>
        <w:rPr>
          <w:rStyle w:val="VerbatimChar"/>
        </w:rPr>
        <w:t xml:space="preserve">--mode 2brad</w:t>
      </w:r>
      <w:r>
        <w:t xml:space="preserve"> </w:t>
      </w:r>
      <w:r>
        <w:t xml:space="preserve">湿实验路径；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M4（规模化）</w:t>
      </w:r>
      <w:r>
        <w:t xml:space="preserve">：GTDB 级两级架构（containment 粗筛 + 锚点精算）、scaffold 集成、dynamics 模块。</w:t>
      </w:r>
    </w:p>
    <w:bookmarkEnd w:id="28"/>
    <w:bookmarkStart w:id="29" w:name="依赖清单"/>
    <w:p>
      <w:pPr>
        <w:pStyle w:val="2"/>
      </w:pPr>
      <w:r>
        <w:t xml:space="preserve">7. 依赖清单</w:t>
      </w:r>
    </w:p>
    <w:p>
      <w:pPr>
        <w:pStyle w:val="Compact"/>
        <w:numPr>
          <w:ilvl w:val="0"/>
          <w:numId w:val="1003"/>
        </w:numPr>
      </w:pPr>
      <w:r>
        <w:t xml:space="preserve">Rust：clap、rayon、serde + bincode、nohash-hasher（锚点哈希表）、</w:t>
      </w:r>
      <w:r>
        <w:rPr>
          <w:rStyle w:val="VerbatimChar"/>
        </w:rPr>
        <w:t xml:space="preserve">bsyn</w:t>
      </w:r>
      <w:r>
        <w:t xml:space="preserve">（以 git dependency 引入 Syn2b，或直接 vendored）；</w:t>
      </w:r>
    </w:p>
    <w:p>
      <w:pPr>
        <w:pStyle w:val="Compact"/>
        <w:numPr>
          <w:ilvl w:val="0"/>
          <w:numId w:val="1003"/>
        </w:numPr>
      </w:pPr>
      <w:r>
        <w:t xml:space="preserve">Python：numpy、scipy（ZTP/NB MLE）、statsmodels（loess、混合效应）、pandas、pyarrow、pysam（可选，SAM 输入）；</w:t>
      </w:r>
    </w:p>
    <w:p>
      <w:pPr>
        <w:pStyle w:val="Compact"/>
        <w:numPr>
          <w:ilvl w:val="0"/>
          <w:numId w:val="1003"/>
        </w:numPr>
      </w:pPr>
      <w:r>
        <w:t xml:space="preserve">Benchmark 对齐：Pilea（conda 安装）作为对照组直接跑。</w:t>
      </w:r>
    </w:p>
    <w:bookmarkEnd w:id="29"/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2026-08-23T12:29:20Z</dcterms:created>
  <dcterms:modified xsi:type="dcterms:W3CDTF">2026-08-23T12:29:20Z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hnrov37oqbjp9qjh40-1a002a90-d322-8d9a-8000-09f0f395ef1a-20260823202920","ReservedCode1":"","ContentPropagator":"001191110108MACG2KBH8F20000","PropagateID":"d4hnrov37oqbjp9qjh40-1a002a90-d322-8d9a-8000-09f0f395ef1a-20260823202920","ReservedCode2":""}</vt:lpwstr>
  </property>
</Properties>
</file>