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301.png" ContentType="image/png"/>
  <Override PartName="/word/media/rId304.png" ContentType="image/png"/>
  <Override PartName="/word/media/rId307.png" ContentType="image/png"/>
  <Override PartName="/word/media/rId310.png" ContentType="image/png"/>
  <Override PartName="/word/media/rId313.png" ContentType="image/png"/>
  <Override PartName="/word/media/rId316.png" ContentType="image/png"/>
  <Override PartName="/word/media/rId319.png" ContentType="image/png"/>
  <Override PartName="/word/media/rId322.png" ContentType="image/png"/>
  <Override PartName="/word/media/rId3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7" w:name="X35a67ffd771dc0eee37406016d31234a1046d16"/>
    <w:p>
      <w:pPr>
        <w:pStyle w:val="Heading1"/>
      </w:pPr>
      <w:r>
        <w:t xml:space="preserve">Coordinate-aware V-fitting enables shallow-depth PTR estimation from 2bRAD anchor panels</w:t>
      </w:r>
    </w:p>
    <w:bookmarkStart w:id="334"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Review revision 2026-09-18. The primary Zheng grid uses signed fixed-origin fitting and single-pass GC correction; residual two-pass GC correction is diagnostic only.</w:t>
      </w:r>
    </w:p>
    <w:bookmarkEnd w:id="334"/>
    <w:bookmarkStart w:id="335"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The estimates are not unbiased — the fitted slope compresses the dynamic range at low coverage, and the mechanism is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335"/>
    <w:bookmarkStart w:id="336" w:name="keywords"/>
    <w:p>
      <w:pPr>
        <w:pStyle w:val="Heading2"/>
      </w:pPr>
      <w:r>
        <w:t xml:space="preserve">Keywords</w:t>
      </w:r>
    </w:p>
    <w:p>
      <w:pPr>
        <w:pStyle w:val="FirstParagraph"/>
      </w:pPr>
      <w:r>
        <w:t xml:space="preserve">peak-to-trough ratio; microbial growth dynamics; 2bRAD; FracMinHash; metagenomics; shallow sequencing</w:t>
      </w:r>
    </w:p>
    <w:bookmarkEnd w:id="336"/>
    <w:bookmarkStart w:id="337"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337"/>
    <w:bookmarkStart w:id="366"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338">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346"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339"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339"/>
    <w:bookmarkStart w:id="340"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340"/>
    <w:bookmarkStart w:id="341"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341"/>
    <w:bookmarkStart w:id="342"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342"/>
    <w:bookmarkStart w:id="343"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343"/>
    <w:bookmarkStart w:id="344"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344"/>
    <w:bookmarkStart w:id="345"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345"/>
    <w:bookmarkEnd w:id="346"/>
    <w:bookmarkStart w:id="347"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347"/>
    <w:bookmarkStart w:id="355" w:name="benchmark-datasets"/>
    <w:p>
      <w:pPr>
        <w:pStyle w:val="Heading3"/>
      </w:pPr>
      <w:r>
        <w:t xml:space="preserve">3. Benchmark datasets</w:t>
      </w:r>
    </w:p>
    <w:bookmarkStart w:id="348"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348"/>
    <w:bookmarkStart w:id="349"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349"/>
    <w:bookmarkStart w:id="350"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350"/>
    <w:bookmarkStart w:id="351"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351"/>
    <w:bookmarkStart w:id="352"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352"/>
    <w:bookmarkStart w:id="353"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353"/>
    <w:bookmarkStart w:id="354"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354"/>
    <w:bookmarkEnd w:id="355"/>
    <w:bookmarkStart w:id="356"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356"/>
    <w:bookmarkStart w:id="357"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357"/>
    <w:bookmarkStart w:id="364"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358"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358"/>
    <w:bookmarkStart w:id="359"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359"/>
    <w:bookmarkStart w:id="360"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360"/>
    <w:bookmarkStart w:id="361"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361"/>
    <w:bookmarkStart w:id="362"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362"/>
    <w:bookmarkStart w:id="363"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5 are in</w:t>
      </w:r>
      <w:r>
        <w:t xml:space="preserve"> </w:t>
      </w:r>
      <w:r>
        <w:rPr>
          <w:rStyle w:val="VerbatimChar"/>
        </w:rPr>
        <w:t xml:space="preserve">factorial_benchmark/</w:t>
      </w:r>
      <w:r>
        <w:t xml:space="preserve">.</w:t>
      </w:r>
    </w:p>
    <w:p>
      <w:r>
        <w:pict>
          <v:rect style="width:0;height:1.5pt" o:hralign="center" o:hrstd="t" o:hr="t"/>
        </w:pict>
      </w:r>
    </w:p>
    <w:bookmarkEnd w:id="363"/>
    <w:bookmarkEnd w:id="364"/>
    <w:bookmarkStart w:id="365"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365"/>
    <w:bookmarkEnd w:id="366"/>
    <w:bookmarkStart w:id="385" w:name="results"/>
    <w:p>
      <w:pPr>
        <w:pStyle w:val="Heading2"/>
      </w:pPr>
      <w:r>
        <w:t xml:space="preserve">Results</w:t>
      </w:r>
    </w:p>
    <w:bookmarkStart w:id="367"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367"/>
    <w:bookmarkStart w:id="371" w:name="accuracy-on-bacterial-isolates"/>
    <w:p>
      <w:pPr>
        <w:pStyle w:val="Heading3"/>
      </w:pPr>
      <w:r>
        <w:t xml:space="preserve">2. Accuracy on bacterial isolates</w:t>
      </w:r>
    </w:p>
    <w:bookmarkStart w:id="368"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368"/>
    <w:bookmarkStart w:id="369"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369"/>
    <w:bookmarkStart w:id="370"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370"/>
    <w:bookmarkEnd w:id="371"/>
    <w:bookmarkStart w:id="372"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372"/>
    <w:bookmarkStart w:id="374"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373"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its mean RMSE at 0.5× was 0.115 log₂ units, compared</w:t>
      </w:r>
      <w:r>
        <w:t xml:space="preserve"> </w:t>
      </w:r>
      <w:r>
        <w:t xml:space="preserve">with 0.641 for sorted-rank regression, and increasing depth to 8× reduced the</w:t>
      </w:r>
      <w:r>
        <w:t xml:space="preserve"> </w:t>
      </w:r>
      <w:r>
        <w:t xml:space="preserve">coordinate-fit RMSE to 0.018. This is the same direction as the read-level</w:t>
      </w:r>
      <w:r>
        <w:t xml:space="preserve"> </w:t>
      </w:r>
      <w:r>
        <w:t xml:space="preserve">attribution experiment, but under a grid that extends to 32 strains and a</w:t>
      </w:r>
      <w:r>
        <w:t xml:space="preserve"> </w:t>
      </w:r>
      <w:r>
        <w:t xml:space="preserve">100:1 abundance ratio.</w:t>
      </w:r>
    </w:p>
    <w:p>
      <w:pPr>
        <w:pStyle w:val="BodyText"/>
      </w:pPr>
      <w:r>
        <w:t xml:space="preserve">Shared evidence changed the problem. With 15 % of anchors shared across strains,</w:t>
      </w:r>
      <w:r>
        <w:t xml:space="preserve"> </w:t>
      </w:r>
      <w:r>
        <w:t xml:space="preserve">coordinate V-fit was already biased by −0.741 log₂ units at 0.5×, and the bias</w:t>
      </w:r>
      <w:r>
        <w:t xml:space="preserve"> </w:t>
      </w:r>
      <w:r>
        <w:t xml:space="preserve">deepened to −1.315 at 8× (RMSE 0.821 and 1.406). Thus increasing depth reduced</w:t>
      </w:r>
      <w:r>
        <w:t xml:space="preserve"> </w:t>
      </w:r>
      <w:r>
        <w:t xml:space="preserve">counting noise in the private-anchor control but did not remove — and in this</w:t>
      </w:r>
      <w:r>
        <w:t xml:space="preserve"> </w:t>
      </w:r>
      <w:r>
        <w:t xml:space="preserve">ambiguity model amplified — assignment error. Abundance imbalance affected the</w:t>
      </w:r>
      <w:r>
        <w:t xml:space="preserve"> </w:t>
      </w:r>
      <w:r>
        <w:t xml:space="preserve">two estimators differently: coordinate V-fit’s mean RMSE rose from 0.504 to 0.593</w:t>
      </w:r>
      <w:r>
        <w:t xml:space="preserve"> </w:t>
      </w:r>
      <w:r>
        <w:t xml:space="preserve">log₂ units from even to 100:1, while sorted-rank regression rose from 0.304 to</w:t>
      </w:r>
      <w:r>
        <w:t xml:space="preserve"> </w:t>
      </w:r>
      <w:r>
        <w:t xml:space="preserve">0.624. The factorial therefore treats depth and ambiguity as distinct axes</w:t>
      </w:r>
      <w:r>
        <w:t xml:space="preserve"> </w:t>
      </w:r>
      <w:r>
        <w:t xml:space="preserve">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(paired RMSE differences: +0.002 for coordinate V-fit and −0.014 for</w:t>
      </w:r>
      <w:r>
        <w:t xml:space="preserve"> </w:t>
      </w:r>
      <w:r>
        <w:t xml:space="preserve">sorted rank). At 8× and 15 % shared anchors, however, coordinate V-fit had mean</w:t>
      </w:r>
      <w:r>
        <w:t xml:space="preserve"> </w:t>
      </w:r>
      <w:r>
        <w:t xml:space="preserve">RMSE 0.063 on the regular arm but 2.748 on the random arm, whereas sorted rank</w:t>
      </w:r>
      <w:r>
        <w:t xml:space="preserve"> </w:t>
      </w:r>
      <w:r>
        <w:t xml:space="preserve">was comparatively insensitive (0.278 versus 0.228).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5.</w:t>
      </w:r>
    </w:p>
    <w:p>
      <w:pPr>
        <w:pStyle w:val="BodyText"/>
      </w:pPr>
      <w:r>
        <w:rPr>
          <w:i/>
          <w:iCs/>
        </w:rPr>
        <w:t xml:space="preserve">(Fig. 5; Table 11)</w:t>
      </w:r>
    </w:p>
    <w:bookmarkEnd w:id="373"/>
    <w:bookmarkEnd w:id="374"/>
    <w:bookmarkStart w:id="375"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6)</w:t>
      </w:r>
    </w:p>
    <w:bookmarkEnd w:id="375"/>
    <w:bookmarkStart w:id="379" w:name="fragmented-references-and-mags"/>
    <w:p>
      <w:pPr>
        <w:pStyle w:val="Heading3"/>
      </w:pPr>
      <w:r>
        <w:t xml:space="preserve">6. Fragmented references and MAGs</w:t>
      </w:r>
    </w:p>
    <w:bookmarkStart w:id="376"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7).</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376"/>
    <w:bookmarkStart w:id="377"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7).</w:t>
      </w:r>
    </w:p>
    <w:bookmarkEnd w:id="377"/>
    <w:bookmarkStart w:id="378"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7; Table 8)</w:t>
      </w:r>
    </w:p>
    <w:bookmarkEnd w:id="378"/>
    <w:bookmarkEnd w:id="379"/>
    <w:bookmarkStart w:id="383" w:name="real-metagenomes"/>
    <w:p>
      <w:pPr>
        <w:pStyle w:val="Heading3"/>
      </w:pPr>
      <w:r>
        <w:t xml:space="preserve">7. Real metagenomes</w:t>
      </w:r>
    </w:p>
    <w:bookmarkStart w:id="380"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8; Table 10;</w:t>
      </w:r>
      <w:r>
        <w:t xml:space="preserve"> </w:t>
      </w:r>
      <w:r>
        <w:rPr>
          <w:rStyle w:val="VerbatimChar"/>
        </w:rPr>
        <w:t xml:space="preserve">data/sun_shallow/</w:t>
      </w:r>
      <w:r>
        <w:t xml:space="preserve">).</w:t>
      </w:r>
    </w:p>
    <w:bookmarkEnd w:id="380"/>
    <w:bookmarkStart w:id="381"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8).</w:t>
      </w:r>
    </w:p>
    <w:bookmarkEnd w:id="381"/>
    <w:bookmarkStart w:id="382"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rPr>
          <w:i/>
          <w:iCs/>
        </w:rPr>
        <w:t xml:space="preserve">(Fig. 9; Table 10)</w:t>
      </w:r>
    </w:p>
    <w:bookmarkEnd w:id="382"/>
    <w:bookmarkEnd w:id="383"/>
    <w:bookmarkStart w:id="384"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9d)</w:t>
      </w:r>
    </w:p>
    <w:bookmarkEnd w:id="384"/>
    <w:bookmarkEnd w:id="385"/>
    <w:bookmarkStart w:id="386"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7).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386"/>
    <w:bookmarkStart w:id="387"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bookmarkEnd w:id="387"/>
    <w:bookmarkStart w:id="388"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388"/>
    <w:bookmarkStart w:id="398" w:name="declarations"/>
    <w:p>
      <w:pPr>
        <w:pStyle w:val="Heading2"/>
      </w:pPr>
      <w:r>
        <w:t xml:space="preserve">Declarations</w:t>
      </w:r>
    </w:p>
    <w:bookmarkStart w:id="389"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389"/>
    <w:bookmarkStart w:id="390" w:name="consent-for-publication"/>
    <w:p>
      <w:pPr>
        <w:pStyle w:val="Heading3"/>
      </w:pPr>
      <w:r>
        <w:t xml:space="preserve">Consent for publication</w:t>
      </w:r>
    </w:p>
    <w:p>
      <w:pPr>
        <w:pStyle w:val="FirstParagraph"/>
      </w:pPr>
      <w:r>
        <w:t xml:space="preserve">Not applicable.</w:t>
      </w:r>
    </w:p>
    <w:bookmarkEnd w:id="390"/>
    <w:bookmarkStart w:id="392" w:name="availability-of-data-and-materials"/>
    <w:p>
      <w:pPr>
        <w:pStyle w:val="Heading3"/>
      </w:pPr>
      <w:r>
        <w:t xml:space="preserve">Availability of data and materials</w:t>
      </w:r>
    </w:p>
    <w:p>
      <w:pPr>
        <w:pStyle w:val="FirstParagraph"/>
      </w:pPr>
      <w:r>
        <w:t xml:space="preserve">sk2bGrow:</w:t>
      </w:r>
      <w:r>
        <w:t xml:space="preserve"> </w:t>
      </w:r>
      <w:hyperlink r:id="rId338">
        <w:r>
          <w:rPr>
            <w:rStyle w:val="Hyperlink"/>
          </w:rPr>
          <w:t xml:space="preserve">https://github.com/HuangShiLab/sk2bGrow</w:t>
        </w:r>
      </w:hyperlink>
      <w:r>
        <w:t xml:space="preserve">.</w:t>
      </w:r>
      <w:r>
        <w:t xml:space="preserve"> </w:t>
      </w:r>
      <w:r>
        <w:t xml:space="preserve">Manuscript, figures and figure code:</w:t>
      </w:r>
      <w:r>
        <w:t xml:space="preserve"> </w:t>
      </w:r>
      <w:hyperlink r:id="rId391">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5 code are</w:t>
      </w:r>
      <w:r>
        <w:t xml:space="preserve"> </w:t>
      </w:r>
      <w:r>
        <w:t xml:space="preserve">in</w:t>
      </w:r>
      <w:r>
        <w:t xml:space="preserve"> </w:t>
      </w:r>
      <w:r>
        <w:rPr>
          <w:rStyle w:val="VerbatimChar"/>
        </w:rPr>
        <w:t xml:space="preserve">factorial_benchmark/</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392"/>
    <w:bookmarkStart w:id="393" w:name="competing-interests"/>
    <w:p>
      <w:pPr>
        <w:pStyle w:val="Heading3"/>
      </w:pPr>
      <w:r>
        <w:t xml:space="preserve">Competing interests</w:t>
      </w:r>
    </w:p>
    <w:p>
      <w:pPr>
        <w:pStyle w:val="FirstParagraph"/>
      </w:pPr>
      <w:r>
        <w:t xml:space="preserve">The authors declare that they have no competing interests.</w:t>
      </w:r>
    </w:p>
    <w:bookmarkEnd w:id="393"/>
    <w:bookmarkStart w:id="394" w:name="funding"/>
    <w:p>
      <w:pPr>
        <w:pStyle w:val="Heading3"/>
      </w:pPr>
      <w:r>
        <w:t xml:space="preserve">Funding</w:t>
      </w:r>
    </w:p>
    <w:p>
      <w:pPr>
        <w:pStyle w:val="FirstParagraph"/>
      </w:pPr>
      <w:r>
        <w:t xml:space="preserve">[To be completed before submission.]</w:t>
      </w:r>
    </w:p>
    <w:bookmarkEnd w:id="394"/>
    <w:bookmarkStart w:id="395"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395"/>
    <w:bookmarkStart w:id="396" w:name="acknowledgements"/>
    <w:p>
      <w:pPr>
        <w:pStyle w:val="Heading3"/>
      </w:pPr>
      <w:r>
        <w:t xml:space="preserve">Acknowledgements</w:t>
      </w:r>
    </w:p>
    <w:p>
      <w:pPr>
        <w:pStyle w:val="FirstParagraph"/>
      </w:pPr>
      <w:r>
        <w:t xml:space="preserve">[To be completed before submission or state “Not applicable.”]</w:t>
      </w:r>
    </w:p>
    <w:bookmarkEnd w:id="396"/>
    <w:bookmarkStart w:id="397" w:name="authors-information"/>
    <w:p>
      <w:pPr>
        <w:pStyle w:val="Heading3"/>
      </w:pPr>
      <w:r>
        <w:t xml:space="preserve">Authors’ information</w:t>
      </w:r>
    </w:p>
    <w:p>
      <w:pPr>
        <w:pStyle w:val="FirstParagraph"/>
      </w:pPr>
      <w:r>
        <w:t xml:space="preserve">Not applicable.</w:t>
      </w:r>
    </w:p>
    <w:bookmarkEnd w:id="397"/>
    <w:bookmarkEnd w:id="398"/>
    <w:bookmarkStart w:id="407"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399">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400">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401">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402">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403">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404">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405">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406">
        <w:r>
          <w:rPr>
            <w:rStyle w:val="Hyperlink"/>
          </w:rPr>
          <w:t xml:space="preserve">10.1101/2022.01.11.475838</w:t>
        </w:r>
      </w:hyperlink>
    </w:p>
    <w:bookmarkEnd w:id="407"/>
    <w:bookmarkStart w:id="435" w:name="figures"/>
    <w:p>
      <w:pPr>
        <w:pStyle w:val="Heading2"/>
      </w:pPr>
      <w:r>
        <w:t xml:space="preserve">Figures</w:t>
      </w:r>
    </w:p>
    <w:p>
      <w:pPr>
        <w:pStyle w:val="CaptionedFigure"/>
      </w:pPr>
      <w:r>
        <w:drawing>
          <wp:inline>
            <wp:extent cx="5943600" cy="4067536"/>
            <wp:effectExtent b="0" l="0" r="0" t="0"/>
            <wp:docPr descr="Fig. 1. Overview and worked example" title="" id="409" name="Picture"/>
            <a:graphic>
              <a:graphicData uri="http://schemas.openxmlformats.org/drawingml/2006/picture">
                <pic:pic>
                  <pic:nvPicPr>
                    <pic:cNvPr descr="../figures/out/fig1_overview.png" id="410" name="Picture"/>
                    <pic:cNvPicPr>
                      <a:picLocks noChangeArrowheads="1" noChangeAspect="1"/>
                    </pic:cNvPicPr>
                  </pic:nvPicPr>
                  <pic:blipFill>
                    <a:blip r:embed="rId408"/>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412" name="Picture"/>
            <a:graphic>
              <a:graphicData uri="http://schemas.openxmlformats.org/drawingml/2006/picture">
                <pic:pic>
                  <pic:nvPicPr>
                    <pic:cNvPr descr="../figures/out/fig2_zheng_benchmark.png" id="413" name="Picture"/>
                    <pic:cNvPicPr>
                      <a:picLocks noChangeArrowheads="1" noChangeAspect="1"/>
                    </pic:cNvPicPr>
                  </pic:nvPicPr>
                  <pic:blipFill>
                    <a:blip r:embed="rId411"/>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415" name="Picture"/>
            <a:graphic>
              <a:graphicData uri="http://schemas.openxmlformats.org/drawingml/2006/picture">
                <pic:pic>
                  <pic:nvPicPr>
                    <pic:cNvPr descr="../figures/out/fig3_simulation.png" id="416" name="Picture"/>
                    <pic:cNvPicPr>
                      <a:picLocks noChangeArrowheads="1" noChangeAspect="1"/>
                    </pic:cNvPicPr>
                  </pic:nvPicPr>
                  <pic:blipFill>
                    <a:blip r:embed="rId414"/>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418" name="Picture"/>
            <a:graphic>
              <a:graphicData uri="http://schemas.openxmlformats.org/drawingml/2006/picture">
                <pic:pic>
                  <pic:nvPicPr>
                    <pic:cNvPr descr="../figures/out/fig4_attribution.png" id="419" name="Picture"/>
                    <pic:cNvPicPr>
                      <a:picLocks noChangeArrowheads="1" noChangeAspect="1"/>
                    </pic:cNvPicPr>
                  </pic:nvPicPr>
                  <pic:blipFill>
                    <a:blip r:embed="rId417"/>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1907620"/>
            <wp:effectExtent b="0" l="0" r="0" t="0"/>
            <wp:docPr descr="Fig. 5. Count-level factorial decomposition of estimator, depth and shared-anchor ambiguity" title="" id="421" name="Picture"/>
            <a:graphic>
              <a:graphicData uri="http://schemas.openxmlformats.org/drawingml/2006/picture">
                <pic:pic>
                  <pic:nvPicPr>
                    <pic:cNvPr descr="../figures/out/fig5_factorial_mechanism.png" id="422" name="Picture"/>
                    <pic:cNvPicPr>
                      <a:picLocks noChangeArrowheads="1" noChangeAspect="1"/>
                    </pic:cNvPicPr>
                  </pic:nvPicPr>
                  <pic:blipFill>
                    <a:blip r:embed="rId420"/>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Count-level factorial decomposition of estimator, depth and shared-anchor ambiguity</w:t>
      </w:r>
    </w:p>
    <w:p>
      <w:pPr>
        <w:pStyle w:val="CaptionedFigure"/>
      </w:pPr>
      <w:r>
        <w:drawing>
          <wp:inline>
            <wp:extent cx="5943600" cy="4181188"/>
            <wp:effectExtent b="0" l="0" r="0" t="0"/>
            <wp:docPr descr="Fig. 6. Panel-size sweep and GC range" title="" id="424" name="Picture"/>
            <a:graphic>
              <a:graphicData uri="http://schemas.openxmlformats.org/drawingml/2006/picture">
                <pic:pic>
                  <pic:nvPicPr>
                    <pic:cNvPr descr="../figures/out/fig6_panel_design.png" id="425" name="Picture"/>
                    <pic:cNvPicPr>
                      <a:picLocks noChangeArrowheads="1" noChangeAspect="1"/>
                    </pic:cNvPicPr>
                  </pic:nvPicPr>
                  <pic:blipFill>
                    <a:blip r:embed="rId423"/>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Panel-size sweep and GC range</w:t>
      </w:r>
    </w:p>
    <w:p>
      <w:pPr>
        <w:pStyle w:val="CaptionedFigure"/>
      </w:pPr>
      <w:r>
        <w:drawing>
          <wp:inline>
            <wp:extent cx="5943600" cy="4873369"/>
            <wp:effectExtent b="0" l="0" r="0" t="0"/>
            <wp:docPr descr="Fig. 7. Fragmentation and scaffolding" title="" id="427" name="Picture"/>
            <a:graphic>
              <a:graphicData uri="http://schemas.openxmlformats.org/drawingml/2006/picture">
                <pic:pic>
                  <pic:nvPicPr>
                    <pic:cNvPr descr="../figures/out/fig7_fragmentation.png" id="428" name="Picture"/>
                    <pic:cNvPicPr>
                      <a:picLocks noChangeArrowheads="1" noChangeAspect="1"/>
                    </pic:cNvPicPr>
                  </pic:nvPicPr>
                  <pic:blipFill>
                    <a:blip r:embed="rId426"/>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Fragmentation and scaffolding</w:t>
      </w:r>
    </w:p>
    <w:p>
      <w:pPr>
        <w:pStyle w:val="CaptionedFigure"/>
      </w:pPr>
      <w:r>
        <w:drawing>
          <wp:inline>
            <wp:extent cx="5943600" cy="2396004"/>
            <wp:effectExtent b="0" l="0" r="0" t="0"/>
            <wp:docPr descr="Fig. 8. Fecal-cohort concordance" title="" id="430" name="Picture"/>
            <a:graphic>
              <a:graphicData uri="http://schemas.openxmlformats.org/drawingml/2006/picture">
                <pic:pic>
                  <pic:nvPicPr>
                    <pic:cNvPr descr="../figures/out/fig8_metagenome.png" id="431" name="Picture"/>
                    <pic:cNvPicPr>
                      <a:picLocks noChangeArrowheads="1" noChangeAspect="1"/>
                    </pic:cNvPicPr>
                  </pic:nvPicPr>
                  <pic:blipFill>
                    <a:blip r:embed="rId429"/>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Fecal-cohort concordance</w:t>
      </w:r>
    </w:p>
    <w:p>
      <w:pPr>
        <w:pStyle w:val="CaptionedFigure"/>
      </w:pPr>
      <w:r>
        <w:drawing>
          <wp:inline>
            <wp:extent cx="5943600" cy="2642374"/>
            <wp:effectExtent b="0" l="0" r="0" t="0"/>
            <wp:docPr descr="Fig. 9. MAG-scale QC and cost" title="" id="433" name="Picture"/>
            <a:graphic>
              <a:graphicData uri="http://schemas.openxmlformats.org/drawingml/2006/picture">
                <pic:pic>
                  <pic:nvPicPr>
                    <pic:cNvPr descr="../figures/out/fig9_mag_qc_cost.png" id="434" name="Picture"/>
                    <pic:cNvPicPr>
                      <a:picLocks noChangeArrowheads="1" noChangeAspect="1"/>
                    </pic:cNvPicPr>
                  </pic:nvPicPr>
                  <pic:blipFill>
                    <a:blip r:embed="rId432"/>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MAG-scale QC and cost</w:t>
      </w:r>
    </w:p>
    <w:bookmarkEnd w:id="435"/>
    <w:bookmarkStart w:id="436"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means over 4/8/16/32-strain communities, even/10:1/100:1 abundance ratios and 10 replicates, shown for the regular coordinate arm. The random FracMinHash-like arm and paired source contrasts are in</w:t>
      </w:r>
      <w:r>
        <w:t xml:space="preserve"> </w:t>
      </w:r>
      <w:r>
        <w:rPr>
          <w:rStyle w:val="VerbatimChar"/>
        </w:rPr>
        <w:t xml:space="preserve">factorial_benchmark/factorial_long.tsv</w:t>
      </w:r>
      <w:r>
        <w:t xml:space="preserve"> </w:t>
      </w:r>
      <w:r>
        <w:t xml:space="preserve">and</w:t>
      </w:r>
      <w:r>
        <w:t xml:space="preserve"> </w:t>
      </w:r>
      <w:r>
        <w:rPr>
          <w:rStyle w:val="VerbatimChar"/>
        </w:rPr>
        <w:t xml:space="preserve">factorial_benchmark/factorial_source_contrasts.tsv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bookmarkEnd w:id="436"/>
    <w:bookmarkEnd w:id="437"/>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33" Target="numbering.xml" /><Relationship Type="http://schemas.openxmlformats.org/officeDocument/2006/relationships/styles" Id="rId332" Target="styles.xml" /><Relationship Type="http://schemas.openxmlformats.org/officeDocument/2006/relationships/settings" Id="rId331" Target="settings.xml" /><Relationship Type="http://schemas.openxmlformats.org/officeDocument/2006/relationships/webSettings" Id="rId330" Target="webSettings.xml" /><Relationship Type="http://schemas.openxmlformats.org/officeDocument/2006/relationships/fontTable" Id="rId329" Target="fontTable.xml" /><Relationship Type="http://schemas.openxmlformats.org/officeDocument/2006/relationships/theme" Id="rId328" Target="theme/theme1.xml" /><Relationship Type="http://schemas.openxmlformats.org/officeDocument/2006/relationships/footnotes" Id="rId327" Target="footnotes.xml" /><Relationship Type="http://schemas.openxmlformats.org/officeDocument/2006/relationships/comments" Id="rId326" Target="comments.xml" /><Relationship Id="rId9" Target="footer1.xml" Type="http://schemas.openxmlformats.org/officeDocument/2006/relationships/footer"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hyperlink" Id="rId400" Target="https://doi.org/10.1038/nbt.3704" TargetMode="External" /><Relationship Type="http://schemas.openxmlformats.org/officeDocument/2006/relationships/hyperlink" Id="rId403" Target="https://doi.org/10.1038/nmeth.2023" TargetMode="External" /><Relationship Type="http://schemas.openxmlformats.org/officeDocument/2006/relationships/hyperlink" Id="rId406" Target="https://doi.org/10.1101/2022.01.11.475838" TargetMode="External" /><Relationship Type="http://schemas.openxmlformats.org/officeDocument/2006/relationships/hyperlink" Id="rId401" Target="https://doi.org/10.1101/gr.275533.121" TargetMode="External" /><Relationship Type="http://schemas.openxmlformats.org/officeDocument/2006/relationships/hyperlink" Id="rId399" Target="https://doi.org/10.1126/science.aac4812" TargetMode="External" /><Relationship Type="http://schemas.openxmlformats.org/officeDocument/2006/relationships/hyperlink" Id="rId405" Target="https://doi.org/10.1186/s13059-021-02576-9" TargetMode="External" /><Relationship Type="http://schemas.openxmlformats.org/officeDocument/2006/relationships/hyperlink" Id="rId402" Target="https://doi.org/10.1186/s40168-026-02374-0" TargetMode="External" /><Relationship Type="http://schemas.openxmlformats.org/officeDocument/2006/relationships/hyperlink" Id="rId404" Target="https://doi.org/10.1371/journal.pone.0219882" TargetMode="External" /><Relationship Type="http://schemas.openxmlformats.org/officeDocument/2006/relationships/hyperlink" Id="rId338" Target="https://github.com/HuangShiLab/sk2bGrow" TargetMode="External" /><Relationship Type="http://schemas.openxmlformats.org/officeDocument/2006/relationships/hyperlink" Id="rId391"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400" Target="https://doi.org/10.1038/nbt.3704" TargetMode="External" /><Relationship Type="http://schemas.openxmlformats.org/officeDocument/2006/relationships/hyperlink" Id="rId403" Target="https://doi.org/10.1038/nmeth.2023" TargetMode="External" /><Relationship Type="http://schemas.openxmlformats.org/officeDocument/2006/relationships/hyperlink" Id="rId406" Target="https://doi.org/10.1101/2022.01.11.475838" TargetMode="External" /><Relationship Type="http://schemas.openxmlformats.org/officeDocument/2006/relationships/hyperlink" Id="rId401" Target="https://doi.org/10.1101/gr.275533.121" TargetMode="External" /><Relationship Type="http://schemas.openxmlformats.org/officeDocument/2006/relationships/hyperlink" Id="rId399" Target="https://doi.org/10.1126/science.aac4812" TargetMode="External" /><Relationship Type="http://schemas.openxmlformats.org/officeDocument/2006/relationships/hyperlink" Id="rId405" Target="https://doi.org/10.1186/s13059-021-02576-9" TargetMode="External" /><Relationship Type="http://schemas.openxmlformats.org/officeDocument/2006/relationships/hyperlink" Id="rId402" Target="https://doi.org/10.1186/s40168-026-02374-0" TargetMode="External" /><Relationship Type="http://schemas.openxmlformats.org/officeDocument/2006/relationships/hyperlink" Id="rId404" Target="https://doi.org/10.1371/journal.pone.0219882" TargetMode="External" /><Relationship Type="http://schemas.openxmlformats.org/officeDocument/2006/relationships/hyperlink" Id="rId338" Target="https://github.com/HuangShiLab/sk2bGrow" TargetMode="External" /><Relationship Type="http://schemas.openxmlformats.org/officeDocument/2006/relationships/hyperlink" Id="rId391"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2026-09-21T01:20:19Z</dcterms:created>
  <dcterms:modified xsi:type="dcterms:W3CDTF">2026-09-21T01:20:19Z</dcterms:modified>
</cp:coreProperties>
</file>

<file path=docProps/custom.xml><?xml version="1.0" encoding="utf-8"?>
<Properties xmlns="http://schemas.openxmlformats.org/officeDocument/2006/custom-properties" xmlns:vt="http://schemas.openxmlformats.org/officeDocument/2006/docPropsVTypes"/>
</file>