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upplementary-material"/>
    <w:p>
      <w:pPr>
        <w:pStyle w:val="Heading1"/>
      </w:pPr>
      <w:r>
        <w:t xml:space="preserve">Supplementary material</w:t>
      </w:r>
    </w:p>
    <w:bookmarkStart w:id="9" w:name="s1-software-provenance"/>
    <w:p>
      <w:pPr>
        <w:pStyle w:val="Heading2"/>
      </w:pPr>
      <w:r>
        <w:t xml:space="preserve">S1 Software provenance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sk2bGrow, current implementation after signed fixed-origin 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Zheng source archive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sk2bgrow-source-20261001.tar.gz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SHA256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8a157b800887df43d5417b901e229fc302554418c119a682499f129ea01c92a7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Zheng result archive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sk2bgrow-refresh-results-20260930.tar.gz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SHA256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4b5840dff3681aa0ca3c639e48d26c0cbcf4de48bc20eae6d7f3404da25315d1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Pilea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  <w:r>
              <w:t xml:space="preserve"> </w:t>
            </w:r>
            <w:r>
              <w:rPr>
                <w:rStyle w:val="VerbatimChar"/>
              </w:rPr>
              <w:t xml:space="preserve">pilea138</w:t>
            </w:r>
            <w:r>
              <w:t xml:space="preserve"> </w:t>
            </w:r>
            <w:r>
              <w:t xml:space="preserve">environment, v1.3.8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generator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benches/refresh_20260930/make_paper_figures.py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diagnostics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benches/refresh_20260930/review_checks.py</w:t>
            </w:r>
          </w:p>
        </w:tc>
      </w:tr>
    </w:tbl>
    <w:p>
      <w:pPr>
        <w:pStyle w:val="BodyText"/>
      </w:pPr>
      <w:r>
        <w:t xml:space="preserve">The final mixed-strain validation also records the current Git commit and the</w:t>
      </w:r>
      <w:r>
        <w:t xml:space="preserve"> </w:t>
      </w:r>
      <w:r>
        <w:t xml:space="preserve">16 reference FASTA SHA256 hashes in</w:t>
      </w:r>
      <w:r>
        <w:t xml:space="preserve"> </w:t>
      </w:r>
      <w:r>
        <w:rPr>
          <w:rStyle w:val="VerbatimChar"/>
        </w:rPr>
        <w:t xml:space="preserve">benches/mixedstrain_20261001/results/provenance.tsv</w:t>
      </w:r>
      <w:r>
        <w:t xml:space="preserve">.</w:t>
      </w:r>
    </w:p>
    <w:p>
      <w:pPr>
        <w:pStyle w:val="BodyText"/>
      </w:pPr>
      <w:r>
        <w:t xml:space="preserve">Real-community results are separately labelled below. They were run before the</w:t>
      </w:r>
      <w:r>
        <w:t xml:space="preserve"> </w:t>
      </w:r>
      <w:r>
        <w:t xml:space="preserve">current implementation refresh and are not described as current-code reruns.</w:t>
      </w:r>
    </w:p>
    <w:bookmarkEnd w:id="9"/>
    <w:bookmarkStart w:id="11" w:name="s2-zheng-benchmark-design"/>
    <w:p>
      <w:pPr>
        <w:pStyle w:val="Heading2"/>
      </w:pPr>
      <w:r>
        <w:t xml:space="preserve">S2 Zheng benchmark design</w:t>
      </w:r>
    </w:p>
    <w:p>
      <w:pPr>
        <w:pStyle w:val="Compact"/>
        <w:numPr>
          <w:ilvl w:val="0"/>
          <w:numId w:val="1001"/>
        </w:numPr>
      </w:pPr>
      <w:r>
        <w:t xml:space="preserve">BioProject: PRJNA615952.</w:t>
      </w:r>
    </w:p>
    <w:p>
      <w:pPr>
        <w:pStyle w:val="Compact"/>
        <w:numPr>
          <w:ilvl w:val="0"/>
          <w:numId w:val="1001"/>
        </w:numPr>
      </w:pPr>
      <w:r>
        <w:t xml:space="preserve">Conditions: 16 growing media plus RUN_OUT.</w:t>
      </w:r>
    </w:p>
    <w:p>
      <w:pPr>
        <w:pStyle w:val="Compact"/>
        <w:numPr>
          <w:ilvl w:val="0"/>
          <w:numId w:val="1001"/>
        </w:numPr>
      </w:pPr>
      <w:r>
        <w:t xml:space="preserve">Reads: paired sequencing subsamples.</w:t>
      </w:r>
    </w:p>
    <w:p>
      <w:pPr>
        <w:pStyle w:val="Compact"/>
        <w:numPr>
          <w:ilvl w:val="0"/>
          <w:numId w:val="1001"/>
        </w:numPr>
      </w:pPr>
      <w:r>
        <w:t xml:space="preserve">Subsample seeds:</w:t>
      </w:r>
      <w:r>
        <w:t xml:space="preserve"> </w:t>
      </w:r>
      <w:r>
        <w:rPr>
          <w:rStyle w:val="VerbatimChar"/>
        </w:rPr>
        <w:t xml:space="preserve">s0</w:t>
      </w:r>
      <w:r>
        <w:t xml:space="preserve"> </w:t>
      </w:r>
      <w:r>
        <w:t xml:space="preserve">archived C1 subsample;</w:t>
      </w:r>
      <w:r>
        <w:t xml:space="preserve"> </w:t>
      </w:r>
      <w:r>
        <w:rPr>
          <w:rStyle w:val="VerbatimChar"/>
        </w:rPr>
        <w:t xml:space="preserve">s1</w:t>
      </w:r>
      <w:r>
        <w:t xml:space="preserve">,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deterministic paired</w:t>
      </w:r>
      <w:r>
        <w:t xml:space="preserve"> </w:t>
      </w:r>
      <w:r>
        <w:t xml:space="preserve">resamples from the archived C1 20x pool.</w:t>
      </w:r>
    </w:p>
    <w:p>
      <w:pPr>
        <w:pStyle w:val="Compact"/>
        <w:numPr>
          <w:ilvl w:val="0"/>
          <w:numId w:val="1001"/>
        </w:numPr>
      </w:pPr>
      <w:r>
        <w:t xml:space="preserve">Depths: 0.5x, 1x, 2x, 5x, 10x.</w:t>
      </w:r>
    </w:p>
    <w:p>
      <w:pPr>
        <w:pStyle w:val="Compact"/>
        <w:numPr>
          <w:ilvl w:val="0"/>
          <w:numId w:val="1001"/>
        </w:numPr>
      </w:pPr>
      <w:r>
        <w:t xml:space="preserve">Completed profile outputs: 1,275.</w:t>
      </w:r>
    </w:p>
    <w:bookmarkStart w:id="10" w:name="s2.1-arms"/>
    <w:p>
      <w:pPr>
        <w:pStyle w:val="Heading3"/>
      </w:pPr>
      <w:r>
        <w:t xml:space="preserve">S2.1 Arms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sketch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16-enzyme anchors</w:t>
            </w:r>
          </w:p>
        </w:tc>
        <w:tc>
          <w:tcPr/>
          <w:p>
            <w:pPr>
              <w:pStyle w:val="Compact"/>
            </w:pPr>
            <w:r>
              <w:t xml:space="preserve">adaptive windows + coordinate V-fit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FracMinHash</w:t>
            </w:r>
          </w:p>
        </w:tc>
        <w:tc>
          <w:tcPr/>
          <w:p>
            <w:pPr>
              <w:pStyle w:val="Compact"/>
            </w:pPr>
            <w:r>
              <w:t xml:space="preserve">adaptive windows + coordinate V-fit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16-enzyme anchors</w:t>
            </w:r>
          </w:p>
        </w:tc>
        <w:tc>
          <w:tcPr/>
          <w:p>
            <w:pPr>
              <w:pStyle w:val="Compact"/>
            </w:pPr>
            <w:r>
              <w:t xml:space="preserve">25 kb windows + sorted/RANSAC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relaxed</w:t>
            </w:r>
          </w:p>
        </w:tc>
        <w:tc>
          <w:tcPr/>
          <w:p>
            <w:pPr>
              <w:pStyle w:val="Compact"/>
            </w:pPr>
            <w:r>
              <w:t xml:space="preserve">FracMinHash</w:t>
            </w:r>
          </w:p>
        </w:tc>
        <w:tc>
          <w:tcPr/>
          <w:p>
            <w:pPr>
              <w:pStyle w:val="Compact"/>
            </w:pPr>
            <w:r>
              <w:t xml:space="preserve">Pilea gates-off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default</w:t>
            </w:r>
          </w:p>
        </w:tc>
        <w:tc>
          <w:tcPr/>
          <w:p>
            <w:pPr>
              <w:pStyle w:val="Compact"/>
            </w:pPr>
            <w:r>
              <w:t xml:space="preserve">FracMinHash</w:t>
            </w:r>
          </w:p>
        </w:tc>
        <w:tc>
          <w:tcPr/>
          <w:p>
            <w:pPr>
              <w:pStyle w:val="Compact"/>
            </w:pPr>
            <w:r>
              <w:t xml:space="preserve">Pilea shipped defaults</w:t>
            </w:r>
          </w:p>
        </w:tc>
      </w:tr>
    </w:tbl>
    <w:bookmarkEnd w:id="10"/>
    <w:bookmarkEnd w:id="11"/>
    <w:bookmarkStart w:id="15" w:name="s3-zheng-statistics"/>
    <w:p>
      <w:pPr>
        <w:pStyle w:val="Heading2"/>
      </w:pPr>
      <w:r>
        <w:t xml:space="preserve">S3 Zheng statistics</w:t>
      </w:r>
    </w:p>
    <w:p>
      <w:pPr>
        <w:pStyle w:val="FirstParagraph"/>
      </w:pPr>
      <w:r>
        <w:t xml:space="preserve">Metrics average the three seed estimates within each growing medium and then</w:t>
      </w:r>
      <w:r>
        <w:t xml:space="preserve"> </w:t>
      </w:r>
      <w:r>
        <w:t xml:space="preserve">compare across media. The RUN_OUT condition is used as a negative control and</w:t>
      </w:r>
      <w:r>
        <w:t xml:space="preserve"> </w:t>
      </w:r>
      <w:r>
        <w:t xml:space="preserve">is excluded from correlations. Pearson and Spearman correlations use measured</w:t>
      </w:r>
      <w:r>
        <w:t xml:space="preserve"> </w:t>
      </w:r>
      <w:r>
        <w:t xml:space="preserve">growth rate. RMSE uses the Zheng predicted log2 PTR and is not independent</w:t>
      </w:r>
      <w:r>
        <w:t xml:space="preserve"> </w:t>
      </w:r>
      <w:r>
        <w:t xml:space="preserve">absolute accuracy.</w:t>
      </w:r>
    </w:p>
    <w:bookmarkStart w:id="12" w:name="s3.1-median-bootstrap-intervals"/>
    <w:p>
      <w:pPr>
        <w:pStyle w:val="Heading3"/>
      </w:pPr>
      <w:r>
        <w:t xml:space="preserve">S3.1 Median bootstrap intervals</w:t>
      </w:r>
    </w:p>
    <w:p>
      <w:pPr>
        <w:pStyle w:val="FirstParagraph"/>
      </w:pPr>
      <w:r>
        <w:rPr>
          <w:rStyle w:val="VerbatimChar"/>
        </w:rPr>
        <w:t xml:space="preserve">results/zheng_bootstrap_media.tsv</w:t>
      </w:r>
      <w:r>
        <w:t xml:space="preserve"> </w:t>
      </w:r>
      <w:r>
        <w:t xml:space="preserve">contains point estimates and 10,000-resample</w:t>
      </w:r>
      <w:r>
        <w:t xml:space="preserve"> </w:t>
      </w:r>
      <w:r>
        <w:t xml:space="preserve">medium-level 95% intervals. The bootstrap resamples media; seed estimates are</w:t>
      </w:r>
      <w:r>
        <w:t xml:space="preserve"> </w:t>
      </w:r>
      <w:r>
        <w:t xml:space="preserve">averaged within each selected medium. Therefore the interval does not represent</w:t>
      </w:r>
      <w:r>
        <w:t xml:space="preserve"> </w:t>
      </w:r>
      <w:r>
        <w:t xml:space="preserve">biological replication.</w:t>
      </w:r>
    </w:p>
    <w:bookmarkEnd w:id="12"/>
    <w:bookmarkStart w:id="13" w:name="s3.2-qc-instability"/>
    <w:p>
      <w:pPr>
        <w:pStyle w:val="Heading3"/>
      </w:pPr>
      <w:r>
        <w:t xml:space="preserve">S3.2 QC instability</w:t>
      </w:r>
    </w:p>
    <w:p>
      <w:pPr>
        <w:pStyle w:val="FirstParagraph"/>
      </w:pPr>
      <w:r>
        <w:rPr>
          <w:rStyle w:val="VerbatimChar"/>
        </w:rPr>
        <w:t xml:space="preserve">results/zheng_qc_pass_counts.tsv</w:t>
      </w:r>
      <w:r>
        <w:t xml:space="preserve"> </w:t>
      </w:r>
      <w:r>
        <w:t xml:space="preserve">reports exact pass counts per seed and the</w:t>
      </w:r>
      <w:r>
        <w:t xml:space="preserve"> </w:t>
      </w:r>
      <w:r>
        <w:t xml:space="preserve">number of media passing in all or any seed. Mean pass counts are not equivalent</w:t>
      </w:r>
      <w:r>
        <w:t xml:space="preserve"> </w:t>
      </w:r>
      <w:r>
        <w:t xml:space="preserve">to reproducible deployment.</w:t>
      </w:r>
    </w:p>
    <w:bookmarkEnd w:id="13"/>
    <w:bookmarkStart w:id="14" w:name="s3.3-paired-a-minus-e-diagnostics"/>
    <w:p>
      <w:pPr>
        <w:pStyle w:val="Heading3"/>
      </w:pPr>
      <w:r>
        <w:t xml:space="preserve">S3.3 Paired A-minus-E diagnostics</w:t>
      </w:r>
    </w:p>
    <w:p>
      <w:pPr>
        <w:pStyle w:val="FirstParagraph"/>
      </w:pPr>
      <w:r>
        <w:rPr>
          <w:rStyle w:val="VerbatimChar"/>
        </w:rPr>
        <w:t xml:space="preserve">results/zheng_arm_delta_bootstrap.tsv</w:t>
      </w:r>
      <w:r>
        <w:t xml:space="preserve"> </w:t>
      </w:r>
      <w:r>
        <w:t xml:space="preserve">reports deltas for Pearson, Spearman,</w:t>
      </w:r>
      <w:r>
        <w:t xml:space="preserve"> </w:t>
      </w:r>
      <w:r>
        <w:t xml:space="preserve">RMSE and slope. Exploratory bootstrap p values are unadjusted. The primary</w:t>
      </w:r>
      <w:r>
        <w:t xml:space="preserve"> </w:t>
      </w:r>
      <w:r>
        <w:t xml:space="preserve">inference uses intervals and effect direction, not significance testing.</w:t>
      </w:r>
    </w:p>
    <w:bookmarkEnd w:id="14"/>
    <w:bookmarkEnd w:id="15"/>
    <w:bookmarkStart w:id="16" w:name="s4-a4-window-rate-statistics"/>
    <w:p>
      <w:pPr>
        <w:pStyle w:val="Heading2"/>
      </w:pPr>
      <w:r>
        <w:t xml:space="preserve">S4 A4 window-rate statistics</w:t>
      </w:r>
    </w:p>
    <w:p>
      <w:pPr>
        <w:pStyle w:val="FirstParagraph"/>
      </w:pPr>
      <w:r>
        <w:t xml:space="preserve">A4 simulations used real E. coli K-12 coordinates and known tent amplitudes.</w:t>
      </w:r>
      <w:r>
        <w:t xml:space="preserve"> </w:t>
      </w:r>
      <w:r>
        <w:t xml:space="preserve">Depths were 0.5/1/2/5x; true log2 PTR values were 0/0.5/1/1.5/2; there were</w:t>
      </w:r>
      <w:r>
        <w:t xml:space="preserve"> </w:t>
      </w:r>
      <w:r>
        <w:t xml:space="preserve">three seeds. The Poisson arm used integer Poisson counts. The NB arm applied</w:t>
      </w:r>
      <w:r>
        <w:t xml:space="preserve"> </w:t>
      </w:r>
      <w:r>
        <w:t xml:space="preserve">per-kilobase lognormal efficiencies with sigma 0.5. Exact expected counts were</w:t>
      </w:r>
      <w:r>
        <w:t xml:space="preserve"> </w:t>
      </w:r>
      <w:r>
        <w:t xml:space="preserve">reconstructed from the simulator and joined to production windows.</w:t>
      </w:r>
    </w:p>
    <w:p>
      <w:pPr>
        <w:pStyle w:val="BodyText"/>
      </w:pPr>
      <w:r>
        <w:rPr>
          <w:rStyle w:val="VerbatimChar"/>
        </w:rPr>
        <w:t xml:space="preserve">results/a4_slope_bootstrap.tsv</w:t>
      </w:r>
      <w:r>
        <w:t xml:space="preserve"> </w:t>
      </w:r>
      <w:r>
        <w:t xml:space="preserve">contains slope and b=0 intervals from 10,000</w:t>
      </w:r>
      <w:r>
        <w:t xml:space="preserve"> </w:t>
      </w:r>
      <w:r>
        <w:t xml:space="preserve">replicate bootstrap resamples. Replicates are technical simulation seeds.</w:t>
      </w:r>
    </w:p>
    <w:bookmarkEnd w:id="16"/>
    <w:bookmarkStart w:id="17" w:name="s5-r3-coordinate-qc-statistics"/>
    <w:p>
      <w:pPr>
        <w:pStyle w:val="Heading2"/>
      </w:pPr>
      <w:r>
        <w:t xml:space="preserve">S5 R3 coordinate-QC statistics</w:t>
      </w:r>
    </w:p>
    <w:p>
      <w:pPr>
        <w:pStyle w:val="FirstParagraph"/>
      </w:pPr>
      <w:r>
        <w:t xml:space="preserve">R3 evaluated 27 references across complete, ordered and scrambled coordinate</w:t>
      </w:r>
      <w:r>
        <w:t xml:space="preserve"> </w:t>
      </w:r>
      <w:r>
        <w:t xml:space="preserve">families, 12 read cells and 324 profiles. The primary statistic used two</w:t>
      </w:r>
      <w:r>
        <w:t xml:space="preserve"> </w:t>
      </w:r>
      <w:r>
        <w:t xml:space="preserve">branches:</w:t>
      </w:r>
    </w:p>
    <w:p>
      <w:pPr>
        <w:pStyle w:val="Compact"/>
        <w:numPr>
          <w:ilvl w:val="0"/>
          <w:numId w:val="1002"/>
        </w:numPr>
      </w:pPr>
      <w:r>
        <w:t xml:space="preserve">slope branch: within-contig amplitude versus global fitted amplitude;</w:t>
      </w:r>
    </w:p>
    <w:p>
      <w:pPr>
        <w:pStyle w:val="Compact"/>
        <w:numPr>
          <w:ilvl w:val="0"/>
          <w:numId w:val="1002"/>
        </w:numPr>
      </w:pPr>
      <w:r>
        <w:t xml:space="preserve">jump branch: excess squared rate jump across contig boundaries.</w:t>
      </w:r>
    </w:p>
    <w:p>
      <w:pPr>
        <w:pStyle w:val="FirstParagraph"/>
      </w:pPr>
      <w:r>
        <w:t xml:space="preserve">The primary threshold used</w:t>
      </w:r>
      <w:r>
        <w:t xml:space="preserve"> </w:t>
      </w:r>
      <w:r>
        <w:rPr>
          <w:rStyle w:val="VerbatimChar"/>
        </w:rPr>
        <w:t xml:space="preserve">z_short &gt; 2.0</w:t>
      </w:r>
      <w:r>
        <w:t xml:space="preserve">. The review sensitivity table varied</w:t>
      </w:r>
      <w:r>
        <w:t xml:space="preserve"> </w:t>
      </w:r>
      <w:r>
        <w:t xml:space="preserve">this threshold from 2.0 to 3.0. A post-hoc threshold of 2.5 removed the observed</w:t>
      </w:r>
      <w:r>
        <w:t xml:space="preserve"> </w:t>
      </w:r>
      <w:r>
        <w:t xml:space="preserve">stationary false fire while retaining all strong 5–10x detections. Independent</w:t>
      </w:r>
      <w:r>
        <w:t xml:space="preserve"> </w:t>
      </w:r>
      <w:r>
        <w:t xml:space="preserve">validation is required before production use.</w:t>
      </w:r>
    </w:p>
    <w:bookmarkEnd w:id="17"/>
    <w:bookmarkStart w:id="18" w:name="s6-mixed-strain-simulation"/>
    <w:p>
      <w:pPr>
        <w:pStyle w:val="Heading2"/>
      </w:pPr>
      <w:r>
        <w:t xml:space="preserve">S6 Mixed-strain simulation</w:t>
      </w:r>
    </w:p>
    <w:p>
      <w:pPr>
        <w:pStyle w:val="FirstParagraph"/>
      </w:pPr>
      <w:r>
        <w:t xml:space="preserve">The mixed-strain validation used 16 bacterial reference genomes. Communities</w:t>
      </w:r>
      <w:r>
        <w:t xml:space="preserve"> </w:t>
      </w:r>
      <w:r>
        <w:t xml:space="preserve">contained 4, 8 or 16 strains. Selected genomes received 1, 2 or 4x coverage per</w:t>
      </w:r>
      <w:r>
        <w:t xml:space="preserve"> </w:t>
      </w:r>
      <w:r>
        <w:t xml:space="preserve">genome, and each cell had two simulation replicates. Strain-specific true log2</w:t>
      </w:r>
      <w:r>
        <w:t xml:space="preserve"> </w:t>
      </w:r>
      <w:r>
        <w:t xml:space="preserve">PTR values were drawn from Uniform(0,2). Reads followed a V-shaped origin-terminus</w:t>
      </w:r>
      <w:r>
        <w:t xml:space="preserve"> </w:t>
      </w:r>
      <w:r>
        <w:t xml:space="preserve">profile.</w:t>
      </w:r>
    </w:p>
    <w:p>
      <w:pPr>
        <w:pStyle w:val="BodyText"/>
      </w:pPr>
      <w:r>
        <w:t xml:space="preserve">Reported metrics:</w:t>
      </w:r>
    </w:p>
    <w:p>
      <w:pPr>
        <w:pStyle w:val="Compact"/>
        <w:numPr>
          <w:ilvl w:val="0"/>
          <w:numId w:val="1003"/>
        </w:numPr>
      </w:pPr>
      <w:r>
        <w:t xml:space="preserve">recall: selected true genomes with a finite estimate / all selected genomes;</w:t>
      </w:r>
    </w:p>
    <w:p>
      <w:pPr>
        <w:pStyle w:val="Compact"/>
        <w:numPr>
          <w:ilvl w:val="0"/>
          <w:numId w:val="1003"/>
        </w:numPr>
      </w:pPr>
      <w:r>
        <w:t xml:space="preserve">RMSE: root mean squared error of matched log2 PTR estimates;</w:t>
      </w:r>
    </w:p>
    <w:p>
      <w:pPr>
        <w:pStyle w:val="Compact"/>
        <w:numPr>
          <w:ilvl w:val="0"/>
          <w:numId w:val="1003"/>
        </w:numPr>
      </w:pPr>
      <w:r>
        <w:t xml:space="preserve">bias: mean signed matched error;</w:t>
      </w:r>
    </w:p>
    <w:p>
      <w:pPr>
        <w:pStyle w:val="Compact"/>
        <w:numPr>
          <w:ilvl w:val="0"/>
          <w:numId w:val="1003"/>
        </w:numPr>
      </w:pPr>
      <w:r>
        <w:t xml:space="preserve">spurious: reported genomes absent from truth.</w:t>
      </w:r>
    </w:p>
    <w:bookmarkEnd w:id="18"/>
    <w:bookmarkStart w:id="23" w:name="s7-real-community-benchmarks"/>
    <w:p>
      <w:pPr>
        <w:pStyle w:val="Heading2"/>
      </w:pPr>
      <w:r>
        <w:t xml:space="preserve">S7 Real-community benchmarks</w:t>
      </w:r>
    </w:p>
    <w:bookmarkStart w:id="19" w:name="s7.1-c1b-cross-species-isolates"/>
    <w:p>
      <w:pPr>
        <w:pStyle w:val="Heading3"/>
      </w:pPr>
      <w:r>
        <w:t xml:space="preserve">S7.1 C1b cross-species isolates</w:t>
      </w:r>
    </w:p>
    <w:p>
      <w:pPr>
        <w:pStyle w:val="Compact"/>
        <w:numPr>
          <w:ilvl w:val="0"/>
          <w:numId w:val="1004"/>
        </w:numPr>
      </w:pPr>
      <w:r>
        <w:t xml:space="preserve">BioProject: PRJNA1280254.</w:t>
      </w:r>
    </w:p>
    <w:p>
      <w:pPr>
        <w:pStyle w:val="Compact"/>
        <w:numPr>
          <w:ilvl w:val="0"/>
          <w:numId w:val="1004"/>
        </w:numPr>
      </w:pPr>
      <w:r>
        <w:t xml:space="preserve">Design: four wastewater isolate species (</w:t>
      </w:r>
      <w:r>
        <w:rPr>
          <w:i/>
          <w:iCs/>
        </w:rPr>
        <w:t xml:space="preserve">Bacillus subtilis</w:t>
      </w:r>
      <w:r>
        <w:t xml:space="preserve">,</w:t>
      </w:r>
      <w:r>
        <w:t xml:space="preserve"> </w:t>
      </w:r>
      <w:r>
        <w:rPr>
          <w:i/>
          <w:iCs/>
        </w:rPr>
        <w:t xml:space="preserve">Klebsiella pneumoniae</w:t>
      </w:r>
      <w:r>
        <w:t xml:space="preserve">,</w:t>
      </w:r>
      <w:r>
        <w:t xml:space="preserve"> </w:t>
      </w:r>
      <w:r>
        <w:rPr>
          <w:i/>
          <w:iCs/>
        </w:rPr>
        <w:t xml:space="preserve">Morganella morganii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Pseudomonas putida</w:t>
      </w:r>
      <w:r>
        <w:t xml:space="preserve">)</w:t>
      </w:r>
      <w:r>
        <w:t xml:space="preserve"> </w:t>
      </w:r>
      <w:r>
        <w:t xml:space="preserve">across five nutrient concentrations.</w:t>
      </w:r>
    </w:p>
    <w:p>
      <w:pPr>
        <w:pStyle w:val="Compact"/>
        <w:numPr>
          <w:ilvl w:val="0"/>
          <w:numId w:val="1004"/>
        </w:numPr>
      </w:pPr>
      <w:r>
        <w:t xml:space="preserve">Subsampling: 0.5, 1, 2, 5 and 10x species-assembly coverage.</w:t>
      </w:r>
    </w:p>
    <w:p>
      <w:pPr>
        <w:pStyle w:val="Compact"/>
        <w:numPr>
          <w:ilvl w:val="0"/>
          <w:numId w:val="1004"/>
        </w:numPr>
      </w:pPr>
      <w:r>
        <w:t xml:space="preserve">Protocols: sk2bGrow fixed coordinate estimator; Pilea v1.3.8 default;</w:t>
      </w:r>
      <w:r>
        <w:t xml:space="preserve"> </w:t>
      </w:r>
      <w:r>
        <w:t xml:space="preserve">Pilea gates-off (</w:t>
      </w:r>
      <w:r>
        <w:rPr>
          <w:rStyle w:val="VerbatimChar"/>
        </w:rPr>
        <w:t xml:space="preserve">-x 0 -z 0 -c 0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Truth: digitized from the source article’s growth-rate figure and validated</w:t>
      </w:r>
      <w:r>
        <w:t xml:space="preserve"> </w:t>
      </w:r>
      <w:r>
        <w:t xml:space="preserve">against printed panel correlations to within 2e-4.</w:t>
      </w:r>
    </w:p>
    <w:p>
      <w:pPr>
        <w:pStyle w:val="Compact"/>
        <w:numPr>
          <w:ilvl w:val="0"/>
          <w:numId w:val="1004"/>
        </w:numPr>
      </w:pPr>
      <w:r>
        <w:t xml:space="preserve">Caveat: RMSE against the paper’s predicted log2 PTR is a same-reads</w:t>
      </w:r>
      <w:r>
        <w:t xml:space="preserve"> </w:t>
      </w:r>
      <w:r>
        <w:t xml:space="preserve">comparison, not independent absolute accuracy.</w:t>
      </w:r>
    </w:p>
    <w:bookmarkEnd w:id="19"/>
    <w:bookmarkStart w:id="20" w:name="s7.2-c4-marine-metagenomes"/>
    <w:p>
      <w:pPr>
        <w:pStyle w:val="Heading3"/>
      </w:pPr>
      <w:r>
        <w:t xml:space="preserve">S7.2 C4 marine metagenomes</w:t>
      </w:r>
    </w:p>
    <w:p>
      <w:pPr>
        <w:pStyle w:val="Compact"/>
        <w:numPr>
          <w:ilvl w:val="0"/>
          <w:numId w:val="1005"/>
        </w:numPr>
      </w:pPr>
      <w:r>
        <w:t xml:space="preserve">BioProject: PRJNA551656.</w:t>
      </w:r>
    </w:p>
    <w:p>
      <w:pPr>
        <w:pStyle w:val="Compact"/>
        <w:numPr>
          <w:ilvl w:val="0"/>
          <w:numId w:val="1005"/>
        </w:numPr>
      </w:pPr>
      <w:r>
        <w:t xml:space="preserve">Design: 20 marine surface-water metagenomes and 101 marine MAGs.</w:t>
      </w:r>
    </w:p>
    <w:p>
      <w:pPr>
        <w:pStyle w:val="Compact"/>
        <w:numPr>
          <w:ilvl w:val="0"/>
          <w:numId w:val="1005"/>
        </w:numPr>
      </w:pPr>
      <w:r>
        <w:t xml:space="preserve">Protocols: sk2bGrow and Pilea default; Pilea gates-off was recorded but had</w:t>
      </w:r>
      <w:r>
        <w:t xml:space="preserve"> </w:t>
      </w:r>
      <w:r>
        <w:t xml:space="preserve">16/20 sample crashes and no balanced protocol correlation set.</w:t>
      </w:r>
    </w:p>
    <w:p>
      <w:pPr>
        <w:pStyle w:val="Compact"/>
        <w:numPr>
          <w:ilvl w:val="0"/>
          <w:numId w:val="1005"/>
        </w:numPr>
      </w:pPr>
      <w:r>
        <w:t xml:space="preserve">Interpretation: a MAG is protocol-comparable only when both protocols have</w:t>
      </w:r>
      <w:r>
        <w:t xml:space="preserve"> </w:t>
      </w:r>
      <w:r>
        <w:t xml:space="preserve">finite matched samples. Growth-rate truth from Long et al. was derived from</w:t>
      </w:r>
      <w:r>
        <w:t xml:space="preserve"> </w:t>
      </w:r>
      <w:r>
        <w:t xml:space="preserve">the same reads, so C4 is agreement analysis rather than absolute accuracy.</w:t>
      </w:r>
    </w:p>
    <w:bookmarkEnd w:id="20"/>
    <w:bookmarkStart w:id="21" w:name="Xae0009084fd7f42b02b8271d933ed8338c0ab44"/>
    <w:p>
      <w:pPr>
        <w:pStyle w:val="Heading3"/>
      </w:pPr>
      <w:r>
        <w:t xml:space="preserve">S7.3 C5 rotating biological contactor application</w:t>
      </w:r>
    </w:p>
    <w:p>
      <w:pPr>
        <w:pStyle w:val="Compact"/>
        <w:numPr>
          <w:ilvl w:val="0"/>
          <w:numId w:val="1006"/>
        </w:numPr>
      </w:pPr>
      <w:r>
        <w:t xml:space="preserve">BioProject: PRJNA974210.</w:t>
      </w:r>
    </w:p>
    <w:p>
      <w:pPr>
        <w:pStyle w:val="Compact"/>
        <w:numPr>
          <w:ilvl w:val="0"/>
          <w:numId w:val="1006"/>
        </w:numPr>
      </w:pPr>
      <w:r>
        <w:t xml:space="preserve">Design: nine metagenomes and 522 bacterial MAGs (4,698 expected MAG-sample</w:t>
      </w:r>
      <w:r>
        <w:t xml:space="preserve"> </w:t>
      </w:r>
      <w:r>
        <w:t xml:space="preserve">cells).</w:t>
      </w:r>
    </w:p>
    <w:p>
      <w:pPr>
        <w:pStyle w:val="Compact"/>
        <w:numPr>
          <w:ilvl w:val="0"/>
          <w:numId w:val="1006"/>
        </w:numPr>
      </w:pPr>
      <w:r>
        <w:t xml:space="preserve">Outcomes: estimate recall, default-QC passes, suspicious absent-genome</w:t>
      </w:r>
      <w:r>
        <w:t xml:space="preserve"> </w:t>
      </w:r>
      <w:r>
        <w:t xml:space="preserve">confident estimates, cross-sample consistency and wall time.</w:t>
      </w:r>
    </w:p>
    <w:p>
      <w:pPr>
        <w:pStyle w:val="Compact"/>
        <w:numPr>
          <w:ilvl w:val="0"/>
          <w:numId w:val="1006"/>
        </w:numPr>
      </w:pPr>
      <w:r>
        <w:t xml:space="preserve">Interpretation: C5 tests application-scale recall and workflow coverage. It</w:t>
      </w:r>
      <w:r>
        <w:t xml:space="preserve"> </w:t>
      </w:r>
      <w:r>
        <w:t xml:space="preserve">has no independent growth-rate truth and does not establish accuracy.</w:t>
      </w:r>
    </w:p>
    <w:bookmarkEnd w:id="21"/>
    <w:bookmarkStart w:id="22" w:name="s7.4-real-community-provenance-caveat"/>
    <w:p>
      <w:pPr>
        <w:pStyle w:val="Heading3"/>
      </w:pPr>
      <w:r>
        <w:t xml:space="preserve">S7.4 Real-community provenance caveat</w:t>
      </w:r>
    </w:p>
    <w:p>
      <w:pPr>
        <w:pStyle w:val="FirstParagraph"/>
      </w:pPr>
      <w:r>
        <w:t xml:space="preserve">The C1b, C4 and C5 runs used sk2bGrow commit</w:t>
      </w:r>
      <w:r>
        <w:t xml:space="preserve"> </w:t>
      </w:r>
      <w:r>
        <w:rPr>
          <w:rStyle w:val="VerbatimChar"/>
        </w:rPr>
        <w:t xml:space="preserve">275778f350b87e10c6366bf90884d965fbab45a6</w:t>
      </w:r>
      <w:r>
        <w:t xml:space="preserve"> </w:t>
      </w:r>
      <w:r>
        <w:t xml:space="preserve">plus working-tree fixes to</w:t>
      </w:r>
      <w:r>
        <w:t xml:space="preserve"> </w:t>
      </w:r>
      <w:r>
        <w:rPr>
          <w:rStyle w:val="VerbatimChar"/>
        </w:rPr>
        <w:t xml:space="preserve">python/sk2bgrow/fit.py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python/sk2bgrow/ztp.py</w:t>
      </w:r>
      <w:r>
        <w:t xml:space="preserve">, with Pilea v1.3.8. They</w:t>
      </w:r>
      <w:r>
        <w:t xml:space="preserve"> </w:t>
      </w:r>
      <w:r>
        <w:t xml:space="preserve">were not rerun at the current implementation commit.</w:t>
      </w:r>
    </w:p>
    <w:bookmarkEnd w:id="22"/>
    <w:bookmarkEnd w:id="23"/>
    <w:bookmarkStart w:id="24" w:name="s8-data-availability"/>
    <w:p>
      <w:pPr>
        <w:pStyle w:val="Heading2"/>
      </w:pPr>
      <w:r>
        <w:t xml:space="preserve">S8 Data availability</w:t>
      </w:r>
    </w:p>
    <w:p>
      <w:pPr>
        <w:pStyle w:val="Compact"/>
        <w:numPr>
          <w:ilvl w:val="0"/>
          <w:numId w:val="1007"/>
        </w:numPr>
      </w:pPr>
      <w:r>
        <w:t xml:space="preserve">Zheng 2020 reads: BioProject PRJNA615952.</w:t>
      </w:r>
    </w:p>
    <w:p>
      <w:pPr>
        <w:pStyle w:val="Compact"/>
        <w:numPr>
          <w:ilvl w:val="0"/>
          <w:numId w:val="1007"/>
        </w:numPr>
      </w:pPr>
      <w:r>
        <w:t xml:space="preserve">C1b reads: BioProject PRJNA1280254.</w:t>
      </w:r>
    </w:p>
    <w:p>
      <w:pPr>
        <w:pStyle w:val="Compact"/>
        <w:numPr>
          <w:ilvl w:val="0"/>
          <w:numId w:val="1007"/>
        </w:numPr>
      </w:pPr>
      <w:r>
        <w:t xml:space="preserve">C4 reads: BioProject PRJNA551656.</w:t>
      </w:r>
    </w:p>
    <w:p>
      <w:pPr>
        <w:pStyle w:val="Compact"/>
        <w:numPr>
          <w:ilvl w:val="0"/>
          <w:numId w:val="1007"/>
        </w:numPr>
      </w:pPr>
      <w:r>
        <w:t xml:space="preserve">C5 reads: BioProject PRJNA974210.</w:t>
      </w:r>
    </w:p>
    <w:p>
      <w:pPr>
        <w:pStyle w:val="Compact"/>
        <w:numPr>
          <w:ilvl w:val="0"/>
          <w:numId w:val="1007"/>
        </w:numPr>
      </w:pPr>
      <w:r>
        <w:t xml:space="preserve">Reference panel: 16 bacterial FASTA files included with benchmark scripts and</w:t>
      </w:r>
      <w:r>
        <w:t xml:space="preserve"> </w:t>
      </w:r>
      <w:r>
        <w:t xml:space="preserve">checksummed in the mixed-strain provenance table.</w:t>
      </w:r>
    </w:p>
    <w:p>
      <w:pPr>
        <w:pStyle w:val="Compact"/>
        <w:numPr>
          <w:ilvl w:val="0"/>
          <w:numId w:val="1007"/>
        </w:numPr>
      </w:pPr>
      <w:r>
        <w:t xml:space="preserve">Implementation: sk2bGrow repository.</w:t>
      </w:r>
    </w:p>
    <w:p>
      <w:pPr>
        <w:pStyle w:val="Compact"/>
        <w:numPr>
          <w:ilvl w:val="0"/>
          <w:numId w:val="1007"/>
        </w:numPr>
      </w:pPr>
      <w:r>
        <w:t xml:space="preserve">Result archives: hashes listed in S1.</w:t>
      </w:r>
    </w:p>
    <w:p>
      <w:pPr>
        <w:pStyle w:val="Compact"/>
        <w:numPr>
          <w:ilvl w:val="0"/>
          <w:numId w:val="1007"/>
        </w:numPr>
      </w:pPr>
      <w:r>
        <w:t xml:space="preserve">Figure source:</w:t>
      </w:r>
      <w:r>
        <w:t xml:space="preserve"> </w:t>
      </w:r>
      <w:r>
        <w:rPr>
          <w:rStyle w:val="VerbatimChar"/>
        </w:rPr>
        <w:t xml:space="preserve">benches/refresh_20260930/make_paper_figures.py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Mixed-strain source:</w:t>
      </w:r>
      <w:r>
        <w:t xml:space="preserve"> </w:t>
      </w:r>
      <w:r>
        <w:rPr>
          <w:rStyle w:val="VerbatimChar"/>
        </w:rPr>
        <w:t xml:space="preserve">benches/mixedstrain_20261001/run_validation.sh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Review diagnostics:</w:t>
      </w:r>
      <w:r>
        <w:t xml:space="preserve"> </w:t>
      </w:r>
      <w:r>
        <w:rPr>
          <w:rStyle w:val="VerbatimChar"/>
        </w:rPr>
        <w:t xml:space="preserve">benches/refresh_20260930/review_checks.py</w:t>
      </w:r>
      <w:r>
        <w:t xml:space="preserve">.</w:t>
      </w:r>
    </w:p>
    <w:p>
      <w:pPr>
        <w:pStyle w:val="FirstParagraph"/>
      </w:pPr>
      <w:r>
        <w:t xml:space="preserve">A citable archival DOI should be generated for the final source and result</w:t>
      </w:r>
      <w:r>
        <w:t xml:space="preserve"> </w:t>
      </w:r>
      <w:r>
        <w:t xml:space="preserve">archives on Zenodo or another DOI-issuing repository before submission.</w:t>
      </w:r>
    </w:p>
    <w:bookmarkEnd w:id="24"/>
    <w:bookmarkStart w:id="25" w:name="s9-code-availability"/>
    <w:p>
      <w:pPr>
        <w:pStyle w:val="Heading2"/>
      </w:pPr>
      <w:r>
        <w:t xml:space="preserve">S9 Code availability</w:t>
      </w:r>
    </w:p>
    <w:p>
      <w:pPr>
        <w:pStyle w:val="FirstParagraph"/>
      </w:pPr>
      <w:r>
        <w:t xml:space="preserve">The code is available under the repository LICENSE. The exact source archive</w:t>
      </w:r>
      <w:r>
        <w:t xml:space="preserve"> </w:t>
      </w:r>
      <w:r>
        <w:t xml:space="preserve">hash and result archive hash are part of this supplement. The final commit hash</w:t>
      </w:r>
      <w:r>
        <w:t xml:space="preserve"> </w:t>
      </w:r>
      <w:r>
        <w:t xml:space="preserve">should be recorded beside these hashes when the manuscript is submitted.</w:t>
      </w:r>
    </w:p>
    <w:bookmarkEnd w:id="25"/>
    <w:bookmarkStart w:id="26" w:name="s10-claim-consistency-rules"/>
    <w:p>
      <w:pPr>
        <w:pStyle w:val="Heading2"/>
      </w:pPr>
      <w:r>
        <w:t xml:space="preserve">S10 Claim-consistency rules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t xml:space="preserve">“all finite”</w:t>
      </w:r>
      <w:r>
        <w:t xml:space="preserve"> </w:t>
      </w:r>
      <w:r>
        <w:t xml:space="preserve">for estimator signal and</w:t>
      </w:r>
      <w:r>
        <w:t xml:space="preserve"> </w:t>
      </w:r>
      <w:r>
        <w:t xml:space="preserve">“default QC passed”</w:t>
      </w:r>
      <w:r>
        <w:t xml:space="preserve"> </w:t>
      </w:r>
      <w:r>
        <w:t xml:space="preserve">for deployment.</w:t>
      </w:r>
    </w:p>
    <w:p>
      <w:pPr>
        <w:pStyle w:val="Compact"/>
        <w:numPr>
          <w:ilvl w:val="0"/>
          <w:numId w:val="1008"/>
        </w:numPr>
      </w:pPr>
      <w:r>
        <w:t xml:space="preserve">Do not describe the three sequencing seeds as biological replicates.</w:t>
      </w:r>
    </w:p>
    <w:p>
      <w:pPr>
        <w:pStyle w:val="Compact"/>
        <w:numPr>
          <w:ilvl w:val="0"/>
          <w:numId w:val="1008"/>
        </w:numPr>
      </w:pPr>
      <w:r>
        <w:t xml:space="preserve">Do not describe a Pilea comparison as a uniform accuracy win.</w:t>
      </w:r>
    </w:p>
    <w:p>
      <w:pPr>
        <w:pStyle w:val="Compact"/>
        <w:numPr>
          <w:ilvl w:val="0"/>
          <w:numId w:val="1008"/>
        </w:numPr>
      </w:pPr>
      <w:r>
        <w:t xml:space="preserve">Do not describe current PTR as EM-reassigned.</w:t>
      </w:r>
    </w:p>
    <w:p>
      <w:pPr>
        <w:pStyle w:val="Compact"/>
        <w:numPr>
          <w:ilvl w:val="0"/>
          <w:numId w:val="1008"/>
        </w:numPr>
      </w:pPr>
      <w:r>
        <w:t xml:space="preserve">Do not describe WCG as production QC.</w:t>
      </w:r>
    </w:p>
    <w:p>
      <w:pPr>
        <w:pStyle w:val="Compact"/>
        <w:numPr>
          <w:ilvl w:val="0"/>
          <w:numId w:val="1008"/>
        </w:numPr>
      </w:pPr>
      <w:r>
        <w:t xml:space="preserve">State Pilea v1.3.8, archive hashes and the exact benchmark arms.</w:t>
      </w:r>
    </w:p>
    <w:p>
      <w:pPr>
        <w:pStyle w:val="Compact"/>
        <w:numPr>
          <w:ilvl w:val="0"/>
          <w:numId w:val="1008"/>
        </w:numPr>
      </w:pPr>
      <w:r>
        <w:t xml:space="preserve">Do not infer real-community accuracy from C5 because C5 has no independent</w:t>
      </w:r>
      <w:r>
        <w:t xml:space="preserve"> </w:t>
      </w:r>
      <w:r>
        <w:t xml:space="preserve">growth-rate truth.</w:t>
      </w:r>
    </w:p>
    <w:p>
      <w:pPr>
        <w:pStyle w:val="Compact"/>
        <w:numPr>
          <w:ilvl w:val="0"/>
          <w:numId w:val="1008"/>
        </w:numPr>
      </w:pPr>
      <w:r>
        <w:t xml:space="preserve">Keep C1b and C4 negative or boundary comparisons visible in abstract,</w:t>
      </w:r>
      <w:r>
        <w:t xml:space="preserve"> </w:t>
      </w:r>
      <w:r>
        <w:t xml:space="preserve">results and conclusions.</w:t>
      </w:r>
    </w:p>
    <w:bookmarkEnd w:id="26"/>
    <w:bookmarkStart w:id="27" w:name="s11-supplementary-tables"/>
    <w:p>
      <w:pPr>
        <w:pStyle w:val="Heading2"/>
      </w:pPr>
      <w:r>
        <w:t xml:space="preserve">S11 Supplementary tables</w:t>
      </w:r>
    </w:p>
    <w:p>
      <w:pPr>
        <w:pStyle w:val="FirstParagraph"/>
      </w:pPr>
      <w:r>
        <w:t xml:space="preserve">Machine-readable TSVs are preferred for analysis. Human-readable versions of</w:t>
      </w:r>
      <w:r>
        <w:t xml:space="preserve"> </w:t>
      </w:r>
      <w:r>
        <w:t xml:space="preserve">the key result tables are in</w:t>
      </w:r>
      <w:r>
        <w:t xml:space="preserve"> </w:t>
      </w:r>
      <w:r>
        <w:rPr>
          <w:rStyle w:val="VerbatimChar"/>
        </w:rPr>
        <w:t xml:space="preserve">docs/paper/supplementary_tables.md</w:t>
      </w:r>
      <w:r>
        <w:t xml:space="preserve">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2026-10-02T03:01:11Z</dcterms:created>
  <dcterms:modified xsi:type="dcterms:W3CDTF">2026-10-02T03:01:11Z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