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8.png" ContentType="image/png"/>
  <Override PartName="/word/media/rId24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1dec8a9eca32b059e9500f70ab1ccf3919e8b21"/>
    <w:p>
      <w:pPr>
        <w:pStyle w:val="Heading1"/>
      </w:pPr>
      <w:r>
        <w:t xml:space="preserve">Deterministic 2bRAD anchors enable coordinate-aware bacterial replication-rate estimation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Peak-to-trough ratios report bacterial replication from coverage along the</w:t>
      </w:r>
      <w:r>
        <w:t xml:space="preserve"> </w:t>
      </w:r>
      <w:r>
        <w:t xml:space="preserve">genome, but alignment-free sketches can discard genomic position and complicate</w:t>
      </w:r>
      <w:r>
        <w:t xml:space="preserve"> </w:t>
      </w:r>
      <w:r>
        <w:t xml:space="preserve">quality control. We present sk2bGrow, a deterministic 2bRAD/TGT-anchor pipeline</w:t>
      </w:r>
      <w:r>
        <w:t xml:space="preserve"> </w:t>
      </w:r>
      <w:r>
        <w:t xml:space="preserve">that indexes motif coordinates, estimates enzyme-stratified window rates, fits</w:t>
      </w:r>
      <w:r>
        <w:t xml:space="preserve"> </w:t>
      </w:r>
      <w:r>
        <w:t xml:space="preserve">origin-to-terminus gradients, and separates all-finite from quality-controlled</w:t>
      </w:r>
      <w:r>
        <w:t xml:space="preserve"> </w:t>
      </w:r>
      <w:r>
        <w:t xml:space="preserve">results. On the Zheng 2020</w:t>
      </w:r>
      <w:r>
        <w:t xml:space="preserve"> </w:t>
      </w:r>
      <w:r>
        <w:rPr>
          <w:i/>
          <w:iCs/>
        </w:rPr>
        <w:t xml:space="preserve">Escherichia coli</w:t>
      </w:r>
      <w:r>
        <w:t xml:space="preserve"> </w:t>
      </w:r>
      <w:r>
        <w:t xml:space="preserve">benchmark, anchors with</w:t>
      </w:r>
      <w:r>
        <w:t xml:space="preserve"> </w:t>
      </w:r>
      <w:r>
        <w:t xml:space="preserve">coordinate fitting reached mean Pearson r = 0.911 at 0.5× and r = 0.960 at 1×,</w:t>
      </w:r>
      <w:r>
        <w:t xml:space="preserve"> </w:t>
      </w:r>
      <w:r>
        <w:t xml:space="preserve">whereas sorted regression on the same anchors reached r = 0.130 and 0.571.</w:t>
      </w:r>
      <w:r>
        <w:t xml:space="preserve"> </w:t>
      </w:r>
      <w:r>
        <w:t xml:space="preserve">Shipped quality control nevertheless passed 0/16 media at both depths.</w:t>
      </w:r>
      <w:r>
        <w:t xml:space="preserve"> </w:t>
      </w:r>
      <w:r>
        <w:t xml:space="preserve">Cross-species isolates exposed an important boundary: pooled correlations</w:t>
      </w:r>
      <w:r>
        <w:t xml:space="preserve"> </w:t>
      </w:r>
      <w:r>
        <w:t xml:space="preserve">spanned 0.278–0.680 for sk2bGrow across 0.5–10×, while Pilea gates-off was</w:t>
      </w:r>
      <w:r>
        <w:t xml:space="preserve"> </w:t>
      </w:r>
      <w:r>
        <w:t xml:space="preserve">higher at 1–10×. In 20 marine metagenomes, sk2bGrow produced fewer</w:t>
      </w:r>
      <w:r>
        <w:t xml:space="preserve"> </w:t>
      </w:r>
      <w:r>
        <w:t xml:space="preserve">protocol-comparable MAGs than Pilea default (2/101 versus 18/101) and lower</w:t>
      </w:r>
      <w:r>
        <w:t xml:space="preserve"> </w:t>
      </w:r>
      <w:r>
        <w:t xml:space="preserve">median correlation (0.438 versus 0.520). Conversely, in nine rotating-biological-contactor</w:t>
      </w:r>
      <w:r>
        <w:t xml:space="preserve"> </w:t>
      </w:r>
      <w:r>
        <w:t xml:space="preserve">metagenomes, sk2bGrow recalled all 4,698 expected MAG-sample genome cells,</w:t>
      </w:r>
      <w:r>
        <w:t xml:space="preserve"> </w:t>
      </w:r>
      <w:r>
        <w:t xml:space="preserve">returned no suspicious confident absent-genome estimates, and passed QC for</w:t>
      </w:r>
      <w:r>
        <w:t xml:space="preserve"> </w:t>
      </w:r>
      <w:r>
        <w:t xml:space="preserve">484 estimates, but averaged 76,866 s per sample versus 536 s for Pilea default.</w:t>
      </w:r>
      <w:r>
        <w:t xml:space="preserve"> </w:t>
      </w:r>
      <w:r>
        <w:t xml:space="preserve">sk2bGrow therefore provides deterministic coordinate-aware signal and</w:t>
      </w:r>
      <w:r>
        <w:t xml:space="preserve"> </w:t>
      </w:r>
      <w:r>
        <w:t xml:space="preserve">application-scale recall, while current cross-species accuracy, real-community</w:t>
      </w:r>
      <w:r>
        <w:t xml:space="preserve"> </w:t>
      </w:r>
      <w:r>
        <w:t xml:space="preserve">coverage, QC and runtime set clear limits on deployability.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bacterial growth rate; peak-to-trough ratio; replication rate;</w:t>
      </w:r>
      <w:r>
        <w:t xml:space="preserve"> </w:t>
      </w:r>
      <w:r>
        <w:t xml:space="preserve">2bRAD; metagenomics; sketching; benchmarking; microbiome</w:t>
      </w:r>
    </w:p>
    <w:bookmarkEnd w:id="9"/>
    <w:bookmarkStart w:id="1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Bacterial growth rate affects infection dynamics, microbiome ecology and</w:t>
      </w:r>
      <w:r>
        <w:t xml:space="preserve"> </w:t>
      </w:r>
      <w:r>
        <w:t xml:space="preserve">experimental evolution. Marker-frequency methods estimate replication rate from</w:t>
      </w:r>
      <w:r>
        <w:t xml:space="preserve"> </w:t>
      </w:r>
      <w:r>
        <w:t xml:space="preserve">the coverage gradient between the replication origin and terminus. Tools such</w:t>
      </w:r>
      <w:r>
        <w:t xml:space="preserve"> </w:t>
      </w:r>
      <w:r>
        <w:t xml:space="preserve">as iRep, GRiD and CoPTR formalize this relationship for assembled genomes</w:t>
      </w:r>
      <w:r>
        <w:t xml:space="preserve"> </w:t>
      </w:r>
      <w:r>
        <w:t xml:space="preserve">[1–3]. Pilea introduced an alignment-free FracMinHash strategy that scales to</w:t>
      </w:r>
      <w:r>
        <w:t xml:space="preserve"> </w:t>
      </w:r>
      <w:r>
        <w:t xml:space="preserve">large read collections [4].</w:t>
      </w:r>
    </w:p>
    <w:p>
      <w:pPr>
        <w:pStyle w:val="BodyText"/>
      </w:pPr>
      <w:r>
        <w:t xml:space="preserve">These advances expose three limitations. First, random sketches discard</w:t>
      </w:r>
      <w:r>
        <w:t xml:space="preserve"> </w:t>
      </w:r>
      <w:r>
        <w:t xml:space="preserve">position. Once a k-mer is sampled, the estimator no longer knows where it lies</w:t>
      </w:r>
      <w:r>
        <w:t xml:space="preserve"> </w:t>
      </w:r>
      <w:r>
        <w:t xml:space="preserve">on the genome, so trends must be recovered by sorting windows or ranks. This is</w:t>
      </w:r>
      <w:r>
        <w:t xml:space="preserve"> </w:t>
      </w:r>
      <w:r>
        <w:t xml:space="preserve">efficient, but the fitted range depends on extreme order statistics. Second,</w:t>
      </w:r>
      <w:r>
        <w:t xml:space="preserve"> </w:t>
      </w:r>
      <w:r>
        <w:t xml:space="preserve">arbitrary windows do not guarantee stable local information. A fixed number of</w:t>
      </w:r>
      <w:r>
        <w:t xml:space="preserve"> </w:t>
      </w:r>
      <w:r>
        <w:t xml:space="preserve">k-mers can be sparse in extreme GC regions, while a fixed genomic interval can</w:t>
      </w:r>
      <w:r>
        <w:t xml:space="preserve"> </w:t>
      </w:r>
      <w:r>
        <w:t xml:space="preserve">contain too few observations. Third, quality control is often aggregate. It is</w:t>
      </w:r>
      <w:r>
        <w:t xml:space="preserve"> </w:t>
      </w:r>
      <w:r>
        <w:t xml:space="preserve">difficult to ask whether enzyme-specific loci, sequence contexts and coordinate</w:t>
      </w:r>
      <w:r>
        <w:t xml:space="preserve"> </w:t>
      </w:r>
      <w:r>
        <w:t xml:space="preserve">regions support the same estimate.</w:t>
      </w:r>
    </w:p>
    <w:p>
      <w:pPr>
        <w:pStyle w:val="BodyText"/>
      </w:pPr>
      <w:r>
        <w:t xml:space="preserve">Deterministic 2bRAD/TGT anchors provide a different design point. A restriction</w:t>
      </w:r>
      <w:r>
        <w:t xml:space="preserve"> </w:t>
      </w:r>
      <w:r>
        <w:t xml:space="preserve">motif defines a short tag at a genomic coordinate. The same reference produces</w:t>
      </w:r>
      <w:r>
        <w:t xml:space="preserve"> </w:t>
      </w:r>
      <w:r>
        <w:t xml:space="preserve">the same anchor set in every sample. Enzyme choice introduces sequence context,</w:t>
      </w:r>
      <w:r>
        <w:t xml:space="preserve"> </w:t>
      </w:r>
      <w:r>
        <w:t xml:space="preserve">and the anchor table can be audited before profiling [5]. The central question</w:t>
      </w:r>
      <w:r>
        <w:t xml:space="preserve"> </w:t>
      </w:r>
      <w:r>
        <w:t xml:space="preserve">is therefore whether retaining these coordinates and strata improves PTR</w:t>
      </w:r>
      <w:r>
        <w:t xml:space="preserve"> </w:t>
      </w:r>
      <w:r>
        <w:t xml:space="preserve">estimation and quality control.</w:t>
      </w:r>
    </w:p>
    <w:p>
      <w:pPr>
        <w:pStyle w:val="BodyText"/>
      </w:pPr>
      <w:r>
        <w:t xml:space="preserve">We asked three questions. First, does coordinate-aware fitting recover</w:t>
      </w:r>
      <w:r>
        <w:t xml:space="preserve"> </w:t>
      </w:r>
      <w:r>
        <w:t xml:space="preserve">low-depth signal more reliably than sorted regression? Second, how much of the</w:t>
      </w:r>
      <w:r>
        <w:t xml:space="preserve"> </w:t>
      </w:r>
      <w:r>
        <w:t xml:space="preserve">observed difference is estimator signal rather than shipped-QC deployment?</w:t>
      </w:r>
      <w:r>
        <w:t xml:space="preserve"> </w:t>
      </w:r>
      <w:r>
        <w:t xml:space="preserve">Third, how do controlled advantages translate, or fail to translate, to real</w:t>
      </w:r>
      <w:r>
        <w:t xml:space="preserve"> </w:t>
      </w:r>
      <w:r>
        <w:t xml:space="preserve">isolates, marine communities and application-scale microbiomes?</w:t>
      </w:r>
    </w:p>
    <w:p>
      <w:pPr>
        <w:pStyle w:val="BodyText"/>
      </w:pPr>
      <w:r>
        <w:t xml:space="preserve">We addressed these questions with sk2bGrow. The implementation digests</w:t>
      </w:r>
      <w:r>
        <w:t xml:space="preserve"> </w:t>
      </w:r>
      <w:r>
        <w:t xml:space="preserve">references into deterministic anchors, stores coordinates and enzyme strata,</w:t>
      </w:r>
      <w:r>
        <w:t xml:space="preserve"> </w:t>
      </w:r>
      <w:r>
        <w:t xml:space="preserve">counts reads against those loci, estimates window rates with zero-truncated</w:t>
      </w:r>
      <w:r>
        <w:t xml:space="preserve"> </w:t>
      </w:r>
      <w:r>
        <w:t xml:space="preserve">models, fits a signed origin-to-terminus gradient, fuses per-enzyme estimates,</w:t>
      </w:r>
      <w:r>
        <w:t xml:space="preserve"> </w:t>
      </w:r>
      <w:r>
        <w:t xml:space="preserve">and reports explicit all-finite and quality-controlled results.</w:t>
      </w:r>
    </w:p>
    <w:p>
      <w:pPr>
        <w:pStyle w:val="BodyText"/>
      </w:pPr>
      <w:r>
        <w:t xml:space="preserve">Contributions:</w:t>
      </w:r>
    </w:p>
    <w:p>
      <w:pPr>
        <w:pStyle w:val="Compact"/>
        <w:numPr>
          <w:ilvl w:val="0"/>
          <w:numId w:val="1001"/>
        </w:numPr>
      </w:pPr>
      <w:r>
        <w:t xml:space="preserve">A reproducible deterministic-anchor PTR benchmark with real isolates, real</w:t>
      </w:r>
      <w:r>
        <w:t xml:space="preserve"> </w:t>
      </w:r>
      <w:r>
        <w:t xml:space="preserve">communities, simulated overdispersion, fragmented coordinates and</w:t>
      </w:r>
      <w:r>
        <w:t xml:space="preserve"> </w:t>
      </w:r>
      <w:r>
        <w:t xml:space="preserve">mixed-strain tracks.</w:t>
      </w:r>
    </w:p>
    <w:p>
      <w:pPr>
        <w:pStyle w:val="Compact"/>
        <w:numPr>
          <w:ilvl w:val="0"/>
          <w:numId w:val="1001"/>
        </w:numPr>
      </w:pPr>
      <w:r>
        <w:t xml:space="preserve">A coordinate-aware estimator that distinguishes all-finite signal from</w:t>
      </w:r>
      <w:r>
        <w:t xml:space="preserve"> </w:t>
      </w:r>
      <w:r>
        <w:t xml:space="preserve">shipped default-QC deployment.</w:t>
      </w:r>
    </w:p>
    <w:p>
      <w:pPr>
        <w:pStyle w:val="Compact"/>
        <w:numPr>
          <w:ilvl w:val="0"/>
          <w:numId w:val="1001"/>
        </w:numPr>
      </w:pPr>
      <w:r>
        <w:t xml:space="preserve">Diagnostics separating sorted-regression failure, window-rate compression</w:t>
      </w:r>
      <w:r>
        <w:t xml:space="preserve"> </w:t>
      </w:r>
      <w:r>
        <w:t xml:space="preserve">and reference-coordinate destruction.</w:t>
      </w:r>
    </w:p>
    <w:p>
      <w:pPr>
        <w:pStyle w:val="Compact"/>
        <w:numPr>
          <w:ilvl w:val="0"/>
          <w:numId w:val="1001"/>
        </w:numPr>
      </w:pPr>
      <w:r>
        <w:t xml:space="preserve">A provenance-controlled dataset, result archive, figure code and statistical</w:t>
      </w:r>
      <w:r>
        <w:t xml:space="preserve"> </w:t>
      </w:r>
      <w:r>
        <w:t xml:space="preserve">supplement.</w:t>
      </w:r>
    </w:p>
    <w:bookmarkEnd w:id="10"/>
    <w:bookmarkStart w:id="36" w:name="results"/>
    <w:p>
      <w:pPr>
        <w:pStyle w:val="Heading2"/>
      </w:pPr>
      <w:r>
        <w:t xml:space="preserve">Results</w:t>
      </w:r>
    </w:p>
    <w:bookmarkStart w:id="14" w:name="benchmark-design"/>
    <w:p>
      <w:pPr>
        <w:pStyle w:val="Heading3"/>
      </w:pPr>
      <w:r>
        <w:t xml:space="preserve">Benchmark design</w:t>
      </w:r>
    </w:p>
    <w:p>
      <w:pPr>
        <w:pStyle w:val="FirstParagraph"/>
      </w:pPr>
      <w:r>
        <w:t xml:space="preserve">We used five arms so that sketch and estimator effects could be separated: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sketch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16-enzyme anchors</w:t>
            </w:r>
          </w:p>
        </w:tc>
        <w:tc>
          <w:tcPr/>
          <w:p>
            <w:pPr>
              <w:pStyle w:val="Compact"/>
            </w:pPr>
            <w:r>
              <w:t xml:space="preserve">adaptive windows + coordinate V-fit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adaptive windows + coordinate V-fit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16-enzyme anchors</w:t>
            </w:r>
          </w:p>
        </w:tc>
        <w:tc>
          <w:tcPr/>
          <w:p>
            <w:pPr>
              <w:pStyle w:val="Compact"/>
            </w:pPr>
            <w:r>
              <w:t xml:space="preserve">25 kb windows + sorted/RANSAC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relaxed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Pilea gates-off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default</w:t>
            </w:r>
          </w:p>
        </w:tc>
        <w:tc>
          <w:tcPr/>
          <w:p>
            <w:pPr>
              <w:pStyle w:val="Compact"/>
            </w:pPr>
            <w:r>
              <w:t xml:space="preserve">FracMinHash</w:t>
            </w:r>
          </w:p>
        </w:tc>
        <w:tc>
          <w:tcPr/>
          <w:p>
            <w:pPr>
              <w:pStyle w:val="Compact"/>
            </w:pPr>
            <w:r>
              <w:t xml:space="preserve">Pilea shipped defaults</w:t>
            </w:r>
          </w:p>
        </w:tc>
      </w:tr>
    </w:tbl>
    <w:p>
      <w:pPr>
        <w:pStyle w:val="BodyText"/>
      </w:pPr>
      <w:r>
        <w:t xml:space="preserve">The primary controlled real-data target was independently measured growth rate</w:t>
      </w:r>
      <w:r>
        <w:t xml:space="preserve"> </w:t>
      </w:r>
      <w:r>
        <w:t xml:space="preserve">lambda from Zheng 2020 [6]. RMSE against the paper’s predicted log2 PTR is</w:t>
      </w:r>
      <w:r>
        <w:t xml:space="preserve"> </w:t>
      </w:r>
      <w:r>
        <w:t xml:space="preserve">reported as a</w:t>
      </w:r>
      <w:r>
        <w:t xml:space="preserve"> </w:t>
      </w:r>
      <w:r>
        <w:t xml:space="preserve">same-reads comparison, not independent absolute accuracy. Unless otherwise</w:t>
      </w:r>
      <w:r>
        <w:t xml:space="preserve"> </w:t>
      </w:r>
      <w:r>
        <w:t xml:space="preserve">stated, each medium-level estimate averages three sequencing-subsample seeds</w:t>
      </w:r>
      <w:r>
        <w:t xml:space="preserve"> </w:t>
      </w:r>
      <w:r>
        <w:t xml:space="preserve">before metrics are calculated. We report both all-finite estimates and</w:t>
      </w:r>
      <w:r>
        <w:t xml:space="preserve"> </w:t>
      </w:r>
      <w:r>
        <w:t xml:space="preserve">estimates passing shipped default QC.</w:t>
      </w:r>
    </w:p>
    <w:p>
      <w:pPr>
        <w:pStyle w:val="CaptionedFigure"/>
      </w:pPr>
      <w:r>
        <w:drawing>
          <wp:inline>
            <wp:extent cx="5334000" cy="1824470"/>
            <wp:effectExtent b="0" l="0" r="0" t="0"/>
            <wp:docPr descr="Figure 1" title="" id="12" name="Picture"/>
            <a:graphic>
              <a:graphicData uri="http://schemas.openxmlformats.org/drawingml/2006/picture">
                <pic:pic>
                  <pic:nvPicPr>
                    <pic:cNvPr descr="figures/fig1_pipe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sk2bGrow preserves deterministic anchor coordinates from</w:t>
      </w:r>
      <w:r>
        <w:t xml:space="preserve"> </w:t>
      </w:r>
      <w:r>
        <w:t xml:space="preserve">reference indexing through enzyme-stratified window fitting.</w:t>
      </w:r>
    </w:p>
    <w:bookmarkEnd w:id="14"/>
    <w:bookmarkStart w:id="18" w:name="Xdfd4572f9bcfe5866ebc19eda8e7ed4e7f3728b"/>
    <w:p>
      <w:pPr>
        <w:pStyle w:val="Heading3"/>
      </w:pPr>
      <w:r>
        <w:t xml:space="preserve">Low-depth signal is present, but shipped QC does not certify it</w:t>
      </w:r>
    </w:p>
    <w:p>
      <w:pPr>
        <w:pStyle w:val="FirstParagraph"/>
      </w:pPr>
      <w:r>
        <w:t xml:space="preserve">Across 16 growing-media conditions, anchors + V-fit reached mean Pearson r =</w:t>
      </w:r>
      <w:r>
        <w:t xml:space="preserve"> </w:t>
      </w:r>
      <w:r>
        <w:t xml:space="preserve">0.911 at 0.5× and r = 0.960 at 1×. Under the same all-finite rule,</w:t>
      </w:r>
      <w:r>
        <w:t xml:space="preserve"> </w:t>
      </w:r>
      <w:r>
        <w:t xml:space="preserve">FracMinHash + V-fit reached r = 0.852 and 0.923. Coordinate-free sorted</w:t>
      </w:r>
      <w:r>
        <w:t xml:space="preserve"> </w:t>
      </w:r>
      <w:r>
        <w:t xml:space="preserve">regression on anchors reached r = 0.130 and 0.571. Pilea gates-off was</w:t>
      </w:r>
      <w:r>
        <w:t xml:space="preserve"> </w:t>
      </w:r>
      <w:r>
        <w:t xml:space="preserve">undefined at 0.5× because all 16 estimates collapsed to PTR = 1, and reached</w:t>
      </w:r>
      <w:r>
        <w:t xml:space="preserve"> </w:t>
      </w:r>
      <w:r>
        <w:t xml:space="preserve">r = 0.875 at 1×.</w:t>
      </w:r>
    </w:p>
    <w:p>
      <w:pPr>
        <w:pStyle w:val="BodyText"/>
      </w:pPr>
      <w:r>
        <w:t xml:space="preserve">Shipped default QC passed 0/16 A-arm media at 0.5× and 1×, a mean of 7/16 at</w:t>
      </w:r>
      <w:r>
        <w:t xml:space="preserve"> </w:t>
      </w:r>
      <w:r>
        <w:t xml:space="preserve">2×, 12.7/16 at 5× and 14/16 at 10×. Counts varied across seeds: A-arm pass</w:t>
      </w:r>
      <w:r>
        <w:t xml:space="preserve"> </w:t>
      </w:r>
      <w:r>
        <w:t xml:space="preserve">counts were 8/8/5 at 2×, 14/11/13 at 5× and 14/15/13 at 10×. Thus</w:t>
      </w:r>
      <w:r>
        <w:t xml:space="preserve"> </w:t>
      </w:r>
      <w:r>
        <w:t xml:space="preserve">deterministic anchors retain low-depth signal, but current default QC does not</w:t>
      </w:r>
      <w:r>
        <w:t xml:space="preserve"> </w:t>
      </w:r>
      <w:r>
        <w:t xml:space="preserve">certify those estimates as deployable.</w:t>
      </w:r>
    </w:p>
    <w:p>
      <w:pPr>
        <w:pStyle w:val="BodyText"/>
      </w:pPr>
      <w:r>
        <w:t xml:space="preserve">A 10,000-resample medium-level bootstrap gave A-arm Pearson intervals of</w:t>
      </w:r>
      <w:r>
        <w:t xml:space="preserve"> </w:t>
      </w:r>
      <w:r>
        <w:t xml:space="preserve">0.820–0.966 at 0.5× and 0.932–0.980 at 1×. The paired A-minus-E Pearson</w:t>
      </w:r>
      <w:r>
        <w:t xml:space="preserve"> </w:t>
      </w:r>
      <w:r>
        <w:t xml:space="preserve">advantage was 0.059 (-0.031 to 0.114) at 0.5× and 0.037 (0.010 to 0.057) at</w:t>
      </w:r>
      <w:r>
        <w:t xml:space="preserve"> </w:t>
      </w:r>
      <w:r>
        <w:t xml:space="preserve">1×. At 0.5×, the A-arm slope was lower than the E-arm slope. The supported</w:t>
      </w:r>
      <w:r>
        <w:t xml:space="preserve"> </w:t>
      </w:r>
      <w:r>
        <w:t xml:space="preserve">conclusion is therefore improved low-depth recall and rank recovery, not a</w:t>
      </w:r>
      <w:r>
        <w:t xml:space="preserve"> </w:t>
      </w:r>
      <w:r>
        <w:t xml:space="preserve">uniform significant accuracy win.</w:t>
      </w:r>
    </w:p>
    <w:p>
      <w:pPr>
        <w:pStyle w:val="CaptionedFigure"/>
      </w:pPr>
      <w:r>
        <w:drawing>
          <wp:inline>
            <wp:extent cx="5334000" cy="1528831"/>
            <wp:effectExtent b="0" l="0" r="0" t="0"/>
            <wp:docPr descr="Figure 2" title="" id="16" name="Picture"/>
            <a:graphic>
              <a:graphicData uri="http://schemas.openxmlformats.org/drawingml/2006/picture">
                <pic:pic>
                  <pic:nvPicPr>
                    <pic:cNvPr descr="figures/fig2_zheng_performanc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8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Zheng benchmark performance.</w:t>
      </w:r>
      <w:r>
        <w:t xml:space="preserve"> </w:t>
      </w:r>
      <w:r>
        <w:rPr>
          <w:b/>
          <w:bCs/>
        </w:rPr>
        <w:t xml:space="preserve">A</w:t>
      </w:r>
      <w:r>
        <w:t xml:space="preserve">, all-finite correlations by</w:t>
      </w:r>
      <w:r>
        <w:t xml:space="preserve"> </w:t>
      </w:r>
      <w:r>
        <w:t xml:space="preserve">coverage and arm; shading shows seed range.</w:t>
      </w:r>
      <w:r>
        <w:t xml:space="preserve"> </w:t>
      </w:r>
      <w:r>
        <w:rPr>
          <w:b/>
          <w:bCs/>
        </w:rPr>
        <w:t xml:space="preserve">B</w:t>
      </w:r>
      <w:r>
        <w:t xml:space="preserve">, mean shipped-QC passes for</w:t>
      </w:r>
      <w:r>
        <w:t xml:space="preserve"> </w:t>
      </w:r>
      <w:r>
        <w:t xml:space="preserve">the anchor + V-fit arm.</w:t>
      </w:r>
      <w:r>
        <w:t xml:space="preserve"> </w:t>
      </w:r>
      <w:r>
        <w:rPr>
          <w:b/>
          <w:bCs/>
        </w:rPr>
        <w:t xml:space="preserve">C</w:t>
      </w:r>
      <w:r>
        <w:t xml:space="preserve">, paired A-minus-E Pearson bootstrap intervals.</w:t>
      </w:r>
    </w:p>
    <w:p>
      <w:pPr>
        <w:pStyle w:val="BodyText"/>
      </w:pPr>
      <w:r>
        <w:t xml:space="preserve">The stationary RUN_OUT control supported this caution. A-arm log2 PTR values</w:t>
      </w:r>
      <w:r>
        <w:t xml:space="preserve"> </w:t>
      </w:r>
      <w:r>
        <w:t xml:space="preserve">across three seeds were 0.113/-0.015/0.083 at 0.5× and</w:t>
      </w:r>
      <w:r>
        <w:t xml:space="preserve"> </w:t>
      </w:r>
      <w:r>
        <w:t xml:space="preserve">0.033/-0.036/0.076 at 1×. Sorted regression falsely reported 2.12/2.26/1.99</w:t>
      </w:r>
      <w:r>
        <w:t xml:space="preserve"> </w:t>
      </w:r>
      <w:r>
        <w:t xml:space="preserve">and 1.94/1.93/1.94.</w:t>
      </w:r>
    </w:p>
    <w:p>
      <w:pPr>
        <w:pStyle w:val="BodyText"/>
      </w:pPr>
      <w:r>
        <w:rPr>
          <w:b/>
          <w:bCs/>
        </w:rPr>
        <w:t xml:space="preserve">Finding 1.</w:t>
      </w:r>
      <w:r>
        <w:t xml:space="preserve"> </w:t>
      </w:r>
      <w:r>
        <w:t xml:space="preserve">Deterministic coordinates preserve low-depth gradient signal,</w:t>
      </w:r>
      <w:r>
        <w:t xml:space="preserve"> </w:t>
      </w:r>
      <w:r>
        <w:t xml:space="preserve">but shipped QC does not yet certify that signal as deployable.</w:t>
      </w:r>
    </w:p>
    <w:bookmarkEnd w:id="18"/>
    <w:bookmarkStart w:id="19" w:name="Xe4c6f40c58b0f398f71ca2f9f30ad5883c24fc0"/>
    <w:p>
      <w:pPr>
        <w:pStyle w:val="Heading3"/>
      </w:pPr>
      <w:r>
        <w:t xml:space="preserve">Coordinate fitting, not anchor choice alone, explains the gain</w:t>
      </w:r>
    </w:p>
    <w:p>
      <w:pPr>
        <w:pStyle w:val="FirstParagraph"/>
      </w:pPr>
      <w:r>
        <w:t xml:space="preserve">At 1×, changing only the estimator changed the result. Anchors + V-fit reached</w:t>
      </w:r>
      <w:r>
        <w:t xml:space="preserve"> </w:t>
      </w:r>
      <w:r>
        <w:t xml:space="preserve">r = 0.960, whereas anchors + sorted regression reached r = 0.571. Changing the</w:t>
      </w:r>
      <w:r>
        <w:t xml:space="preserve"> </w:t>
      </w:r>
      <w:r>
        <w:t xml:space="preserve">sketch had a smaller effect under coordinate fitting: anchors reached r = 0.960</w:t>
      </w:r>
      <w:r>
        <w:t xml:space="preserve"> </w:t>
      </w:r>
      <w:r>
        <w:t xml:space="preserve">and FracMinHash reached r = 0.923.</w:t>
      </w:r>
    </w:p>
    <w:p>
      <w:pPr>
        <w:pStyle w:val="BodyText"/>
      </w:pPr>
      <w:r>
        <w:rPr>
          <w:b/>
          <w:bCs/>
        </w:rPr>
        <w:t xml:space="preserve">Finding 2.</w:t>
      </w:r>
      <w:r>
        <w:t xml:space="preserve"> </w:t>
      </w:r>
      <w:r>
        <w:t xml:space="preserve">Coordinate fitting, rather than deterministic motif choice</w:t>
      </w:r>
      <w:r>
        <w:t xml:space="preserve"> </w:t>
      </w:r>
      <w:r>
        <w:t xml:space="preserve">alone, explains most of the improvement over sorted regression.</w:t>
      </w:r>
    </w:p>
    <w:bookmarkEnd w:id="19"/>
    <w:bookmarkStart w:id="23" w:name="X27412827920aae7a8dfafd440f14e2e2b214e78"/>
    <w:p>
      <w:pPr>
        <w:pStyle w:val="Heading3"/>
      </w:pPr>
      <w:r>
        <w:t xml:space="preserve">Overdispersed low-count windows, not Poisson truncation alone, cause residual compression</w:t>
      </w:r>
    </w:p>
    <w:p>
      <w:pPr>
        <w:pStyle w:val="FirstParagraph"/>
      </w:pPr>
      <w:r>
        <w:t xml:space="preserve">In simulations with known tent amplitudes, exact window rates passed through</w:t>
      </w:r>
      <w:r>
        <w:t xml:space="preserve"> </w:t>
      </w:r>
      <w:r>
        <w:t xml:space="preserve">the same windows, V-fit and fusion machinery recovered slopes close to one.</w:t>
      </w:r>
      <w:r>
        <w:t xml:space="preserve"> </w:t>
      </w:r>
      <w:r>
        <w:t xml:space="preserve">After signed fixed-origin fitting, recovered Poisson slopes were 0.774, 0.958,</w:t>
      </w:r>
      <w:r>
        <w:t xml:space="preserve"> </w:t>
      </w:r>
      <w:r>
        <w:t xml:space="preserve">1.012 and 0.995 at 0.5, 1, 2 and 5×. Overdispersed NB slopes were 0.701,</w:t>
      </w:r>
      <w:r>
        <w:t xml:space="preserve"> </w:t>
      </w:r>
      <w:r>
        <w:t xml:space="preserve">0.853, 0.857 and 0.982.</w:t>
      </w:r>
    </w:p>
    <w:p>
      <w:pPr>
        <w:pStyle w:val="BodyText"/>
      </w:pPr>
      <w:r>
        <w:t xml:space="preserve">The stationary b=0 estimate was now small in all cells: 0.099/0.055/0.035/0.026</w:t>
      </w:r>
      <w:r>
        <w:t xml:space="preserve"> </w:t>
      </w:r>
      <w:r>
        <w:t xml:space="preserve">for Poisson and 0.033/0.050/0.084/0.036 for NB. Thus the earlier downhill-only</w:t>
      </w:r>
      <w:r>
        <w:t xml:space="preserve"> </w:t>
      </w:r>
      <w:r>
        <w:t xml:space="preserve">floor is no longer the dominant defect. Remaining NB compression at low depth</w:t>
      </w:r>
      <w:r>
        <w:t xml:space="preserve"> </w:t>
      </w:r>
      <w:r>
        <w:t xml:space="preserve">co-occurred with upward bias in low-rate windows.</w:t>
      </w:r>
    </w:p>
    <w:p>
      <w:pPr>
        <w:pStyle w:val="CaptionedFigure"/>
      </w:pPr>
      <w:r>
        <w:drawing>
          <wp:inline>
            <wp:extent cx="5334000" cy="2197783"/>
            <wp:effectExtent b="0" l="0" r="0" t="0"/>
            <wp:docPr descr="Figure 3" title="" id="21" name="Picture"/>
            <a:graphic>
              <a:graphicData uri="http://schemas.openxmlformats.org/drawingml/2006/picture">
                <pic:pic>
                  <pic:nvPicPr>
                    <pic:cNvPr descr="figures/fig3_a4_compress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Controlled A4 simulation.</w:t>
      </w:r>
      <w:r>
        <w:t xml:space="preserve"> </w:t>
      </w:r>
      <w:r>
        <w:rPr>
          <w:b/>
          <w:bCs/>
        </w:rPr>
        <w:t xml:space="preserve">A</w:t>
      </w:r>
      <w:r>
        <w:t xml:space="preserve">, recovered and exact-rate slopes.</w:t>
      </w:r>
      <w:r>
        <w:t xml:space="preserve"> </w:t>
      </w:r>
      <w:r>
        <w:rPr>
          <w:b/>
          <w:bCs/>
        </w:rPr>
        <w:t xml:space="preserve">B</w:t>
      </w:r>
      <w:r>
        <w:t xml:space="preserve">, mean estimate at true log2 PTR = 0.</w:t>
      </w:r>
    </w:p>
    <w:p>
      <w:pPr>
        <w:pStyle w:val="BodyText"/>
      </w:pPr>
      <w:r>
        <w:rPr>
          <w:b/>
          <w:bCs/>
        </w:rPr>
        <w:t xml:space="preserve">Finding 3.</w:t>
      </w:r>
      <w:r>
        <w:t xml:space="preserve"> </w:t>
      </w:r>
      <w:r>
        <w:t xml:space="preserve">Signed fixed-origin fitting largely removes the stationary</w:t>
      </w:r>
      <w:r>
        <w:t xml:space="preserve"> </w:t>
      </w:r>
      <w:r>
        <w:t xml:space="preserve">floor; overdispersed low-count windows remain the main compression mechanism.</w:t>
      </w:r>
    </w:p>
    <w:bookmarkEnd w:id="23"/>
    <w:bookmarkStart w:id="27" w:name="mixed-strain-validation"/>
    <w:p>
      <w:pPr>
        <w:pStyle w:val="Heading3"/>
      </w:pPr>
      <w:r>
        <w:t xml:space="preserve">Mixed-strain validation</w:t>
      </w:r>
    </w:p>
    <w:p>
      <w:pPr>
        <w:pStyle w:val="FirstParagraph"/>
      </w:pPr>
      <w:r>
        <w:t xml:space="preserve">We simulated communities from 16 bacterial references at 4, 8 or 16 strains,</w:t>
      </w:r>
      <w:r>
        <w:t xml:space="preserve"> </w:t>
      </w:r>
      <w:r>
        <w:t xml:space="preserve">1, 2 or 4× coverage per selected genome and two replicates. Strain-specific</w:t>
      </w:r>
      <w:r>
        <w:t xml:space="preserve"> </w:t>
      </w:r>
      <w:r>
        <w:t xml:space="preserve">true log2 PTR values were drawn from Uniform(0,2). Because several reference</w:t>
      </w:r>
      <w:r>
        <w:t xml:space="preserve"> </w:t>
      </w:r>
      <w:r>
        <w:t xml:space="preserve">assemblies contained multiple contigs or plasmid entries, we used explicit</w:t>
      </w:r>
      <w:r>
        <w:t xml:space="preserve"> </w:t>
      </w:r>
      <w:r>
        <w:t xml:space="preserve">coordinate fitting rather than the conservative fragmented-auto refusal.</w:t>
      </w:r>
    </w:p>
    <w:p>
      <w:pPr>
        <w:pStyle w:val="BodyText"/>
      </w:pPr>
      <w:r>
        <w:t xml:space="preserve">The current run completed all 18 cells. Recall was 1.00 in every strain-count</w:t>
      </w:r>
      <w:r>
        <w:t xml:space="preserve"> </w:t>
      </w:r>
      <w:r>
        <w:t xml:space="preserve">and coverage cell, with no spurious genomes. Aggregate RMSE was 0.140 and mean</w:t>
      </w:r>
      <w:r>
        <w:t xml:space="preserve"> </w:t>
      </w:r>
      <w:r>
        <w:t xml:space="preserve">signed bias was 0.015 log2 units. RMSE decreased with coverage for 16 strains</w:t>
      </w:r>
      <w:r>
        <w:t xml:space="preserve"> </w:t>
      </w:r>
      <w:r>
        <w:t xml:space="preserve">from 0.197 at 1× to 0.100 at 2× and 0.056 at 4×. At 4 strains it fell from</w:t>
      </w:r>
      <w:r>
        <w:t xml:space="preserve"> </w:t>
      </w:r>
      <w:r>
        <w:t xml:space="preserve">0.266 at 1× to 0.111 at 2× and 0.097 at 4×. This result shows that the</w:t>
      </w:r>
      <w:r>
        <w:t xml:space="preserve"> </w:t>
      </w:r>
      <w:r>
        <w:t xml:space="preserve">production stack can retain and estimate all simulated strains in the tested</w:t>
      </w:r>
      <w:r>
        <w:t xml:space="preserve"> </w:t>
      </w:r>
      <w:r>
        <w:t xml:space="preserve">range, but it does not measure competitive performance against absent external</w:t>
      </w:r>
      <w:r>
        <w:t xml:space="preserve"> </w:t>
      </w:r>
      <w:r>
        <w:t xml:space="preserve">tools.</w:t>
      </w:r>
    </w:p>
    <w:p>
      <w:pPr>
        <w:pStyle w:val="CaptionedFigure"/>
      </w:pPr>
      <w:r>
        <w:drawing>
          <wp:inline>
            <wp:extent cx="5334000" cy="2197783"/>
            <wp:effectExtent b="0" l="0" r="0" t="0"/>
            <wp:docPr descr="Figure 4" title="" id="25" name="Picture"/>
            <a:graphic>
              <a:graphicData uri="http://schemas.openxmlformats.org/drawingml/2006/picture">
                <pic:pic>
                  <pic:nvPicPr>
                    <pic:cNvPr descr="figures/fig5_mixed_stra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Mixed-strain simulation recall and RMSE by strain number and</w:t>
      </w:r>
      <w:r>
        <w:t xml:space="preserve"> </w:t>
      </w:r>
      <w:r>
        <w:t xml:space="preserve">coverage.</w:t>
      </w:r>
    </w:p>
    <w:p>
      <w:pPr>
        <w:pStyle w:val="BodyText"/>
      </w:pPr>
      <w:r>
        <w:t xml:space="preserve">This controlled test measures attribution in a known community. It does not</w:t>
      </w:r>
      <w:r>
        <w:t xml:space="preserve"> </w:t>
      </w:r>
      <w:r>
        <w:t xml:space="preserve">replace real metagenomic validation.</w:t>
      </w:r>
    </w:p>
    <w:bookmarkEnd w:id="27"/>
    <w:bookmarkStart w:id="31" w:name="X2be7277ef99292246c788045b478c58fc13b929"/>
    <w:p>
      <w:pPr>
        <w:pStyle w:val="Heading3"/>
      </w:pPr>
      <w:r>
        <w:t xml:space="preserve">Fragmented-coordinate QC is promising but not production-ready</w:t>
      </w:r>
    </w:p>
    <w:p>
      <w:pPr>
        <w:pStyle w:val="FirstParagraph"/>
      </w:pPr>
      <w:r>
        <w:t xml:space="preserve">A two-branch within-contig gradient statistic was evaluated on 324 scrambled,</w:t>
      </w:r>
      <w:r>
        <w:t xml:space="preserve"> </w:t>
      </w:r>
      <w:r>
        <w:t xml:space="preserve">ordered and complete reference profiles. Complete and ordered controls were</w:t>
      </w:r>
      <w:r>
        <w:t xml:space="preserve"> </w:t>
      </w:r>
      <w:r>
        <w:t xml:space="preserve">quiet: 0/36 complete and 0/72 ordered. Scrambled references fired in 15/54</w:t>
      </w:r>
      <w:r>
        <w:t xml:space="preserve"> </w:t>
      </w:r>
      <w:r>
        <w:t xml:space="preserve">cells at true log2 PTR = 0.5 and 40/54 at each of log2 PTR = 1 and 1.5.</w:t>
      </w:r>
      <w:r>
        <w:t xml:space="preserve"> </w:t>
      </w:r>
      <w:r>
        <w:t xml:space="preserve">Detection was complete for scrambled log2 PTR &gt;= 1 at 5–10× (72/72).</w:t>
      </w:r>
    </w:p>
    <w:p>
      <w:pPr>
        <w:pStyle w:val="BodyText"/>
      </w:pPr>
      <w:r>
        <w:t xml:space="preserve">One scrambled stationary control fired at 1×. A post-hoc sensitivity check</w:t>
      </w:r>
      <w:r>
        <w:t xml:space="preserve"> </w:t>
      </w:r>
      <w:r>
        <w:t xml:space="preserve">found that raising the slope-branch z-short cut from 2.0 to 2.5 removed that</w:t>
      </w:r>
      <w:r>
        <w:t xml:space="preserve"> </w:t>
      </w:r>
      <w:r>
        <w:t xml:space="preserve">false fire while retaining all strong 5–10× detections. Because this threshold</w:t>
      </w:r>
      <w:r>
        <w:t xml:space="preserve"> </w:t>
      </w:r>
      <w:r>
        <w:t xml:space="preserve">was selected after seeing the grid, WCG remains prototype evidence.</w:t>
      </w:r>
    </w:p>
    <w:p>
      <w:pPr>
        <w:pStyle w:val="CaptionedFigure"/>
      </w:pPr>
      <w:r>
        <w:drawing>
          <wp:inline>
            <wp:extent cx="5334000" cy="2197783"/>
            <wp:effectExtent b="0" l="0" r="0" t="0"/>
            <wp:docPr descr="Figure 5" title="" id="29" name="Picture"/>
            <a:graphic>
              <a:graphicData uri="http://schemas.openxmlformats.org/drawingml/2006/picture">
                <pic:pic>
                  <pic:nvPicPr>
                    <pic:cNvPr descr="figures/fig4_r3_q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Fragmented-coordinate QC.</w:t>
      </w:r>
      <w:r>
        <w:t xml:space="preserve"> </w:t>
      </w:r>
      <w:r>
        <w:rPr>
          <w:b/>
          <w:bCs/>
        </w:rPr>
        <w:t xml:space="preserve">A</w:t>
      </w:r>
      <w:r>
        <w:t xml:space="preserve">, scrambled-reference detection</w:t>
      </w:r>
      <w:r>
        <w:t xml:space="preserve"> </w:t>
      </w:r>
      <w:r>
        <w:t xml:space="preserve">by true PTR and depth.</w:t>
      </w:r>
      <w:r>
        <w:t xml:space="preserve"> </w:t>
      </w:r>
      <w:r>
        <w:rPr>
          <w:b/>
          <w:bCs/>
        </w:rPr>
        <w:t xml:space="preserve">B</w:t>
      </w:r>
      <w:r>
        <w:t xml:space="preserve">, sensitivity of stationary false fires and strong</w:t>
      </w:r>
      <w:r>
        <w:t xml:space="preserve"> </w:t>
      </w:r>
      <w:r>
        <w:t xml:space="preserve">detections to the slope-branch threshold.</w:t>
      </w:r>
    </w:p>
    <w:p>
      <w:pPr>
        <w:pStyle w:val="BodyText"/>
      </w:pPr>
      <w:r>
        <w:rPr>
          <w:b/>
          <w:bCs/>
        </w:rPr>
        <w:t xml:space="preserve">Finding 4.</w:t>
      </w:r>
      <w:r>
        <w:t xml:space="preserve"> </w:t>
      </w:r>
      <w:r>
        <w:t xml:space="preserve">Within-contig gradients can identify destroyed coordinates in</w:t>
      </w:r>
      <w:r>
        <w:t xml:space="preserve"> </w:t>
      </w:r>
      <w:r>
        <w:t xml:space="preserve">the strong 5–10× regime, but independent validation is required before</w:t>
      </w:r>
      <w:r>
        <w:t xml:space="preserve"> </w:t>
      </w:r>
      <w:r>
        <w:t xml:space="preserve">production use.</w:t>
      </w:r>
    </w:p>
    <w:bookmarkEnd w:id="31"/>
    <w:bookmarkStart w:id="35" w:name="X3190509e1a588d9a5a0f56fa0967d2fe0c1c1fe"/>
    <w:p>
      <w:pPr>
        <w:pStyle w:val="Heading3"/>
      </w:pPr>
      <w:r>
        <w:t xml:space="preserve">Real isolates, marine communities and RBC application define deployment boundaries</w:t>
      </w:r>
    </w:p>
    <w:p>
      <w:pPr>
        <w:pStyle w:val="FirstParagraph"/>
      </w:pPr>
      <w:r>
        <w:t xml:space="preserve">Three real-data tracks tested whether the controlled results generalize. In</w:t>
      </w:r>
      <w:r>
        <w:t xml:space="preserve"> </w:t>
      </w:r>
      <w:r>
        <w:t xml:space="preserve">C1b, four</w:t>
      </w:r>
      <w:r>
        <w:t xml:space="preserve"> </w:t>
      </w:r>
      <w:r>
        <w:rPr>
          <w:i/>
          <w:iCs/>
        </w:rPr>
        <w:t xml:space="preserve">Bacillus subtilis</w:t>
      </w:r>
      <w:r>
        <w:t xml:space="preserve">,</w:t>
      </w:r>
      <w:r>
        <w:t xml:space="preserve"> </w:t>
      </w:r>
      <w:r>
        <w:rPr>
          <w:i/>
          <w:iCs/>
        </w:rPr>
        <w:t xml:space="preserve">Klebsiella pneumoniae</w:t>
      </w:r>
      <w:r>
        <w:t xml:space="preserve">,</w:t>
      </w:r>
      <w:r>
        <w:t xml:space="preserve"> </w:t>
      </w:r>
      <w:r>
        <w:rPr>
          <w:i/>
          <w:iCs/>
        </w:rPr>
        <w:t xml:space="preserve">Morganella morganii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Pseudomonas putida</w:t>
      </w:r>
      <w:r>
        <w:t xml:space="preserve"> </w:t>
      </w:r>
      <w:r>
        <w:t xml:space="preserve">wastewater isolate species were profiled across</w:t>
      </w:r>
      <w:r>
        <w:t xml:space="preserve"> </w:t>
      </w:r>
      <w:r>
        <w:t xml:space="preserve">0.5–10×. All 18 evaluable cells returned sk2bGrow estimates at every depth.</w:t>
      </w:r>
      <w:r>
        <w:t xml:space="preserve"> </w:t>
      </w:r>
      <w:r>
        <w:t xml:space="preserve">Pooled correlations against digitized measured growth rates were 0.680, 0.278,</w:t>
      </w:r>
      <w:r>
        <w:t xml:space="preserve"> </w:t>
      </w:r>
      <w:r>
        <w:t xml:space="preserve">0.561, 0.663 and 0.675 at 0.5, 1, 2, 5 and 10×, respectively. Pilea gates-off</w:t>
      </w:r>
      <w:r>
        <w:t xml:space="preserve"> </w:t>
      </w:r>
      <w:r>
        <w:t xml:space="preserve">was undefined at 0.5× but slightly exceeded sk2bGrow at 1× (0.321) and was</w:t>
      </w:r>
      <w:r>
        <w:t xml:space="preserve"> </w:t>
      </w:r>
      <w:r>
        <w:t xml:space="preserve">clearly higher at 2–10× (0.868, 0.736 and 0.787). C1b therefore fails to</w:t>
      </w:r>
      <w:r>
        <w:t xml:space="preserve"> </w:t>
      </w:r>
      <w:r>
        <w:t xml:space="preserve">support a cross-species accuracy-superiority claim.</w:t>
      </w:r>
    </w:p>
    <w:p>
      <w:pPr>
        <w:pStyle w:val="BodyText"/>
      </w:pPr>
      <w:r>
        <w:t xml:space="preserve">The C4 marine benchmark used 20 real surface-water metagenomes and 101 marine</w:t>
      </w:r>
      <w:r>
        <w:t xml:space="preserve"> </w:t>
      </w:r>
      <w:r>
        <w:t xml:space="preserve">MAGs. sk2bGrow completed all samples and produced an estimate for 51 MAGs,</w:t>
      </w:r>
      <w:r>
        <w:t xml:space="preserve"> </w:t>
      </w:r>
      <w:r>
        <w:t xml:space="preserve">compared with 64 for Pilea default. Only two MAGs were represented in both</w:t>
      </w:r>
      <w:r>
        <w:t xml:space="preserve"> </w:t>
      </w:r>
      <w:r>
        <w:t xml:space="preserve">protocols sufficiently for a matched comparison, versus 18 for Pilea default;</w:t>
      </w:r>
      <w:r>
        <w:t xml:space="preserve"> </w:t>
      </w:r>
      <w:r>
        <w:t xml:space="preserve">the corresponding median protocol correlations were 0.438 and 0.520. Because</w:t>
      </w:r>
      <w:r>
        <w:t xml:space="preserve"> </w:t>
      </w:r>
      <w:r>
        <w:t xml:space="preserve">the published growth-rate truth was inferred from the same sequencing reads,</w:t>
      </w:r>
      <w:r>
        <w:t xml:space="preserve"> </w:t>
      </w:r>
      <w:r>
        <w:t xml:space="preserve">C4 measures agreement under a noisy external protocol rather than absolute</w:t>
      </w:r>
      <w:r>
        <w:t xml:space="preserve"> </w:t>
      </w:r>
      <w:r>
        <w:t xml:space="preserve">PTR accuracy.</w:t>
      </w:r>
    </w:p>
    <w:p>
      <w:pPr>
        <w:pStyle w:val="BodyText"/>
      </w:pPr>
      <w:r>
        <w:t xml:space="preserve">C5 tested application scale in nine rotating biological contactor (RBC)</w:t>
      </w:r>
      <w:r>
        <w:t xml:space="preserve"> </w:t>
      </w:r>
      <w:r>
        <w:t xml:space="preserve">metagenomes against 522 bacterial MAGs. sk2bGrow returned estimates for all</w:t>
      </w:r>
      <w:r>
        <w:t xml:space="preserve"> </w:t>
      </w:r>
      <w:r>
        <w:t xml:space="preserve">4,698 expected MAG-sample cells (recall = 1.00); 484 estimates passed default</w:t>
      </w:r>
      <w:r>
        <w:t xml:space="preserve"> </w:t>
      </w:r>
      <w:r>
        <w:t xml:space="preserve">QC and no confident estimate mapped to an absent genome. Pilea default</w:t>
      </w:r>
      <w:r>
        <w:t xml:space="preserve"> </w:t>
      </w:r>
      <w:r>
        <w:t xml:space="preserve">returned 333 total estimates with mean recall 0.071, whereas Pilea gates-off</w:t>
      </w:r>
      <w:r>
        <w:t xml:space="preserve"> </w:t>
      </w:r>
      <w:r>
        <w:t xml:space="preserve">returned 1,432 estimates with mean recall 0.914 but represented only three of</w:t>
      </w:r>
      <w:r>
        <w:t xml:space="preserve"> </w:t>
      </w:r>
      <w:r>
        <w:t xml:space="preserve">nine samples.</w:t>
      </w:r>
      <w:r>
        <w:t xml:space="preserve"> </w:t>
      </w:r>
      <w:r>
        <w:t xml:space="preserve">The main deployment limitation was cost: mean wall time was 76,866 s for</w:t>
      </w:r>
      <w:r>
        <w:t xml:space="preserve"> </w:t>
      </w:r>
      <w:r>
        <w:t xml:space="preserve">sk2bGrow, 536 s for Pilea default and 2,379 s for the three represented Pilea</w:t>
      </w:r>
      <w:r>
        <w:t xml:space="preserve"> </w:t>
      </w:r>
      <w:r>
        <w:t xml:space="preserve">gates-off samples. C5 thus demonstrates recall and workflow coverage, not</w:t>
      </w:r>
      <w:r>
        <w:t xml:space="preserve"> </w:t>
      </w:r>
      <w:r>
        <w:t xml:space="preserve">independent community growth-rate accuracy.</w:t>
      </w:r>
    </w:p>
    <w:p>
      <w:pPr>
        <w:pStyle w:val="CaptionedFigure"/>
      </w:pPr>
      <w:r>
        <w:drawing>
          <wp:inline>
            <wp:extent cx="5334000" cy="1594986"/>
            <wp:effectExtent b="0" l="0" r="0" t="0"/>
            <wp:docPr descr="Figure 6" title="" id="33" name="Picture"/>
            <a:graphic>
              <a:graphicData uri="http://schemas.openxmlformats.org/drawingml/2006/picture">
                <pic:pic>
                  <pic:nvPicPr>
                    <pic:cNvPr descr="figures/fig6_real_communit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4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Real-isolate, marine-community and RBC application results.</w:t>
      </w:r>
      <w:r>
        <w:t xml:space="preserve"> </w:t>
      </w:r>
      <w:r>
        <w:rPr>
          <w:b/>
          <w:bCs/>
        </w:rPr>
        <w:t xml:space="preserve">A</w:t>
      </w:r>
      <w:r>
        <w:t xml:space="preserve">, pooled Pearson correlations in C1b by depth and protocol; missing points</w:t>
      </w:r>
      <w:r>
        <w:t xml:space="preserve"> </w:t>
      </w:r>
      <w:r>
        <w:t xml:space="preserve">indicate an undefined metric.</w:t>
      </w:r>
      <w:r>
        <w:t xml:space="preserve"> </w:t>
      </w:r>
      <w:r>
        <w:rPr>
          <w:b/>
          <w:bCs/>
        </w:rPr>
        <w:t xml:space="preserve">B</w:t>
      </w:r>
      <w:r>
        <w:t xml:space="preserve">, C4 protocol-comparable MAG counts (bars)</w:t>
      </w:r>
      <w:r>
        <w:t xml:space="preserve"> </w:t>
      </w:r>
      <w:r>
        <w:t xml:space="preserve">and median correlations (points).</w:t>
      </w:r>
      <w:r>
        <w:t xml:space="preserve"> </w:t>
      </w:r>
      <w:r>
        <w:rPr>
          <w:b/>
          <w:bCs/>
        </w:rPr>
        <w:t xml:space="preserve">C</w:t>
      </w:r>
      <w:r>
        <w:t xml:space="preserve">, C5 total and QC-passed estimates;</w:t>
      </w:r>
      <w:r>
        <w:t xml:space="preserve"> </w:t>
      </w:r>
      <w:r>
        <w:t xml:space="preserve">mean wall time is shown above each bar. Pilea gates-off is omitted from the</w:t>
      </w:r>
      <w:r>
        <w:t xml:space="preserve"> </w:t>
      </w:r>
      <w:r>
        <w:t xml:space="preserve">C5 bar comparison because only 3/9 samples completed.</w:t>
      </w:r>
    </w:p>
    <w:p>
      <w:pPr>
        <w:pStyle w:val="BodyText"/>
      </w:pPr>
      <w:r>
        <w:rPr>
          <w:b/>
          <w:bCs/>
        </w:rPr>
        <w:t xml:space="preserve">Finding 5.</w:t>
      </w:r>
      <w:r>
        <w:t xml:space="preserve"> </w:t>
      </w:r>
      <w:r>
        <w:t xml:space="preserve">Real data narrow the method’s claim: sk2bGrow preserves</w:t>
      </w:r>
      <w:r>
        <w:t xml:space="preserve"> </w:t>
      </w:r>
      <w:r>
        <w:t xml:space="preserve">application-scale recall in RBC communities, but Pilea gates-off or default</w:t>
      </w:r>
      <w:r>
        <w:t xml:space="preserve"> </w:t>
      </w:r>
      <w:r>
        <w:t xml:space="preserve">currently provides stronger cross-species isolate accuracy and greater</w:t>
      </w:r>
      <w:r>
        <w:t xml:space="preserve"> </w:t>
      </w:r>
      <w:r>
        <w:t xml:space="preserve">real-marine protocol coverage.</w:t>
      </w:r>
    </w:p>
    <w:bookmarkEnd w:id="35"/>
    <w:bookmarkEnd w:id="36"/>
    <w:bookmarkStart w:id="37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sk2bGrow shows that deterministic restriction anchors are useful for more than</w:t>
      </w:r>
      <w:r>
        <w:t xml:space="preserve"> </w:t>
      </w:r>
      <w:r>
        <w:t xml:space="preserve">taxonomic marking. When their coordinates are retained, they support direct</w:t>
      </w:r>
      <w:r>
        <w:t xml:space="preserve"> </w:t>
      </w:r>
      <w:r>
        <w:t xml:space="preserve">origin-to-terminus fitting, enzyme-stratified QC and reproducible low-depth</w:t>
      </w:r>
      <w:r>
        <w:t xml:space="preserve"> </w:t>
      </w:r>
      <w:r>
        <w:t xml:space="preserve">evaluation. The central practical distinction is between estimator signal and</w:t>
      </w:r>
      <w:r>
        <w:t xml:space="preserve"> </w:t>
      </w:r>
      <w:r>
        <w:t xml:space="preserve">deployable output. sk2bGrow can produce informative low-depth estimates, but</w:t>
      </w:r>
      <w:r>
        <w:t xml:space="preserve"> </w:t>
      </w:r>
      <w:r>
        <w:t xml:space="preserve">current default QC rejects many of them. This conservative behavior is</w:t>
      </w:r>
      <w:r>
        <w:t xml:space="preserve"> </w:t>
      </w:r>
      <w:r>
        <w:t xml:space="preserve">preferable to reporting every fit, but low-depth deployment requires further QC</w:t>
      </w:r>
      <w:r>
        <w:t xml:space="preserve"> </w:t>
      </w:r>
      <w:r>
        <w:t xml:space="preserve">development.</w:t>
      </w:r>
    </w:p>
    <w:p>
      <w:pPr>
        <w:pStyle w:val="BodyText"/>
      </w:pPr>
      <w:r>
        <w:t xml:space="preserve">The controlled comparison also avoids attributing all gains to anchor choice.</w:t>
      </w:r>
      <w:r>
        <w:t xml:space="preserve"> </w:t>
      </w:r>
      <w:r>
        <w:t xml:space="preserve">Under coordinate fitting, FracMinHash remained competitive. The large low-depth</w:t>
      </w:r>
      <w:r>
        <w:t xml:space="preserve"> </w:t>
      </w:r>
      <w:r>
        <w:t xml:space="preserve">failure occurred with sorted regression on anchors. Coordinate preservation in</w:t>
      </w:r>
      <w:r>
        <w:t xml:space="preserve"> </w:t>
      </w:r>
      <w:r>
        <w:t xml:space="preserve">the estimator, rather than motif choice alone, drives the main improvement.</w:t>
      </w:r>
    </w:p>
    <w:p>
      <w:pPr>
        <w:pStyle w:val="BodyText"/>
      </w:pPr>
      <w:r>
        <w:t xml:space="preserve">The A4 result clarifies mechanism. Zero-truncated window modelling was not the</w:t>
      </w:r>
      <w:r>
        <w:t xml:space="preserve"> </w:t>
      </w:r>
      <w:r>
        <w:t xml:space="preserve">sole source of low-depth compression. Signed fixed-origin fitting made the</w:t>
      </w:r>
      <w:r>
        <w:t xml:space="preserve"> </w:t>
      </w:r>
      <w:r>
        <w:t xml:space="preserve">stationary floor small and brought Poisson slopes close to unity by 1×.</w:t>
      </w:r>
      <w:r>
        <w:t xml:space="preserve"> </w:t>
      </w:r>
      <w:r>
        <w:t xml:space="preserve">Remaining NB compression at low depth is consistent with overdispersion and</w:t>
      </w:r>
      <w:r>
        <w:t xml:space="preserve"> </w:t>
      </w:r>
      <w:r>
        <w:t xml:space="preserve">upward bias in weakly observed windows. Future work should model per-anchor</w:t>
      </w:r>
      <w:r>
        <w:t xml:space="preserve"> </w:t>
      </w:r>
      <w:r>
        <w:t xml:space="preserve">efficiency jointly rather than correcting windows after truncation.</w:t>
      </w:r>
    </w:p>
    <w:p>
      <w:pPr>
        <w:pStyle w:val="BodyText"/>
      </w:pPr>
      <w:r>
        <w:t xml:space="preserve">Mixed-strain simulation addresses attribution, but not full community</w:t>
      </w:r>
      <w:r>
        <w:t xml:space="preserve"> </w:t>
      </w:r>
      <w:r>
        <w:t xml:space="preserve">deployment. The real-data tracks narrow the claim in three ways. First,</w:t>
      </w:r>
      <w:r>
        <w:t xml:space="preserve"> </w:t>
      </w:r>
      <w:r>
        <w:t xml:space="preserve">divergent cross-species references reduce isolate accuracy relative to Pilea</w:t>
      </w:r>
      <w:r>
        <w:t xml:space="preserve"> </w:t>
      </w:r>
      <w:r>
        <w:t xml:space="preserve">gates-off. Second, sparse marine MAG coverage limits the number of matched</w:t>
      </w:r>
      <w:r>
        <w:t xml:space="preserve"> </w:t>
      </w:r>
      <w:r>
        <w:t xml:space="preserve">comparisons and indicates that anchor coverage and QC behavior, not only the</w:t>
      </w:r>
      <w:r>
        <w:t xml:space="preserve"> </w:t>
      </w:r>
      <w:r>
        <w:t xml:space="preserve">coordinate-aware estimator, control real-community utility. Third, RBC data</w:t>
      </w:r>
      <w:r>
        <w:t xml:space="preserve"> </w:t>
      </w:r>
      <w:r>
        <w:t xml:space="preserve">show that complete reporting is possible at application scale but can be</w:t>
      </w:r>
      <w:r>
        <w:t xml:space="preserve"> </w:t>
      </w:r>
      <w:r>
        <w:t xml:space="preserve">orders of magnitude slower. These results do not support a blanket claim that</w:t>
      </w:r>
      <w:r>
        <w:t xml:space="preserve"> </w:t>
      </w:r>
      <w:r>
        <w:t xml:space="preserve">sk2bGrow outperforms existing tools; they support a coordinate-aware benchmark</w:t>
      </w:r>
      <w:r>
        <w:t xml:space="preserve"> </w:t>
      </w:r>
      <w:r>
        <w:t xml:space="preserve">design that separates signal, deployment readiness and application coverage.</w:t>
      </w:r>
    </w:p>
    <w:bookmarkEnd w:id="37"/>
    <w:bookmarkStart w:id="38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Deterministic 2bRAD/TGT anchors make genomic position, enzyme context and</w:t>
      </w:r>
      <w:r>
        <w:t xml:space="preserve"> </w:t>
      </w:r>
      <w:r>
        <w:t xml:space="preserve">coordinate integrity explicit in PTR estimation. The controlled results show</w:t>
      </w:r>
      <w:r>
        <w:t xml:space="preserve"> </w:t>
      </w:r>
      <w:r>
        <w:t xml:space="preserve">strong low-depth estimator signal and complete attribution in a 16-genome</w:t>
      </w:r>
      <w:r>
        <w:t xml:space="preserve"> </w:t>
      </w:r>
      <w:r>
        <w:t xml:space="preserve">mixed-strain grid, while QC correctly prevents those values from being treated</w:t>
      </w:r>
      <w:r>
        <w:t xml:space="preserve"> </w:t>
      </w:r>
      <w:r>
        <w:t xml:space="preserve">as certified deployments. Real isolates, marine metagenomes and RBC communities</w:t>
      </w:r>
      <w:r>
        <w:t xml:space="preserve"> </w:t>
      </w:r>
      <w:r>
        <w:t xml:space="preserve">further show that current cross-species accuracy, marine protocol coverage and</w:t>
      </w:r>
      <w:r>
        <w:t xml:space="preserve"> </w:t>
      </w:r>
      <w:r>
        <w:t xml:space="preserve">runtime remain material barriers. sk2bGrow is therefore best viewed as a</w:t>
      </w:r>
      <w:r>
        <w:t xml:space="preserve"> </w:t>
      </w:r>
      <w:r>
        <w:t xml:space="preserve">reproducible boundary-aware benchmarking and application framework, with</w:t>
      </w:r>
      <w:r>
        <w:t xml:space="preserve"> </w:t>
      </w:r>
      <w:r>
        <w:t xml:space="preserve">cross-species calibration, faster counting and independently validated</w:t>
      </w:r>
      <w:r>
        <w:t xml:space="preserve"> </w:t>
      </w:r>
      <w:r>
        <w:t xml:space="preserve">community accuracy as priorities before broad production use.</w:t>
      </w:r>
    </w:p>
    <w:bookmarkEnd w:id="38"/>
    <w:bookmarkStart w:id="39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t xml:space="preserve">The real-data target was one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K-12 MG1655 isolate. The three</w:t>
      </w:r>
      <w:r>
        <w:t xml:space="preserve"> </w:t>
      </w:r>
      <w:r>
        <w:t xml:space="preserve">sequencing subsamples are technical read-sampling replicates, not biological</w:t>
      </w:r>
      <w:r>
        <w:t xml:space="preserve"> </w:t>
      </w:r>
      <w:r>
        <w:t xml:space="preserve">replicates.</w:t>
      </w:r>
    </w:p>
    <w:p>
      <w:pPr>
        <w:pStyle w:val="Compact"/>
        <w:numPr>
          <w:ilvl w:val="0"/>
          <w:numId w:val="1002"/>
        </w:numPr>
      </w:pPr>
      <w:r>
        <w:t xml:space="preserve">All-finite and default-QC results answer different questions. Low-depth</w:t>
      </w:r>
      <w:r>
        <w:t xml:space="preserve"> </w:t>
      </w:r>
      <w:r>
        <w:t xml:space="preserve">all-finite performance cannot be quoted as deployable performance.</w:t>
      </w:r>
    </w:p>
    <w:p>
      <w:pPr>
        <w:pStyle w:val="Compact"/>
        <w:numPr>
          <w:ilvl w:val="0"/>
          <w:numId w:val="1002"/>
        </w:numPr>
      </w:pPr>
      <w:r>
        <w:t xml:space="preserve">Pilea gates-off was competitive under matched coordinate fitting. The study</w:t>
      </w:r>
      <w:r>
        <w:t xml:space="preserve"> </w:t>
      </w:r>
      <w:r>
        <w:t xml:space="preserve">does not support a uniform accuracy-superiority claim.</w:t>
      </w:r>
    </w:p>
    <w:p>
      <w:pPr>
        <w:pStyle w:val="Compact"/>
        <w:numPr>
          <w:ilvl w:val="0"/>
          <w:numId w:val="1002"/>
        </w:numPr>
      </w:pPr>
      <w:r>
        <w:t xml:space="preserve">The current ZTP PTR model does not use EM fractional weights. Shared</w:t>
      </w:r>
      <w:r>
        <w:t xml:space="preserve"> </w:t>
      </w:r>
      <w:r>
        <w:t xml:space="preserve">anchors are retained as diagnostics and conservatively excluded from PTR.</w:t>
      </w:r>
    </w:p>
    <w:p>
      <w:pPr>
        <w:pStyle w:val="Compact"/>
        <w:numPr>
          <w:ilvl w:val="0"/>
          <w:numId w:val="1002"/>
        </w:numPr>
      </w:pPr>
      <w:r>
        <w:t xml:space="preserve">WCG is a prototype coordinate-QC statistic and has not been independently</w:t>
      </w:r>
      <w:r>
        <w:t xml:space="preserve"> </w:t>
      </w:r>
      <w:r>
        <w:t xml:space="preserve">validated as a production gate.</w:t>
      </w:r>
    </w:p>
    <w:p>
      <w:pPr>
        <w:pStyle w:val="Compact"/>
        <w:numPr>
          <w:ilvl w:val="0"/>
          <w:numId w:val="1002"/>
        </w:numPr>
      </w:pPr>
      <w:r>
        <w:t xml:space="preserve">The current comparison focused on Pilea. Broader comparison with iRep, GRiD,</w:t>
      </w:r>
      <w:r>
        <w:t xml:space="preserve"> </w:t>
      </w:r>
      <w:r>
        <w:t xml:space="preserve">CoPTR and DEMIC is required for a general PTR-tool benchmark.</w:t>
      </w:r>
    </w:p>
    <w:p>
      <w:pPr>
        <w:pStyle w:val="Compact"/>
        <w:numPr>
          <w:ilvl w:val="0"/>
          <w:numId w:val="1002"/>
        </w:numPr>
      </w:pPr>
      <w:r>
        <w:t xml:space="preserve">The mixed-strain evaluation is simulated. Strain abundance, sequence</w:t>
      </w:r>
      <w:r>
        <w:t xml:space="preserve"> </w:t>
      </w:r>
      <w:r>
        <w:t xml:space="preserve">divergence and real metagenomic background are simplified.</w:t>
      </w:r>
    </w:p>
    <w:p>
      <w:pPr>
        <w:pStyle w:val="Compact"/>
        <w:numPr>
          <w:ilvl w:val="0"/>
          <w:numId w:val="1002"/>
        </w:numPr>
      </w:pPr>
      <w:r>
        <w:t xml:space="preserve">C1b and C4 use externally derived, sometimes noisy growth-rate targets; C5</w:t>
      </w:r>
      <w:r>
        <w:t xml:space="preserve"> </w:t>
      </w:r>
      <w:r>
        <w:t xml:space="preserve">has no independent growth-rate truth. Real-community results therefore</w:t>
      </w:r>
      <w:r>
        <w:t xml:space="preserve"> </w:t>
      </w:r>
      <w:r>
        <w:t xml:space="preserve">cannot be interpreted as absolute PTR accuracy.</w:t>
      </w:r>
    </w:p>
    <w:p>
      <w:pPr>
        <w:pStyle w:val="Compact"/>
        <w:numPr>
          <w:ilvl w:val="0"/>
          <w:numId w:val="1002"/>
        </w:numPr>
      </w:pPr>
      <w:r>
        <w:t xml:space="preserve">The C1b, C4 and C5 runs used an earlier sk2bGrow commit plus working-tree</w:t>
      </w:r>
      <w:r>
        <w:t xml:space="preserve"> </w:t>
      </w:r>
      <w:r>
        <w:t xml:space="preserve">fixes, whereas Zheng, A4, R3 and mixed-strain used the current implementation</w:t>
      </w:r>
      <w:r>
        <w:t xml:space="preserve"> </w:t>
      </w:r>
      <w:r>
        <w:t xml:space="preserve">state. This version heterogeneity is explicitly reported in Methods.</w:t>
      </w:r>
    </w:p>
    <w:bookmarkEnd w:id="39"/>
    <w:bookmarkStart w:id="51" w:name="methods"/>
    <w:p>
      <w:pPr>
        <w:pStyle w:val="Heading2"/>
      </w:pPr>
      <w:r>
        <w:t xml:space="preserve">Methods</w:t>
      </w:r>
    </w:p>
    <w:bookmarkStart w:id="40" w:name="anchor-database"/>
    <w:p>
      <w:pPr>
        <w:pStyle w:val="Heading3"/>
      </w:pPr>
      <w:r>
        <w:t xml:space="preserve">Anchor database</w:t>
      </w:r>
    </w:p>
    <w:p>
      <w:pPr>
        <w:pStyle w:val="FirstParagraph"/>
      </w:pPr>
      <w:r>
        <w:t xml:space="preserve">References were converted to uppercase ACGT sequences and digested with 16</w:t>
      </w:r>
      <w:r>
        <w:t xml:space="preserve"> </w:t>
      </w:r>
      <w:r>
        <w:t xml:space="preserve">2bRAD-associated enzyme definitions. A tag was accepted only when its entire</w:t>
      </w:r>
      <w:r>
        <w:t xml:space="preserve"> </w:t>
      </w:r>
      <w:r>
        <w:t xml:space="preserve">window matched one enzyme pattern, contained no ambiguous bases and lay wholly</w:t>
      </w:r>
      <w:r>
        <w:t xml:space="preserve"> </w:t>
      </w:r>
      <w:r>
        <w:t xml:space="preserve">inside the contig. Tags were stored as forward-strand windows, and canonical</w:t>
      </w:r>
      <w:r>
        <w:t xml:space="preserve"> </w:t>
      </w:r>
      <w:r>
        <w:t xml:space="preserve">hashing allowed reads from either sequencing strand. The database retained</w:t>
      </w:r>
      <w:r>
        <w:t xml:space="preserve"> </w:t>
      </w:r>
      <w:r>
        <w:t xml:space="preserve">genome, contig, coordinate, enzyme, pattern, local GC and flag fields.</w:t>
      </w:r>
    </w:p>
    <w:p>
      <w:pPr>
        <w:pStyle w:val="BodyText"/>
      </w:pPr>
      <w:r>
        <w:t xml:space="preserve">Anchors were considered unique within a genome by distinct genomic locus rather</w:t>
      </w:r>
      <w:r>
        <w:t xml:space="preserve"> </w:t>
      </w:r>
      <w:r>
        <w:t xml:space="preserve">than anchor row. Thus two enzymes at one locus were not mistaken for a repeat.</w:t>
      </w:r>
      <w:r>
        <w:t xml:space="preserve"> </w:t>
      </w:r>
      <w:r>
        <w:t xml:space="preserve">Anchors shared across genomes were retained for counting and EM diagnostics but</w:t>
      </w:r>
      <w:r>
        <w:t xml:space="preserve"> </w:t>
      </w:r>
      <w:r>
        <w:t xml:space="preserve">flagged and excluded from conservative PTR fitting.</w:t>
      </w:r>
    </w:p>
    <w:bookmarkEnd w:id="40"/>
    <w:bookmarkStart w:id="41" w:name="read-counting"/>
    <w:p>
      <w:pPr>
        <w:pStyle w:val="Heading3"/>
      </w:pPr>
      <w:r>
        <w:t xml:space="preserve">Read counting</w:t>
      </w:r>
    </w:p>
    <w:p>
      <w:pPr>
        <w:pStyle w:val="FirstParagraph"/>
      </w:pPr>
      <w:r>
        <w:t xml:space="preserve">Reads were scanned for complete enzyme tag windows. Candidate tags were matched</w:t>
      </w:r>
      <w:r>
        <w:t xml:space="preserve"> </w:t>
      </w:r>
      <w:r>
        <w:t xml:space="preserve">by canonical hash and verified against stored bases. Hamming mismatch tolerance</w:t>
      </w:r>
      <w:r>
        <w:t xml:space="preserve"> </w:t>
      </w:r>
      <w:r>
        <w:t xml:space="preserve">was two by default. The best distance was retained; multimapping observations</w:t>
      </w:r>
      <w:r>
        <w:t xml:space="preserve"> </w:t>
      </w:r>
      <w:r>
        <w:t xml:space="preserve">were kept for diagnostics. Real 2bRAD mode stopped after the first confirmed</w:t>
      </w:r>
      <w:r>
        <w:t xml:space="preserve"> </w:t>
      </w:r>
      <w:r>
        <w:t xml:space="preserve">tag per read. Shotgun mode counted every complete tag window wholly contained</w:t>
      </w:r>
      <w:r>
        <w:t xml:space="preserve"> </w:t>
      </w:r>
      <w:r>
        <w:t xml:space="preserve">in a read.</w:t>
      </w:r>
    </w:p>
    <w:p>
      <w:pPr>
        <w:pStyle w:val="BodyText"/>
      </w:pPr>
      <w:r>
        <w:t xml:space="preserve">The count table contains raw integer observations. The EM sidecar contains</w:t>
      </w:r>
      <w:r>
        <w:t xml:space="preserve"> </w:t>
      </w:r>
      <w:r>
        <w:t xml:space="preserve">fractional assignments for shared anchors, but the current ZTP PTR layer does</w:t>
      </w:r>
      <w:r>
        <w:t xml:space="preserve"> </w:t>
      </w:r>
      <w:r>
        <w:t xml:space="preserve">not consume fractional weights. Database-shared anchors are excluded from</w:t>
      </w:r>
      <w:r>
        <w:t xml:space="preserve"> </w:t>
      </w:r>
      <w:r>
        <w:t xml:space="preserve">conservative PTR fitting.</w:t>
      </w:r>
    </w:p>
    <w:bookmarkEnd w:id="41"/>
    <w:bookmarkStart w:id="42" w:name="window-rates"/>
    <w:p>
      <w:pPr>
        <w:pStyle w:val="Heading3"/>
      </w:pPr>
      <w:r>
        <w:t xml:space="preserve">Window rates</w:t>
      </w:r>
    </w:p>
    <w:p>
      <w:pPr>
        <w:pStyle w:val="FirstParagraph"/>
      </w:pPr>
      <w:r>
        <w:t xml:space="preserve">Counts were windowed separately for each enzyme. Auto windowing targeted 25</w:t>
      </w:r>
      <w:r>
        <w:t xml:space="preserve"> </w:t>
      </w:r>
      <w:r>
        <w:t xml:space="preserve">windows per enzyme, used at least 25 anchors per window and capped windows at</w:t>
      </w:r>
      <w:r>
        <w:t xml:space="preserve"> </w:t>
      </w:r>
      <w:r>
        <w:t xml:space="preserve">100 anchors. Each window was fitted with zero-truncated Poisson or</w:t>
      </w:r>
      <w:r>
        <w:t xml:space="preserve"> </w:t>
      </w:r>
      <w:r>
        <w:t xml:space="preserve">zero-truncated negative-binomial models selected by BIC. A negative-binomial</w:t>
      </w:r>
      <w:r>
        <w:t xml:space="preserve"> </w:t>
      </w:r>
      <w:r>
        <w:t xml:space="preserve">fit was rejected when its implied detection probability contradicted the</w:t>
      </w:r>
      <w:r>
        <w:t xml:space="preserve"> </w:t>
      </w:r>
      <w:r>
        <w:t xml:space="preserve">observed detected fraction. Window rates were converted to log2 rates with</w:t>
      </w:r>
      <w:r>
        <w:t xml:space="preserve"> </w:t>
      </w:r>
      <w:r>
        <w:t xml:space="preserve">delta-method standard errors.</w:t>
      </w:r>
    </w:p>
    <w:p>
      <w:pPr>
        <w:pStyle w:val="BodyText"/>
      </w:pPr>
      <w:r>
        <w:t xml:space="preserve">Per-enzyme GC curves were fitted by lowess on raw anchor counts and shrunk by</w:t>
      </w:r>
      <w:r>
        <w:t xml:space="preserve"> </w:t>
      </w:r>
      <w:r>
        <w:t xml:space="preserve">explained variance. Window rates were corrected by subtracting the mean</w:t>
      </w:r>
      <w:r>
        <w:t xml:space="preserve"> </w:t>
      </w:r>
      <w:r>
        <w:t xml:space="preserve">anchor-level GC offset.</w:t>
      </w:r>
    </w:p>
    <w:bookmarkEnd w:id="42"/>
    <w:bookmarkStart w:id="43" w:name="coordinate-fitting"/>
    <w:p>
      <w:pPr>
        <w:pStyle w:val="Heading3"/>
      </w:pPr>
      <w:r>
        <w:t xml:space="preserve">Coordinate fitting</w:t>
      </w:r>
    </w:p>
    <w:p>
      <w:pPr>
        <w:pStyle w:val="FirstParagraph"/>
      </w:pPr>
      <w:r>
        <w:t xml:space="preserve">For a candidate origin, circular distance d was used in</w:t>
      </w:r>
    </w:p>
    <w:p>
      <w:pPr>
        <w:pStyle w:val="SourceCode"/>
      </w:pPr>
      <w:r>
        <w:rPr>
          <w:rStyle w:val="VerbatimChar"/>
        </w:rPr>
        <w:t xml:space="preserve">log2 mu(x) = a - b1 min(d,k) - b2 max(d-k,0).</w:t>
      </w:r>
    </w:p>
    <w:p>
      <w:pPr>
        <w:pStyle w:val="FirstParagraph"/>
      </w:pPr>
      <w:r>
        <w:t xml:space="preserve">With one slope this is the ordinary origin-to-terminus V. With two slopes it</w:t>
      </w:r>
      <w:r>
        <w:t xml:space="preserve"> </w:t>
      </w:r>
      <w:r>
        <w:t xml:space="preserve">represents multi-fork replication. Model selection used BIC, and segmentation</w:t>
      </w:r>
      <w:r>
        <w:t xml:space="preserve"> </w:t>
      </w:r>
      <w:r>
        <w:t xml:space="preserve">was considered only with at least 30 windows and a plain fit suggesting log2</w:t>
      </w:r>
      <w:r>
        <w:t xml:space="preserve"> </w:t>
      </w:r>
      <w:r>
        <w:t xml:space="preserve">PTR &gt;= 1.</w:t>
      </w:r>
    </w:p>
    <w:p>
      <w:pPr>
        <w:pStyle w:val="BodyText"/>
      </w:pPr>
      <w:r>
        <w:t xml:space="preserve">When the origin was supplied or fixed, slope signs were allowed so stationary</w:t>
      </w:r>
      <w:r>
        <w:t xml:space="preserve"> </w:t>
      </w:r>
      <w:r>
        <w:t xml:space="preserve">or near-stationary samples could produce small negative gradients. When the</w:t>
      </w:r>
      <w:r>
        <w:t xml:space="preserve"> </w:t>
      </w:r>
      <w:r>
        <w:t xml:space="preserve">origin was searched, uphill solutions were rejected to prevent the terminus</w:t>
      </w:r>
      <w:r>
        <w:t xml:space="preserve"> </w:t>
      </w:r>
      <w:r>
        <w:t xml:space="preserve">from masquerading as the origin. Weighted least squares used inverse-variance</w:t>
      </w:r>
      <w:r>
        <w:t xml:space="preserve"> </w:t>
      </w:r>
      <w:r>
        <w:t xml:space="preserve">window weights. A second pass re-expressed standard errors as a smooth function</w:t>
      </w:r>
      <w:r>
        <w:t xml:space="preserve"> </w:t>
      </w:r>
      <w:r>
        <w:t xml:space="preserve">of fitted values to reduce self-weighting.</w:t>
      </w:r>
    </w:p>
    <w:bookmarkEnd w:id="43"/>
    <w:bookmarkStart w:id="44" w:name="enzyme-fusion-and-quality-control"/>
    <w:p>
      <w:pPr>
        <w:pStyle w:val="Heading3"/>
      </w:pPr>
      <w:r>
        <w:t xml:space="preserve">Enzyme fusion and quality control</w:t>
      </w:r>
    </w:p>
    <w:p>
      <w:pPr>
        <w:pStyle w:val="FirstParagraph"/>
      </w:pPr>
      <w:r>
        <w:t xml:space="preserve">Per-enzyme fits were fused by inverse-variance weighting. Cochran’s Q tested</w:t>
      </w:r>
      <w:r>
        <w:t xml:space="preserve"> </w:t>
      </w:r>
      <w:r>
        <w:t xml:space="preserve">between-enzyme heterogeneity. When Q rejected homogeneity,</w:t>
      </w:r>
      <w:r>
        <w:t xml:space="preserve"> </w:t>
      </w:r>
      <w:r>
        <w:t xml:space="preserve">DerSimonian-Laird random-effects weights widened the interval. Output retained</w:t>
      </w:r>
      <w:r>
        <w:t xml:space="preserve"> </w:t>
      </w:r>
      <w:r>
        <w:t xml:space="preserve">estimates even when QC failed and reported the reason.</w:t>
      </w:r>
    </w:p>
    <w:p>
      <w:pPr>
        <w:pStyle w:val="BodyText"/>
      </w:pPr>
      <w:r>
        <w:t xml:space="preserve">Default QC required coverage &gt;= 1, detected fraction &gt;= 0.75, dispersion &lt;= 5,</w:t>
      </w:r>
      <w:r>
        <w:t xml:space="preserve"> </w:t>
      </w:r>
      <w:r>
        <w:t xml:space="preserve">containment &gt;= 0.5, enzyme consistency p &gt;= 0.05, enzyme fit rate &gt;= 0.8 and a</w:t>
      </w:r>
      <w:r>
        <w:t xml:space="preserve"> </w:t>
      </w:r>
      <w:r>
        <w:t xml:space="preserve">finite estimate.</w:t>
      </w:r>
    </w:p>
    <w:bookmarkEnd w:id="44"/>
    <w:bookmarkStart w:id="45" w:name="zheng-benchmark"/>
    <w:p>
      <w:pPr>
        <w:pStyle w:val="Heading3"/>
      </w:pPr>
      <w:r>
        <w:t xml:space="preserve">Zheng benchmark</w:t>
      </w:r>
    </w:p>
    <w:p>
      <w:pPr>
        <w:pStyle w:val="FirstParagraph"/>
      </w:pPr>
      <w:r>
        <w:t xml:space="preserve">We used 16 growing-media conditions and one stationary RUN_OUT condition from</w:t>
      </w:r>
      <w:r>
        <w:t xml:space="preserve"> </w:t>
      </w:r>
      <w:r>
        <w:t xml:space="preserve">Zheng 2020 BioProject PRJNA615952. Three sequencing subsample seeds were used.</w:t>
      </w:r>
      <w:r>
        <w:t xml:space="preserve"> </w:t>
      </w:r>
      <w:r>
        <w:t xml:space="preserve">Seed s0 was the archived C1 paired subsample; s1 and s2 were deterministic</w:t>
      </w:r>
      <w:r>
        <w:t xml:space="preserve"> </w:t>
      </w:r>
      <w:r>
        <w:t xml:space="preserve">paired resamples of the C1 20x pool. They quantify technical read-sampling</w:t>
      </w:r>
      <w:r>
        <w:t xml:space="preserve"> </w:t>
      </w:r>
      <w:r>
        <w:t xml:space="preserve">variability and are not biological replicates.</w:t>
      </w:r>
    </w:p>
    <w:p>
      <w:pPr>
        <w:pStyle w:val="BodyText"/>
      </w:pPr>
      <w:r>
        <w:t xml:space="preserve">Metrics averaged the three seed estimates within each medium and compared</w:t>
      </w:r>
      <w:r>
        <w:t xml:space="preserve"> </w:t>
      </w:r>
      <w:r>
        <w:t xml:space="preserve">across 16 growing media. The stationary control was excluded from correlation</w:t>
      </w:r>
      <w:r>
        <w:t xml:space="preserve"> </w:t>
      </w:r>
      <w:r>
        <w:t xml:space="preserve">metrics. Uncertainty used a 10,000-resample medium-level bootstrap. For each</w:t>
      </w:r>
      <w:r>
        <w:t xml:space="preserve"> </w:t>
      </w:r>
      <w:r>
        <w:t xml:space="preserve">resampled medium, the three seed estimates were averaged before calculating</w:t>
      </w:r>
      <w:r>
        <w:t xml:space="preserve"> </w:t>
      </w:r>
      <w:r>
        <w:t xml:space="preserve">the metric. Paired A-minus-E deltas used the same resampled media.</w:t>
      </w:r>
    </w:p>
    <w:bookmarkEnd w:id="45"/>
    <w:bookmarkStart w:id="46" w:name="a4-low-depth-simulation"/>
    <w:p>
      <w:pPr>
        <w:pStyle w:val="Heading3"/>
      </w:pPr>
      <w:r>
        <w:t xml:space="preserve">A4 low-depth simulation</w:t>
      </w:r>
    </w:p>
    <w:p>
      <w:pPr>
        <w:pStyle w:val="FirstParagraph"/>
      </w:pPr>
      <w:r>
        <w:t xml:space="preserve">Reads were simulated from real E. coli K-12 coordinates with a tent-shaped</w:t>
      </w:r>
      <w:r>
        <w:t xml:space="preserve"> </w:t>
      </w:r>
      <w:r>
        <w:t xml:space="preserve">coverage gradient whose amplitude was the true log2 PTR. Depth was</w:t>
      </w:r>
      <w:r>
        <w:t xml:space="preserve"> </w:t>
      </w:r>
      <w:r>
        <w:t xml:space="preserve">0.5/1/2/5×, true log2 PTR was 0/0.5/1/1.5/2 and there were three seeds. Two</w:t>
      </w:r>
      <w:r>
        <w:t xml:space="preserve"> </w:t>
      </w:r>
      <w:r>
        <w:t xml:space="preserve">arms were used: Poisson counts and per-kilobase lognormal efficiency followed</w:t>
      </w:r>
      <w:r>
        <w:t xml:space="preserve"> </w:t>
      </w:r>
      <w:r>
        <w:t xml:space="preserve">by NB-like overdispersion. Exact expected anchor counts were calculated from</w:t>
      </w:r>
      <w:r>
        <w:t xml:space="preserve"> </w:t>
      </w:r>
      <w:r>
        <w:t xml:space="preserve">the same simulator weights and joined to production windows.</w:t>
      </w:r>
    </w:p>
    <w:bookmarkEnd w:id="46"/>
    <w:bookmarkStart w:id="47" w:name="mixed-strain-simulation"/>
    <w:p>
      <w:pPr>
        <w:pStyle w:val="Heading3"/>
      </w:pPr>
      <w:r>
        <w:t xml:space="preserve">Mixed-strain simulation</w:t>
      </w:r>
    </w:p>
    <w:p>
      <w:pPr>
        <w:pStyle w:val="FirstParagraph"/>
      </w:pPr>
      <w:r>
        <w:t xml:space="preserve">A 16-genome reference panel was digested and indexed. Communities contained 4,</w:t>
      </w:r>
      <w:r>
        <w:t xml:space="preserve"> </w:t>
      </w:r>
      <w:r>
        <w:t xml:space="preserve">8 or 16 strains at 1, 2 or 4× coverage per selected genome, with two</w:t>
      </w:r>
      <w:r>
        <w:t xml:space="preserve"> </w:t>
      </w:r>
      <w:r>
        <w:t xml:space="preserve">replicates. Strain-specific log2 PTR values were drawn from Uniform(0,2), and</w:t>
      </w:r>
      <w:r>
        <w:t xml:space="preserve"> </w:t>
      </w:r>
      <w:r>
        <w:t xml:space="preserve">reads followed a V-shaped gradient from each strain origin. Because several</w:t>
      </w:r>
      <w:r>
        <w:t xml:space="preserve"> </w:t>
      </w:r>
      <w:r>
        <w:t xml:space="preserve">reference assemblies included multiple contigs or plasmid entries, explicit</w:t>
      </w:r>
      <w:r>
        <w:t xml:space="preserve"> </w:t>
      </w:r>
      <w:r>
        <w:t xml:space="preserve">coordinate fitting was used instead of fragmented-auto refusal. Output</w:t>
      </w:r>
      <w:r>
        <w:t xml:space="preserve"> </w:t>
      </w:r>
      <w:r>
        <w:t xml:space="preserve">estimates were matched to known selected genomes. Recall was the fraction of</w:t>
      </w:r>
      <w:r>
        <w:t xml:space="preserve"> </w:t>
      </w:r>
      <w:r>
        <w:t xml:space="preserve">true strains reported; RMSE used matched strains.</w:t>
      </w:r>
    </w:p>
    <w:bookmarkEnd w:id="47"/>
    <w:bookmarkStart w:id="48" w:name="r3-coordinate-qc-statistic"/>
    <w:p>
      <w:pPr>
        <w:pStyle w:val="Heading3"/>
      </w:pPr>
      <w:r>
        <w:t xml:space="preserve">R3 coordinate-QC statistic</w:t>
      </w:r>
    </w:p>
    <w:p>
      <w:pPr>
        <w:pStyle w:val="FirstParagraph"/>
      </w:pPr>
      <w:r>
        <w:t xml:space="preserve">The within-contig gradient statistic used two branches. The slope branch</w:t>
      </w:r>
      <w:r>
        <w:t xml:space="preserve"> </w:t>
      </w:r>
      <w:r>
        <w:t xml:space="preserve">estimated per-contig slopes, corrected their variance by residual chi-square</w:t>
      </w:r>
      <w:r>
        <w:t xml:space="preserve"> </w:t>
      </w:r>
      <w:r>
        <w:t xml:space="preserve">and compared local amplitude with the global fitted amplitude. The jump branch</w:t>
      </w:r>
      <w:r>
        <w:t xml:space="preserve"> </w:t>
      </w:r>
      <w:r>
        <w:t xml:space="preserve">compared boundary-crossing rate steps with within-contig steps after</w:t>
      </w:r>
      <w:r>
        <w:t xml:space="preserve"> </w:t>
      </w:r>
      <w:r>
        <w:t xml:space="preserve">subtracting the sampling-noise floor. A flag required either branch to exceed</w:t>
      </w:r>
      <w:r>
        <w:t xml:space="preserve"> </w:t>
      </w:r>
      <w:r>
        <w:t xml:space="preserve">its threshold. The current refresh evaluated 27 references across three</w:t>
      </w:r>
      <w:r>
        <w:t xml:space="preserve"> </w:t>
      </w:r>
      <w:r>
        <w:t xml:space="preserve">origin-layout families, 12 read cells and 324 profiles.</w:t>
      </w:r>
    </w:p>
    <w:p>
      <w:pPr>
        <w:pStyle w:val="BodyText"/>
      </w:pPr>
      <w:r>
        <w:t xml:space="preserve">Threshold sensitivity varied the slope-branch z-short cut from 2.0 to 3.0. The</w:t>
      </w:r>
      <w:r>
        <w:t xml:space="preserve"> </w:t>
      </w:r>
      <w:r>
        <w:t xml:space="preserve">original cut produced one stationary false fire; a post-hoc cut of 2.5 removed</w:t>
      </w:r>
      <w:r>
        <w:t xml:space="preserve"> </w:t>
      </w:r>
      <w:r>
        <w:t xml:space="preserve">that fire without losing strong 5–10× detections. Independent validation is</w:t>
      </w:r>
      <w:r>
        <w:t xml:space="preserve"> </w:t>
      </w:r>
      <w:r>
        <w:t xml:space="preserve">required before production use.</w:t>
      </w:r>
    </w:p>
    <w:bookmarkEnd w:id="48"/>
    <w:bookmarkStart w:id="49" w:name="real-community-benchmarks"/>
    <w:p>
      <w:pPr>
        <w:pStyle w:val="Heading3"/>
      </w:pPr>
      <w:r>
        <w:t xml:space="preserve">Real-community benchmarks</w:t>
      </w:r>
    </w:p>
    <w:p>
      <w:pPr>
        <w:pStyle w:val="FirstParagraph"/>
      </w:pPr>
      <w:r>
        <w:t xml:space="preserve">C1b used PRJNA1280254, the isolate dataset from the Pilea study. Twenty runs</w:t>
      </w:r>
      <w:r>
        <w:t xml:space="preserve"> </w:t>
      </w:r>
      <w:r>
        <w:t xml:space="preserve">represented four wastewater isolate species across five nutrient</w:t>
      </w:r>
      <w:r>
        <w:t xml:space="preserve"> </w:t>
      </w:r>
      <w:r>
        <w:t xml:space="preserve">concentrations and were subsampled to 0.5, 1, 2, 5 and 10× coverage of each</w:t>
      </w:r>
      <w:r>
        <w:t xml:space="preserve"> </w:t>
      </w:r>
      <w:r>
        <w:t xml:space="preserve">species assembly. sk2bGrow used the full 16-enzyme panel and its fixed</w:t>
      </w:r>
      <w:r>
        <w:t xml:space="preserve"> </w:t>
      </w:r>
      <w:r>
        <w:t xml:space="preserve">coordinate estimator; Pilea v1.3.8 was run with shipped defaults and with</w:t>
      </w:r>
      <w:r>
        <w:t xml:space="preserve"> </w:t>
      </w:r>
      <w:r>
        <w:t xml:space="preserve">gates off (</w:t>
      </w:r>
      <w:r>
        <w:rPr>
          <w:rStyle w:val="VerbatimChar"/>
        </w:rPr>
        <w:t xml:space="preserve">-x 0 -z 0 -c 0</w:t>
      </w:r>
      <w:r>
        <w:t xml:space="preserve">). Per-run measured growth rates were digitized</w:t>
      </w:r>
      <w:r>
        <w:t xml:space="preserve"> </w:t>
      </w:r>
      <w:r>
        <w:t xml:space="preserve">from the source figure and validated by reproducing the printed panel-level</w:t>
      </w:r>
      <w:r>
        <w:t xml:space="preserve"> </w:t>
      </w:r>
      <w:r>
        <w:t xml:space="preserve">correlations to within 2 × 10</w:t>
      </w:r>
      <w:r>
        <w:rPr>
          <w:vertAlign w:val="superscript"/>
        </w:rPr>
        <w:t xml:space="preserve">-4</w:t>
      </w:r>
      <w:r>
        <w:t xml:space="preserve">; RMSE against the paper’s predicted log2 PTR</w:t>
      </w:r>
      <w:r>
        <w:t xml:space="preserve"> </w:t>
      </w:r>
      <w:r>
        <w:t xml:space="preserve">was treated as a same-reads comparison rather than independent accuracy.</w:t>
      </w:r>
    </w:p>
    <w:p>
      <w:pPr>
        <w:pStyle w:val="BodyText"/>
      </w:pPr>
      <w:r>
        <w:t xml:space="preserve">C4 used PRJNA551656 with 20 marine surface-water metagenomes and 101 marine</w:t>
      </w:r>
      <w:r>
        <w:t xml:space="preserve"> </w:t>
      </w:r>
      <w:r>
        <w:t xml:space="preserve">MAGs. We compared sk2bGrow with Pilea default and recorded both estimates and</w:t>
      </w:r>
      <w:r>
        <w:t xml:space="preserve"> </w:t>
      </w:r>
      <w:r>
        <w:t xml:space="preserve">QC outcomes. A MAG was counted for protocol correlation only when the two</w:t>
      </w:r>
      <w:r>
        <w:t xml:space="preserve"> </w:t>
      </w:r>
      <w:r>
        <w:t xml:space="preserve">protocols had comparable samples and finite estimates; this criterion explains</w:t>
      </w:r>
      <w:r>
        <w:t xml:space="preserve"> </w:t>
      </w:r>
      <w:r>
        <w:t xml:space="preserve">why the matched set (2/101) is smaller than the set of any sk2bGrow estimate</w:t>
      </w:r>
      <w:r>
        <w:t xml:space="preserve"> </w:t>
      </w:r>
      <w:r>
        <w:t xml:space="preserve">(51/101). Growth-rate truth from Long et al. was derived from the same reads</w:t>
      </w:r>
      <w:r>
        <w:t xml:space="preserve"> </w:t>
      </w:r>
      <w:r>
        <w:t xml:space="preserve">and was treated as a noisy external reference [7].</w:t>
      </w:r>
    </w:p>
    <w:p>
      <w:pPr>
        <w:pStyle w:val="BodyText"/>
      </w:pPr>
      <w:r>
        <w:t xml:space="preserve">C5 used PRJNA974210: nine RBC metagenomes profiled against 522 bacterial MAGs,</w:t>
      </w:r>
      <w:r>
        <w:t xml:space="preserve"> </w:t>
      </w:r>
      <w:r>
        <w:t xml:space="preserve">giving 4,698 expected MAG-sample cells. Outcomes were total estimates, default</w:t>
      </w:r>
      <w:r>
        <w:t xml:space="preserve"> </w:t>
      </w:r>
      <w:r>
        <w:t xml:space="preserve">QC passes, recall over expected cells, suspicious confident estimates for</w:t>
      </w:r>
      <w:r>
        <w:t xml:space="preserve"> </w:t>
      </w:r>
      <w:r>
        <w:t xml:space="preserve">absent genomes and measured wall time. Pilea gates-off was summarized but not</w:t>
      </w:r>
      <w:r>
        <w:t xml:space="preserve"> </w:t>
      </w:r>
      <w:r>
        <w:t xml:space="preserve">compared as a balanced application arm because only three of nine samples were</w:t>
      </w:r>
      <w:r>
        <w:t xml:space="preserve"> </w:t>
      </w:r>
      <w:r>
        <w:t xml:space="preserve">represented.</w:t>
      </w:r>
    </w:p>
    <w:p>
      <w:pPr>
        <w:pStyle w:val="BodyText"/>
      </w:pPr>
      <w:r>
        <w:t xml:space="preserve">These real-community runs were completed before the current implementation</w:t>
      </w:r>
      <w:r>
        <w:t xml:space="preserve"> </w:t>
      </w:r>
      <w:r>
        <w:t xml:space="preserve">refresh using sk2bGrow commit</w:t>
      </w:r>
      <w:r>
        <w:t xml:space="preserve"> </w:t>
      </w:r>
      <w:r>
        <w:rPr>
          <w:rStyle w:val="VerbatimChar"/>
        </w:rPr>
        <w:t xml:space="preserve">275778f350b87e10c6366bf90884d965fbab45a6</w:t>
      </w:r>
      <w:r>
        <w:t xml:space="preserve"> </w:t>
      </w:r>
      <w:r>
        <w:t xml:space="preserve">plus</w:t>
      </w:r>
      <w:r>
        <w:t xml:space="preserve"> </w:t>
      </w:r>
      <w:r>
        <w:t xml:space="preserve">working-tree fixes to</w:t>
      </w:r>
      <w:r>
        <w:t xml:space="preserve"> </w:t>
      </w:r>
      <w:r>
        <w:rPr>
          <w:rStyle w:val="VerbatimChar"/>
        </w:rPr>
        <w:t xml:space="preserve">python/sk2bgrow/fit.py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python/sk2bgrow/ztp.py</w:t>
      </w:r>
      <w:r>
        <w:t xml:space="preserve">.</w:t>
      </w:r>
      <w:r>
        <w:t xml:space="preserve"> </w:t>
      </w:r>
      <w:r>
        <w:t xml:space="preserve">They were not rerun at the current commit. This provenance limitation is</w:t>
      </w:r>
      <w:r>
        <w:t xml:space="preserve"> </w:t>
      </w:r>
      <w:r>
        <w:t xml:space="preserve">retained because the results are informative but not a current-code benchmark.</w:t>
      </w:r>
    </w:p>
    <w:bookmarkEnd w:id="49"/>
    <w:bookmarkStart w:id="50" w:name="statistical-reporting"/>
    <w:p>
      <w:pPr>
        <w:pStyle w:val="Heading3"/>
      </w:pPr>
      <w:r>
        <w:t xml:space="preserve">Statistical reporting</w:t>
      </w:r>
    </w:p>
    <w:p>
      <w:pPr>
        <w:pStyle w:val="FirstParagraph"/>
      </w:pPr>
      <w:r>
        <w:t xml:space="preserve">Media bootstrap intervals used 10,000 resamples. Seed estimates were averaged</w:t>
      </w:r>
      <w:r>
        <w:t xml:space="preserve"> </w:t>
      </w:r>
      <w:r>
        <w:t xml:space="preserve">within a resampled medium so that three technical seeds were not treated as</w:t>
      </w:r>
      <w:r>
        <w:t xml:space="preserve"> </w:t>
      </w:r>
      <w:r>
        <w:t xml:space="preserve">independent media. A4 intervals resampled replicates within each true</w:t>
      </w:r>
      <w:r>
        <w:t xml:space="preserve"> </w:t>
      </w:r>
      <w:r>
        <w:t xml:space="preserve">amplitude. R3 detection intervals used Wilson scores. Exploratory bootstrap p</w:t>
      </w:r>
      <w:r>
        <w:t xml:space="preserve"> </w:t>
      </w:r>
      <w:r>
        <w:t xml:space="preserve">values were not corrected for multiplicity and were not treated as</w:t>
      </w:r>
      <w:r>
        <w:t xml:space="preserve"> </w:t>
      </w:r>
      <w:r>
        <w:t xml:space="preserve">confirmatory.</w:t>
      </w:r>
    </w:p>
    <w:bookmarkEnd w:id="50"/>
    <w:bookmarkEnd w:id="51"/>
    <w:bookmarkStart w:id="52" w:name="availability-of-data-and-materials"/>
    <w:p>
      <w:pPr>
        <w:pStyle w:val="Heading2"/>
      </w:pPr>
      <w:r>
        <w:t xml:space="preserve">Availability of data and materials</w:t>
      </w:r>
    </w:p>
    <w:p>
      <w:pPr>
        <w:pStyle w:val="FirstParagraph"/>
      </w:pPr>
      <w:r>
        <w:t xml:space="preserve">The implementation, benchmark scripts, result archives and figure code are in</w:t>
      </w:r>
      <w:r>
        <w:t xml:space="preserve"> </w:t>
      </w:r>
      <w:r>
        <w:t xml:space="preserve">the sk2bGrow repository. The 2026-09-30 refresh and 2026-10-01 review</w:t>
      </w:r>
      <w:r>
        <w:t xml:space="preserve"> </w:t>
      </w:r>
      <w:r>
        <w:t xml:space="preserve">diagnostics are stored under</w:t>
      </w:r>
      <w:r>
        <w:t xml:space="preserve"> </w:t>
      </w:r>
      <w:r>
        <w:rPr>
          <w:rStyle w:val="VerbatimChar"/>
        </w:rPr>
        <w:t xml:space="preserve">benches/refresh_20260930/</w:t>
      </w:r>
      <w:r>
        <w:t xml:space="preserve">. The current</w:t>
      </w:r>
      <w:r>
        <w:t xml:space="preserve"> </w:t>
      </w:r>
      <w:r>
        <w:t xml:space="preserve">mixed-strain validation is stored under</w:t>
      </w:r>
      <w:r>
        <w:t xml:space="preserve"> </w:t>
      </w:r>
      <w:r>
        <w:rPr>
          <w:rStyle w:val="VerbatimChar"/>
        </w:rPr>
        <w:t xml:space="preserve">benches/mixedstrain_20261001/</w:t>
      </w:r>
      <w:r>
        <w:t xml:space="preserve">.</w:t>
      </w:r>
      <w:r>
        <w:t xml:space="preserve"> </w:t>
      </w:r>
      <w:r>
        <w:t xml:space="preserve">Real-community summaries are stored under</w:t>
      </w:r>
      <w:r>
        <w:t xml:space="preserve"> </w:t>
      </w:r>
      <w:r>
        <w:rPr>
          <w:rStyle w:val="VerbatimChar"/>
        </w:rPr>
        <w:t xml:space="preserve">benches/realcommunity_20261001/remote_summaries/</w:t>
      </w:r>
      <w:r>
        <w:t xml:space="preserve">. Zheng data are available</w:t>
      </w:r>
      <w:r>
        <w:t xml:space="preserve"> </w:t>
      </w:r>
      <w:r>
        <w:t xml:space="preserve">from BioProject PRJNA615952; C1b from PRJNA1280254; C4 from PRJNA551656; and</w:t>
      </w:r>
      <w:r>
        <w:t xml:space="preserve"> </w:t>
      </w:r>
      <w:r>
        <w:t xml:space="preserve">C5 from PRJNA974210. Source and result archive</w:t>
      </w:r>
      <w:r>
        <w:t xml:space="preserve"> </w:t>
      </w:r>
      <w:r>
        <w:t xml:space="preserve">hashes are recorded in</w:t>
      </w:r>
      <w:r>
        <w:t xml:space="preserve"> </w:t>
      </w:r>
      <w:r>
        <w:rPr>
          <w:rStyle w:val="VerbatimChar"/>
        </w:rPr>
        <w:t xml:space="preserve">docs/PAPER_RESULTS.md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benches/refresh_20260930/README.md</w:t>
      </w:r>
      <w:r>
        <w:t xml:space="preserve"> </w:t>
      </w:r>
      <w:r>
        <w:t xml:space="preserve">and the statistical supplement.</w:t>
      </w:r>
    </w:p>
    <w:bookmarkEnd w:id="52"/>
    <w:bookmarkStart w:id="53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2bRAD: two-base encoded RAD; C1b: cross-species isolate benchmark; C4: marine</w:t>
      </w:r>
      <w:r>
        <w:t xml:space="preserve"> </w:t>
      </w:r>
      <w:r>
        <w:t xml:space="preserve">real-community benchmark; C5: rotating-biological-contactor application;</w:t>
      </w:r>
      <w:r>
        <w:t xml:space="preserve"> </w:t>
      </w:r>
      <w:r>
        <w:t xml:space="preserve">EM: expectation-maximization; MAG: metagenome-assembled genome;</w:t>
      </w:r>
      <w:r>
        <w:t xml:space="preserve"> </w:t>
      </w:r>
      <w:r>
        <w:t xml:space="preserve">NB: negative binomial; PTR: peak-to-trough ratio; QC: quality control;</w:t>
      </w:r>
      <w:r>
        <w:t xml:space="preserve"> </w:t>
      </w:r>
      <w:r>
        <w:t xml:space="preserve">RBC: rotating biological contactor; RMSE: root mean squared error;</w:t>
      </w:r>
      <w:r>
        <w:t xml:space="preserve"> </w:t>
      </w:r>
      <w:r>
        <w:t xml:space="preserve">WCG: within-contig gradient; ZTP: zero-truncated Poisson</w:t>
      </w:r>
    </w:p>
    <w:bookmarkEnd w:id="53"/>
    <w:bookmarkStart w:id="60" w:name="declarations"/>
    <w:p>
      <w:pPr>
        <w:pStyle w:val="Heading2"/>
      </w:pPr>
      <w:r>
        <w:t xml:space="preserve">Declarations</w:t>
      </w:r>
    </w:p>
    <w:bookmarkStart w:id="54" w:name="Xd182db0490b2de20bd2b4e4cc8698599182035f"/>
    <w:p>
      <w:pPr>
        <w:pStyle w:val="Heading3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 This study used only publicly available sequencing data and</w:t>
      </w:r>
      <w:r>
        <w:t xml:space="preserve"> </w:t>
      </w:r>
      <w:r>
        <w:t xml:space="preserve">simulated reads.</w:t>
      </w:r>
    </w:p>
    <w:bookmarkEnd w:id="54"/>
    <w:bookmarkStart w:id="55" w:name="consent-for-publication"/>
    <w:p>
      <w:pPr>
        <w:pStyle w:val="Heading3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55"/>
    <w:bookmarkStart w:id="56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56"/>
    <w:bookmarkStart w:id="57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To be completed from the award information used to support this project.</w:t>
      </w:r>
    </w:p>
    <w:bookmarkEnd w:id="57"/>
    <w:bookmarkStart w:id="58" w:name="authors-contributions"/>
    <w:p>
      <w:pPr>
        <w:pStyle w:val="Heading3"/>
      </w:pPr>
      <w:r>
        <w:t xml:space="preserve">Authors’ contributions</w:t>
      </w:r>
    </w:p>
    <w:p>
      <w:pPr>
        <w:pStyle w:val="FirstParagraph"/>
      </w:pPr>
      <w:r>
        <w:t xml:space="preserve">To be completed in accordance with CRediT after author-list confirmation.</w:t>
      </w:r>
    </w:p>
    <w:bookmarkEnd w:id="58"/>
    <w:bookmarkStart w:id="59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To be completed at submission.</w:t>
      </w:r>
    </w:p>
    <w:bookmarkEnd w:id="59"/>
    <w:bookmarkEnd w:id="60"/>
    <w:bookmarkStart w:id="6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Brown CT, Olm MR, Thomas BC, Banfield JF. Measurement of bacterial</w:t>
      </w:r>
      <w:r>
        <w:t xml:space="preserve"> </w:t>
      </w:r>
      <w:r>
        <w:t xml:space="preserve">replication rates in microbial communities.</w:t>
      </w:r>
      <w:r>
        <w:t xml:space="preserve"> </w:t>
      </w:r>
      <w:r>
        <w:rPr>
          <w:i/>
          <w:iCs/>
        </w:rPr>
        <w:t xml:space="preserve">Nat Biotechnol</w:t>
      </w:r>
      <w:r>
        <w:t xml:space="preserve">.</w:t>
      </w:r>
      <w:r>
        <w:t xml:space="preserve"> </w:t>
      </w:r>
      <w:r>
        <w:t xml:space="preserve">2016;34:1256–63. doi:10.1038/nbt.3704</w:t>
      </w:r>
    </w:p>
    <w:p>
      <w:pPr>
        <w:pStyle w:val="Compact"/>
        <w:numPr>
          <w:ilvl w:val="0"/>
          <w:numId w:val="1003"/>
        </w:numPr>
      </w:pPr>
      <w:r>
        <w:t xml:space="preserve">Emiola A, Oh J. High throughput in situ metagenomic measurement of bacterial</w:t>
      </w:r>
      <w:r>
        <w:t xml:space="preserve"> </w:t>
      </w:r>
      <w:r>
        <w:t xml:space="preserve">replication at ultra-low sequencing coverage.</w:t>
      </w:r>
      <w:r>
        <w:t xml:space="preserve"> </w:t>
      </w:r>
      <w:r>
        <w:rPr>
          <w:i/>
          <w:iCs/>
        </w:rPr>
        <w:t xml:space="preserve">Nat Commun</w:t>
      </w:r>
      <w:r>
        <w:t xml:space="preserve">. 2018;9:4956.</w:t>
      </w:r>
      <w:r>
        <w:t xml:space="preserve"> </w:t>
      </w:r>
      <w:r>
        <w:t xml:space="preserve">doi:10.1038/s41467-018-07240-8</w:t>
      </w:r>
    </w:p>
    <w:p>
      <w:pPr>
        <w:pStyle w:val="Compact"/>
        <w:numPr>
          <w:ilvl w:val="0"/>
          <w:numId w:val="1003"/>
        </w:numPr>
      </w:pPr>
      <w:r>
        <w:t xml:space="preserve">Joseph TA, Chlenski P, Litman A, Korem T, Pe’er I. Accurate and robust</w:t>
      </w:r>
      <w:r>
        <w:t xml:space="preserve"> </w:t>
      </w:r>
      <w:r>
        <w:t xml:space="preserve">inference of microbial growth dynamics from metagenomic sequencing reveals</w:t>
      </w:r>
      <w:r>
        <w:t xml:space="preserve"> </w:t>
      </w:r>
      <w:r>
        <w:t xml:space="preserve">personalized growth rates.</w:t>
      </w:r>
      <w:r>
        <w:t xml:space="preserve"> </w:t>
      </w:r>
      <w:r>
        <w:rPr>
          <w:i/>
          <w:iCs/>
        </w:rPr>
        <w:t xml:space="preserve">Genome Res</w:t>
      </w:r>
      <w:r>
        <w:t xml:space="preserve">. 2022;32:558–68.</w:t>
      </w:r>
      <w:r>
        <w:t xml:space="preserve"> </w:t>
      </w:r>
      <w:r>
        <w:t xml:space="preserve">doi:10.1101/gr.275533.121</w:t>
      </w:r>
    </w:p>
    <w:p>
      <w:pPr>
        <w:pStyle w:val="Compact"/>
        <w:numPr>
          <w:ilvl w:val="0"/>
          <w:numId w:val="1003"/>
        </w:numPr>
      </w:pPr>
      <w:r>
        <w:t xml:space="preserve">Chen X, Xu X, Lin Y, Shi X, Wang D, Zhang T. Pilea: profiling bacterial</w:t>
      </w:r>
      <w:r>
        <w:t xml:space="preserve"> </w:t>
      </w:r>
      <w:r>
        <w:t xml:space="preserve">growth dynamics from metagenomes with sketching.</w:t>
      </w:r>
      <w:r>
        <w:t xml:space="preserve"> </w:t>
      </w:r>
      <w:r>
        <w:rPr>
          <w:i/>
          <w:iCs/>
        </w:rPr>
        <w:t xml:space="preserve">Microbiome</w:t>
      </w:r>
      <w:r>
        <w:t xml:space="preserve">.</w:t>
      </w:r>
      <w:r>
        <w:t xml:space="preserve"> </w:t>
      </w:r>
      <w:r>
        <w:t xml:space="preserve">2026;14:128. doi:10.1186/s40168-026-02374-0</w:t>
      </w:r>
    </w:p>
    <w:p>
      <w:pPr>
        <w:pStyle w:val="Compact"/>
        <w:numPr>
          <w:ilvl w:val="0"/>
          <w:numId w:val="1003"/>
        </w:numPr>
      </w:pPr>
      <w:r>
        <w:t xml:space="preserve">Sun Z, Huang S, Zhu P, et al. Species-resolved sequencing of low-biomass or</w:t>
      </w:r>
      <w:r>
        <w:t xml:space="preserve"> </w:t>
      </w:r>
      <w:r>
        <w:t xml:space="preserve">degraded microbiomes using 2bRAD-M.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. 2022;23:36.</w:t>
      </w:r>
      <w:r>
        <w:t xml:space="preserve"> </w:t>
      </w:r>
      <w:r>
        <w:t xml:space="preserve">doi:10.1186/s13059-021-02576-9</w:t>
      </w:r>
    </w:p>
    <w:p>
      <w:pPr>
        <w:pStyle w:val="Compact"/>
        <w:numPr>
          <w:ilvl w:val="0"/>
          <w:numId w:val="1003"/>
        </w:numPr>
      </w:pPr>
      <w:r>
        <w:t xml:space="preserve">Zheng H, Bai Y, Jiang M, et al. General quantitative relations linking cell</w:t>
      </w:r>
      <w:r>
        <w:t xml:space="preserve"> </w:t>
      </w:r>
      <w:r>
        <w:t xml:space="preserve">growth and the cell cycle in</w:t>
      </w:r>
      <w:r>
        <w:t xml:space="preserve"> </w:t>
      </w:r>
      <w:r>
        <w:rPr>
          <w:i/>
          <w:iCs/>
        </w:rPr>
        <w:t xml:space="preserve">Escherichia coli</w:t>
      </w:r>
      <w:r>
        <w:t xml:space="preserve">.</w:t>
      </w:r>
      <w:r>
        <w:t xml:space="preserve"> </w:t>
      </w:r>
      <w:r>
        <w:rPr>
          <w:i/>
          <w:iCs/>
        </w:rPr>
        <w:t xml:space="preserve">Nat Microbiol</w:t>
      </w:r>
      <w:r>
        <w:t xml:space="preserve">.</w:t>
      </w:r>
      <w:r>
        <w:t xml:space="preserve"> </w:t>
      </w:r>
      <w:r>
        <w:t xml:space="preserve">2020;5:995–1001. doi:10.1038/s41564-020-0717-x</w:t>
      </w:r>
    </w:p>
    <w:p>
      <w:pPr>
        <w:pStyle w:val="Compact"/>
        <w:numPr>
          <w:ilvl w:val="0"/>
          <w:numId w:val="1003"/>
        </w:numPr>
      </w:pPr>
      <w:r>
        <w:t xml:space="preserve">Long AM, Hou S, Ignacio-Espinoza JC, Fuhrman JA. Benchmarking microbial</w:t>
      </w:r>
      <w:r>
        <w:t xml:space="preserve"> </w:t>
      </w:r>
      <w:r>
        <w:t xml:space="preserve">growth rate predictions from metagenomes.</w:t>
      </w:r>
      <w:r>
        <w:t xml:space="preserve"> </w:t>
      </w:r>
      <w:r>
        <w:rPr>
          <w:i/>
          <w:iCs/>
        </w:rPr>
        <w:t xml:space="preserve">ISME J</w:t>
      </w:r>
      <w:r>
        <w:t xml:space="preserve">. 2021;15:183–95.</w:t>
      </w:r>
      <w:r>
        <w:t xml:space="preserve"> </w:t>
      </w:r>
      <w:r>
        <w:t xml:space="preserve">doi:10.1038/s41396-020-00773-1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2026-10-02T03:01:11Z</dcterms:created>
  <dcterms:modified xsi:type="dcterms:W3CDTF">2026-10-02T03:01:11Z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