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sz w:val="24"/>
        </w:rPr>
      </w:pPr>
      <w:bookmarkStart w:id="0" w:name="_Toc18224"/>
      <w:r>
        <w:rPr>
          <w:rFonts w:hint="eastAsia"/>
          <w:sz w:val="24"/>
        </w:rPr>
        <w:t>一、用户手册</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1"/>
        <w:rPr>
          <w:rFonts w:hint="eastAsia"/>
          <w:sz w:val="24"/>
        </w:rPr>
      </w:pPr>
      <w:bookmarkStart w:id="1" w:name="_Toc28626"/>
      <w:r>
        <w:rPr>
          <w:rFonts w:hint="eastAsia"/>
          <w:sz w:val="24"/>
        </w:rPr>
        <w:t>1.概述</w:t>
      </w:r>
      <w:bookmarkEnd w:id="1"/>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2"/>
        <w:rPr>
          <w:rFonts w:hint="eastAsia"/>
          <w:sz w:val="24"/>
        </w:rPr>
      </w:pPr>
      <w:bookmarkStart w:id="2" w:name="_Toc29899"/>
      <w:r>
        <w:rPr>
          <w:rFonts w:hint="eastAsia"/>
          <w:sz w:val="24"/>
        </w:rPr>
        <w:t>1.1 目的</w:t>
      </w:r>
      <w:bookmarkEnd w:id="2"/>
    </w:p>
    <w:p>
      <w:pPr>
        <w:keepNext w:val="0"/>
        <w:keepLines w:val="0"/>
        <w:pageBreakBefore w:val="0"/>
        <w:widowControl w:val="0"/>
        <w:kinsoku/>
        <w:wordWrap/>
        <w:overflowPunct/>
        <w:topLinePunct w:val="0"/>
        <w:autoSpaceDE/>
        <w:autoSpaceDN/>
        <w:bidi w:val="0"/>
        <w:adjustRightInd/>
        <w:snapToGrid/>
        <w:spacing w:line="360" w:lineRule="auto"/>
        <w:ind w:firstLine="657" w:firstLineChars="274"/>
        <w:textAlignment w:val="auto"/>
        <w:rPr>
          <w:rFonts w:hint="default" w:eastAsia="宋体"/>
          <w:sz w:val="24"/>
          <w:lang w:val="en-US" w:eastAsia="zh-CN"/>
        </w:rPr>
      </w:pPr>
      <w:r>
        <w:rPr>
          <w:rFonts w:hint="eastAsia"/>
          <w:sz w:val="24"/>
          <w:lang w:val="en-US" w:eastAsia="zh-CN"/>
        </w:rPr>
        <w:t>实现放射治疗计划DICOM文件的读取、剂量学评估指标计算、批量抓取和单个计划简单展示。</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2"/>
        <w:rPr>
          <w:rFonts w:hint="eastAsia"/>
          <w:sz w:val="24"/>
        </w:rPr>
      </w:pPr>
      <w:bookmarkStart w:id="3" w:name="_Toc32247"/>
      <w:r>
        <w:rPr>
          <w:rFonts w:hint="eastAsia"/>
          <w:sz w:val="24"/>
        </w:rPr>
        <w:t>1.2 背景</w:t>
      </w:r>
      <w:bookmarkEnd w:id="3"/>
    </w:p>
    <w:p>
      <w:pPr>
        <w:keepNext w:val="0"/>
        <w:keepLines w:val="0"/>
        <w:pageBreakBefore w:val="0"/>
        <w:widowControl w:val="0"/>
        <w:kinsoku/>
        <w:wordWrap/>
        <w:overflowPunct/>
        <w:topLinePunct w:val="0"/>
        <w:autoSpaceDE/>
        <w:autoSpaceDN/>
        <w:bidi w:val="0"/>
        <w:adjustRightInd/>
        <w:snapToGrid/>
        <w:spacing w:line="360" w:lineRule="auto"/>
        <w:ind w:firstLine="657" w:firstLineChars="274"/>
        <w:textAlignment w:val="auto"/>
        <w:rPr>
          <w:rFonts w:hint="default" w:eastAsia="宋体"/>
          <w:sz w:val="24"/>
          <w:lang w:val="en-US" w:eastAsia="zh-CN"/>
        </w:rPr>
      </w:pPr>
      <w:r>
        <w:rPr>
          <w:rFonts w:hint="eastAsia"/>
          <w:sz w:val="24"/>
          <w:lang w:val="en-US" w:eastAsia="zh-CN"/>
        </w:rPr>
        <w:t>目前放疗计划剂量学数据采集通常是借助TPS中的剂量体积直方图（dose-volume histogram, DVH）模块，使用人工采样的方式在每个计划DVH曲线上获取待评估组织对应剂量或体积数据，但对于一些特殊的评估指标，如适形指数（conformity index，CI）、均匀性指数（homogeneity index, HI）、剂量跌落指数（Gradient index，GI）等仍需要手动计算。更重要的是在放疗计划数据回顾性分析等科研工作中，大批量患者计划的数据采集非常耗时并严重占用TPS临床工作资源，因此本程序基于TPS导出的计划DICOM标准文件进行解析，实现计划剂量学各类评估指标的自动计算和批量抓取，为放疗科研工作提供便利。</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2"/>
        <w:rPr>
          <w:rFonts w:hint="eastAsia"/>
          <w:sz w:val="24"/>
        </w:rPr>
      </w:pPr>
      <w:bookmarkStart w:id="4" w:name="_Toc7196"/>
      <w:r>
        <w:rPr>
          <w:rFonts w:hint="eastAsia"/>
          <w:sz w:val="24"/>
        </w:rPr>
        <w:t>1.3 定义</w:t>
      </w:r>
      <w:bookmarkEnd w:id="4"/>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lang w:val="en-US" w:eastAsia="zh-CN"/>
        </w:rPr>
      </w:pPr>
      <w:r>
        <w:rPr>
          <w:rFonts w:hint="eastAsia"/>
          <w:sz w:val="24"/>
          <w:lang w:val="en-US" w:eastAsia="zh-CN"/>
        </w:rPr>
        <w:t>TPS：放疗计划系统</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lang w:val="en-US" w:eastAsia="zh-CN"/>
        </w:rPr>
      </w:pPr>
      <w:r>
        <w:rPr>
          <w:rFonts w:hint="eastAsia"/>
          <w:sz w:val="24"/>
          <w:lang w:val="en-US" w:eastAsia="zh-CN"/>
        </w:rPr>
        <w:t>DVH：剂量体积曲线直方图</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CI：适形指数</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HI：均匀性指数</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GI：剂量跌落指数</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default"/>
          <w:sz w:val="24"/>
          <w:lang w:val="en-US" w:eastAsia="zh-CN"/>
        </w:rPr>
        <w:t>Gradient</w:t>
      </w:r>
      <w:r>
        <w:rPr>
          <w:rFonts w:hint="eastAsia"/>
          <w:sz w:val="24"/>
          <w:lang w:val="en-US" w:eastAsia="zh-CN"/>
        </w:rPr>
        <w:t>：剂量跌落距离指数</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lang w:val="en-US" w:eastAsia="zh-CN"/>
        </w:rPr>
      </w:pPr>
      <w:r>
        <w:rPr>
          <w:rFonts w:hint="eastAsia"/>
          <w:sz w:val="24"/>
          <w:lang w:val="en-US" w:eastAsia="zh-CN"/>
        </w:rPr>
        <w:t>absDose-rV：绝对剂量查询相对体积</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lang w:val="en-US" w:eastAsia="zh-CN"/>
        </w:rPr>
      </w:pPr>
      <w:r>
        <w:rPr>
          <w:rFonts w:hint="eastAsia"/>
          <w:sz w:val="24"/>
          <w:lang w:val="en-US" w:eastAsia="zh-CN"/>
        </w:rPr>
        <w:t>absDose-absV：绝对剂量查询绝对体积</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default"/>
          <w:sz w:val="24"/>
          <w:lang w:val="en-US" w:eastAsia="zh-CN"/>
        </w:rPr>
      </w:pPr>
      <w:r>
        <w:rPr>
          <w:rFonts w:hint="eastAsia"/>
          <w:sz w:val="24"/>
          <w:lang w:val="en-US" w:eastAsia="zh-CN"/>
        </w:rPr>
        <w:t>absV-absDose：绝对体积查询绝对剂量</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rV-absDose：相对体积查询绝对剂量</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Rtdose：TPS导出的DICOM标准剂量数据文件</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lang w:val="en-US" w:eastAsia="zh-CN"/>
        </w:rPr>
      </w:pPr>
      <w:r>
        <w:rPr>
          <w:rFonts w:hint="eastAsia"/>
          <w:sz w:val="24"/>
          <w:lang w:val="en-US" w:eastAsia="zh-CN"/>
        </w:rPr>
        <w:t>Rtplan：TPS导出的DICOM标准计划执行数据文件</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3"/>
        <w:rPr>
          <w:rFonts w:hint="eastAsia"/>
          <w:sz w:val="24"/>
          <w:lang w:val="en-US" w:eastAsia="zh-CN"/>
        </w:rPr>
      </w:pPr>
      <w:r>
        <w:rPr>
          <w:rFonts w:hint="eastAsia"/>
          <w:sz w:val="24"/>
          <w:lang w:val="en-US" w:eastAsia="zh-CN"/>
        </w:rPr>
        <w:t>Rtstructure：TPS导出的DICOM标准轮廓结构数据文件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2"/>
        <w:rPr>
          <w:rFonts w:hint="eastAsia"/>
          <w:sz w:val="24"/>
        </w:rPr>
      </w:pPr>
      <w:bookmarkStart w:id="5" w:name="_Toc20194"/>
      <w:r>
        <w:rPr>
          <w:rFonts w:hint="eastAsia"/>
          <w:sz w:val="24"/>
          <w:lang w:val="en-US" w:eastAsia="zh-CN"/>
        </w:rPr>
        <w:t>1</w:t>
      </w:r>
      <w:r>
        <w:rPr>
          <w:rFonts w:hint="eastAsia"/>
          <w:sz w:val="24"/>
        </w:rPr>
        <w:t>.</w:t>
      </w:r>
      <w:r>
        <w:rPr>
          <w:rFonts w:hint="eastAsia"/>
          <w:sz w:val="24"/>
          <w:lang w:val="en-US" w:eastAsia="zh-CN"/>
        </w:rPr>
        <w:t>4</w:t>
      </w:r>
      <w:r>
        <w:rPr>
          <w:rFonts w:hint="eastAsia"/>
          <w:sz w:val="24"/>
        </w:rPr>
        <w:t>业务流程</w:t>
      </w:r>
      <w:bookmarkEnd w:id="5"/>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18"/>
          <w:szCs w:val="18"/>
          <w:lang w:val="en-US" w:eastAsia="zh-CN"/>
        </w:rPr>
      </w:pPr>
      <w:r>
        <w:rPr>
          <w:rFonts w:hint="eastAsia" w:eastAsia="宋体"/>
          <w:sz w:val="24"/>
          <w:lang w:eastAsia="zh-CN"/>
        </w:rPr>
        <w:drawing>
          <wp:anchor distT="0" distB="0" distL="114300" distR="114300" simplePos="0" relativeHeight="251659264" behindDoc="0" locked="0" layoutInCell="1" allowOverlap="1">
            <wp:simplePos x="0" y="0"/>
            <wp:positionH relativeFrom="column">
              <wp:posOffset>1332865</wp:posOffset>
            </wp:positionH>
            <wp:positionV relativeFrom="paragraph">
              <wp:posOffset>45720</wp:posOffset>
            </wp:positionV>
            <wp:extent cx="2496820" cy="6499225"/>
            <wp:effectExtent l="0" t="0" r="17780" b="15875"/>
            <wp:wrapTopAndBottom/>
            <wp:docPr id="39" name="图片 39"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流程图"/>
                    <pic:cNvPicPr>
                      <a:picLocks noChangeAspect="1"/>
                    </pic:cNvPicPr>
                  </pic:nvPicPr>
                  <pic:blipFill>
                    <a:blip r:embed="rId4"/>
                    <a:stretch>
                      <a:fillRect/>
                    </a:stretch>
                  </pic:blipFill>
                  <pic:spPr>
                    <a:xfrm>
                      <a:off x="0" y="0"/>
                      <a:ext cx="2496820" cy="6499225"/>
                    </a:xfrm>
                    <a:prstGeom prst="rect">
                      <a:avLst/>
                    </a:prstGeom>
                  </pic:spPr>
                </pic:pic>
              </a:graphicData>
            </a:graphic>
          </wp:anchor>
        </w:drawing>
      </w:r>
      <w:r>
        <w:rPr>
          <w:rFonts w:hint="eastAsia"/>
          <w:lang w:val="en-US" w:eastAsia="zh-CN"/>
        </w:rPr>
        <w:t xml:space="preserve">                 </w:t>
      </w:r>
      <w:r>
        <w:rPr>
          <w:rFonts w:hint="eastAsia" w:ascii="Times New Roman" w:hAnsi="Times New Roman" w:eastAsia="宋体" w:cs="Times New Roman"/>
          <w:sz w:val="18"/>
          <w:szCs w:val="18"/>
          <w:lang w:val="en-US" w:eastAsia="zh-CN"/>
        </w:rPr>
        <w:t xml:space="preserve"> 图   放疗计划剂量学科研数据采集软件业务流程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Times New Roman"/>
          <w:sz w:val="18"/>
          <w:szCs w:val="1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1"/>
        <w:rPr>
          <w:rFonts w:hint="eastAsia"/>
          <w:sz w:val="24"/>
        </w:rPr>
      </w:pPr>
      <w:bookmarkStart w:id="6" w:name="_Toc8287"/>
      <w:r>
        <w:rPr>
          <w:rFonts w:hint="eastAsia"/>
          <w:sz w:val="24"/>
        </w:rPr>
        <w:t>软件各功能使用</w:t>
      </w:r>
      <w:r>
        <w:rPr>
          <w:rFonts w:hint="eastAsia"/>
          <w:sz w:val="24"/>
          <w:lang w:val="en-US" w:eastAsia="zh-CN"/>
        </w:rPr>
        <w:t>流程</w:t>
      </w:r>
      <w:r>
        <w:rPr>
          <w:rFonts w:hint="eastAsia"/>
          <w:sz w:val="24"/>
        </w:rPr>
        <w:t>说明</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7" w:name="_Toc31274"/>
      <w:r>
        <w:rPr>
          <w:rFonts w:hint="eastAsia"/>
          <w:sz w:val="24"/>
          <w:lang w:val="en-US" w:eastAsia="zh-CN"/>
        </w:rPr>
        <w:t>2.1</w:t>
      </w:r>
      <w:r>
        <w:rPr>
          <w:rFonts w:hint="eastAsia"/>
          <w:sz w:val="24"/>
        </w:rPr>
        <w:t xml:space="preserve"> 软件</w:t>
      </w:r>
      <w:r>
        <w:rPr>
          <w:rFonts w:hint="eastAsia"/>
          <w:sz w:val="24"/>
          <w:lang w:val="en-US" w:eastAsia="zh-CN"/>
        </w:rPr>
        <w:t>登录声明和注册认证</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r>
        <w:rPr>
          <w:rFonts w:hint="eastAsia"/>
          <w:sz w:val="24"/>
          <w:lang w:val="en-US" w:eastAsia="zh-CN"/>
        </w:rPr>
        <w:t>双击运行程序exe文件，主窗体在运行前会弹出申明窗体，表明该该程序仅用于相关的科研和学习工作，禁止用于放疗临床工作中计划数据采集和评估。在点击同意按钮后，程序将进入注册码认证流程，获取当前电脑的CPU序列号、硬盘序列号、主板序列号，计算生成注册认证码。程序将生成的注册认证码与exe文件目录下资源文件夹（resource）中的register.ini相关信息进行对比判断，如果认证通过将进行程序主窗体，认证失败进行弹窗警告，软件使用者将相关信息发送给管理员获取正确的认证码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150" w:firstLineChars="1500"/>
        <w:jc w:val="both"/>
        <w:textAlignment w:val="auto"/>
        <w:rPr>
          <w:rFonts w:hint="eastAsia"/>
          <w:sz w:val="18"/>
          <w:szCs w:val="18"/>
          <w:lang w:val="en-US" w:eastAsia="zh-CN"/>
        </w:rPr>
      </w:pPr>
      <w:r>
        <w:drawing>
          <wp:anchor distT="0" distB="0" distL="114300" distR="114300" simplePos="0" relativeHeight="251660288" behindDoc="0" locked="0" layoutInCell="1" allowOverlap="1">
            <wp:simplePos x="0" y="0"/>
            <wp:positionH relativeFrom="column">
              <wp:posOffset>33020</wp:posOffset>
            </wp:positionH>
            <wp:positionV relativeFrom="paragraph">
              <wp:posOffset>123190</wp:posOffset>
            </wp:positionV>
            <wp:extent cx="5273675" cy="2371725"/>
            <wp:effectExtent l="0" t="0" r="3175" b="9525"/>
            <wp:wrapTopAndBottom/>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5273675" cy="2371725"/>
                    </a:xfrm>
                    <a:prstGeom prst="rect">
                      <a:avLst/>
                    </a:prstGeom>
                    <a:noFill/>
                    <a:ln>
                      <a:noFill/>
                    </a:ln>
                  </pic:spPr>
                </pic:pic>
              </a:graphicData>
            </a:graphic>
          </wp:anchor>
        </w:drawing>
      </w:r>
      <w:r>
        <w:rPr>
          <w:rFonts w:hint="eastAsia"/>
          <w:sz w:val="18"/>
          <w:szCs w:val="18"/>
          <w:lang w:val="en-US" w:eastAsia="zh-CN"/>
        </w:rPr>
        <w:t xml:space="preserve">图   登录申明和认证弹窗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8" w:name="_Toc7923"/>
      <w:r>
        <w:rPr>
          <w:rFonts w:hint="eastAsia"/>
          <w:sz w:val="24"/>
          <w:lang w:val="en-US" w:eastAsia="zh-CN"/>
        </w:rPr>
        <w:t>2.2 数据检查流程</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lang w:val="en-US" w:eastAsia="zh-CN"/>
        </w:rPr>
      </w:pPr>
      <w:r>
        <w:rPr>
          <w:rFonts w:hint="eastAsia"/>
          <w:sz w:val="24"/>
          <w:lang w:val="en-US" w:eastAsia="zh-CN"/>
        </w:rPr>
        <w:t>进入主窗体后，点击分页控件的第一页“一、数据检查”。点击选择文件目录按钮，选择放疗计划批量数据文件路径。该程序要求数据为每个患者放疗计划为一个单独文件夹，文件夹内包括对应计划导出的三个DICOM标准文件，分别为Rtplan、Rtdose、Rtstructure。每个计划的Rt类型 DICOM文件有且仅有一个，同一个计划的Rt文件存在相互关联的字段。Rtdose文件在导出时需要附带DVH数据，且要求为绝对剂量、绝对体积模式导出。点击开始按钮将进行数据检查，如果遇到某些TPS导出的Rtplan、Rtdose、Rtstructure缺失相互关联的字段，在自行确定数据无误的情况下可以点击检查超越。某些TPS 无法导出或无法按照本软件要求的格式导出DVH，可以点击DVH重计算按钮，将使用python第三方库进行重新计算（与TPS的数据显示存在一定差异）。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18"/>
          <w:szCs w:val="18"/>
          <w:lang w:val="en-US" w:eastAsia="zh-CN"/>
        </w:rPr>
      </w:pPr>
      <w:r>
        <w:drawing>
          <wp:anchor distT="0" distB="0" distL="114300" distR="114300" simplePos="0" relativeHeight="251661312" behindDoc="0" locked="0" layoutInCell="1" allowOverlap="1">
            <wp:simplePos x="0" y="0"/>
            <wp:positionH relativeFrom="column">
              <wp:posOffset>-2540</wp:posOffset>
            </wp:positionH>
            <wp:positionV relativeFrom="paragraph">
              <wp:posOffset>109855</wp:posOffset>
            </wp:positionV>
            <wp:extent cx="5266690" cy="2694940"/>
            <wp:effectExtent l="0" t="0" r="10160" b="10160"/>
            <wp:wrapTopAndBottom/>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6"/>
                    <a:stretch>
                      <a:fillRect/>
                    </a:stretch>
                  </pic:blipFill>
                  <pic:spPr>
                    <a:xfrm>
                      <a:off x="0" y="0"/>
                      <a:ext cx="5266690" cy="2694940"/>
                    </a:xfrm>
                    <a:prstGeom prst="rect">
                      <a:avLst/>
                    </a:prstGeom>
                    <a:noFill/>
                    <a:ln>
                      <a:noFill/>
                    </a:ln>
                  </pic:spPr>
                </pic:pic>
              </a:graphicData>
            </a:graphic>
          </wp:anchor>
        </w:drawing>
      </w:r>
      <w:r>
        <w:rPr>
          <w:rFonts w:hint="eastAsia"/>
          <w:lang w:val="en-US" w:eastAsia="zh-CN"/>
        </w:rPr>
        <w:t xml:space="preserve">               </w:t>
      </w:r>
      <w:r>
        <w:rPr>
          <w:rFonts w:hint="eastAsia"/>
          <w:sz w:val="18"/>
          <w:szCs w:val="18"/>
          <w:lang w:val="en-US" w:eastAsia="zh-CN"/>
        </w:rPr>
        <w:t xml:space="preserve">图   放疗计划DICOM标准文件数据检查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9" w:name="_Toc846"/>
      <w:r>
        <w:rPr>
          <w:rFonts w:hint="eastAsia"/>
          <w:sz w:val="24"/>
          <w:lang w:val="en-US" w:eastAsia="zh-CN"/>
        </w:rPr>
        <w:t>2.3结构名称标准化流程</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r>
        <w:rPr>
          <w:rFonts w:hint="eastAsia"/>
          <w:sz w:val="24"/>
          <w:lang w:val="en-US" w:eastAsia="zh-CN"/>
        </w:rPr>
        <w:t>完成数据检查后，点击分页控件第二页“映射模板”中的结构名称标准化模块。放疗计划中器官和靶区轮廓数目可能近百种，而这些组织轮廓结构命名在临床工作中并没有强制性的统一规范，一般取决于各肿瘤治疗中心规范或医师的喜好，因此在批量获取患者计划数据之前需要进行结构名称的标准化操作。该程序中通过自定义表格的方式进行标准化名称的定义，模块中分别设置了添加行、删除行、重置表格、导出表格、加载模板表格的功能。表格分为中文注释和英文名称两列，其中中文仅为注释，结构名称统一使用英文。使用者根据待批量采集的数据计划肿瘤类型设置相关的名称模板，其中外轮廓（Body）属于特殊结构，无论是否打算采集外轮廓相关剂量学数据都需要进行其标准化。在完成标准化表格或者加载模板后，点击标准化名称确认选择框，将对表格进行核查，核查要求：1.必须包含外轮廓（Body）的信息；2.表格不允许有空值。核查通过后表格将被锁定，不允许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eastAsia="宋体"/>
          <w:sz w:val="24"/>
          <w:lang w:eastAsia="zh-CN"/>
        </w:rPr>
      </w:pPr>
      <w:r>
        <w:drawing>
          <wp:anchor distT="0" distB="0" distL="114300" distR="114300" simplePos="0" relativeHeight="251662336" behindDoc="0" locked="0" layoutInCell="1" allowOverlap="1">
            <wp:simplePos x="0" y="0"/>
            <wp:positionH relativeFrom="column">
              <wp:posOffset>15875</wp:posOffset>
            </wp:positionH>
            <wp:positionV relativeFrom="paragraph">
              <wp:posOffset>80645</wp:posOffset>
            </wp:positionV>
            <wp:extent cx="5267960" cy="2693035"/>
            <wp:effectExtent l="0" t="0" r="8890" b="12065"/>
            <wp:wrapTopAndBottom/>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5267960" cy="2693035"/>
                    </a:xfrm>
                    <a:prstGeom prst="rect">
                      <a:avLst/>
                    </a:prstGeom>
                    <a:noFill/>
                    <a:ln>
                      <a:noFill/>
                    </a:ln>
                  </pic:spPr>
                </pic:pic>
              </a:graphicData>
            </a:graphic>
          </wp:anchor>
        </w:drawing>
      </w:r>
      <w:r>
        <w:rPr>
          <w:rFonts w:hint="eastAsia"/>
          <w:lang w:val="en-US" w:eastAsia="zh-CN"/>
        </w:rPr>
        <w:t xml:space="preserve">                          </w:t>
      </w:r>
      <w:r>
        <w:rPr>
          <w:rFonts w:hint="eastAsia"/>
          <w:sz w:val="18"/>
          <w:szCs w:val="18"/>
          <w:lang w:val="en-US" w:eastAsia="zh-CN"/>
        </w:rPr>
        <w:t>图  结构名称标准化流程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10" w:name="_Toc25226"/>
      <w:r>
        <w:rPr>
          <w:rFonts w:hint="eastAsia"/>
          <w:sz w:val="24"/>
          <w:lang w:val="en-US" w:eastAsia="zh-CN"/>
        </w:rPr>
        <w:t>2.4 结构名称映射流程</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r>
        <w:rPr>
          <w:rFonts w:hint="eastAsia"/>
          <w:sz w:val="24"/>
          <w:lang w:val="en-US" w:eastAsia="zh-CN"/>
        </w:rPr>
        <w:t>在结构名称标准化完后进入结构名称映射流程。该模块设置生成映射表、导出映射表、加载映射表模板三个按钮功能。点击生成结构映射表，程序相应信息生成表格。表格的行索引为标准化结构名称，列索引为每个计划的患者ID和计划名称组成的字段。表格内单元格为下拉控件，内置选择列表为当前列索引计划的所有原始结构名称，使用者通过选择下拉框进行单元格对应行索引的标准化结构映射。为了减少使用者结构映射的标注工作量，程序内置字符相似度匹配算法，在生成表格的同时每个单元格会根据行索引的标准化结构名称匹配最相似的原始结构名称。如果单个计划中不存在某个结构或者不评估，可以通过下拉框选择空值，其中外轮廓(Body)下拉框没有空值选择，强制选择映射结果。在完成映射表后点击确认单选框，进行映射表核查，核查要求是每个表格单元格下拉框选择的内容真实存在与对应计划Rtstructure文件数据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eastAsia="宋体"/>
          <w:sz w:val="18"/>
          <w:szCs w:val="18"/>
          <w:lang w:val="en-US" w:eastAsia="zh-CN"/>
        </w:rPr>
      </w:pPr>
      <w:r>
        <w:drawing>
          <wp:anchor distT="0" distB="0" distL="114300" distR="114300" simplePos="0" relativeHeight="251663360" behindDoc="0" locked="0" layoutInCell="1" allowOverlap="1">
            <wp:simplePos x="0" y="0"/>
            <wp:positionH relativeFrom="column">
              <wp:posOffset>-2540</wp:posOffset>
            </wp:positionH>
            <wp:positionV relativeFrom="paragraph">
              <wp:posOffset>85725</wp:posOffset>
            </wp:positionV>
            <wp:extent cx="5273675" cy="2709545"/>
            <wp:effectExtent l="0" t="0" r="3175" b="14605"/>
            <wp:wrapTopAndBottom/>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73675" cy="2709545"/>
                    </a:xfrm>
                    <a:prstGeom prst="rect">
                      <a:avLst/>
                    </a:prstGeom>
                    <a:noFill/>
                    <a:ln>
                      <a:noFill/>
                    </a:ln>
                  </pic:spPr>
                </pic:pic>
              </a:graphicData>
            </a:graphic>
          </wp:anchor>
        </w:drawing>
      </w:r>
      <w:r>
        <w:rPr>
          <w:rFonts w:hint="eastAsia"/>
          <w:lang w:val="en-US" w:eastAsia="zh-CN"/>
        </w:rPr>
        <w:t xml:space="preserve">                           </w:t>
      </w:r>
      <w:r>
        <w:rPr>
          <w:rFonts w:hint="eastAsia"/>
          <w:sz w:val="18"/>
          <w:szCs w:val="18"/>
          <w:lang w:val="en-US" w:eastAsia="zh-CN"/>
        </w:rPr>
        <w:t>图  结构名称映射流程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11" w:name="_Toc21151"/>
      <w:r>
        <w:rPr>
          <w:rFonts w:hint="eastAsia"/>
          <w:sz w:val="24"/>
          <w:lang w:val="en-US" w:eastAsia="zh-CN"/>
        </w:rPr>
        <w:t>2.5 任务模板设置流程</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vertAlign w:val="superscript"/>
          <w:lang w:val="en-US" w:eastAsia="zh-CN"/>
        </w:rPr>
      </w:pPr>
      <w:r>
        <w:rPr>
          <w:rFonts w:hint="eastAsia"/>
          <w:sz w:val="24"/>
          <w:lang w:val="en-US" w:eastAsia="zh-CN"/>
        </w:rPr>
        <w:t>在完成映射模板确认后，进入任务设置流程模块。模块设置添加任务、删除任务、清空任务表、导出任务模板、加载任务模板和确认任务模板6个按钮功能，以及标准化结构名称、统计类型两个下拉框，四个采集数据所需的参考值输入框。其中标准化结构名称下拉框的选项来自于之前流程结果。统计类型主要分为两类：一类为计划的基本信息，程序设置为默认采集；一类为剂量学相关评估指标。如表1所示，数据采集任务类型。使用者选择待评估的结构，选择所需的任务类型，并填写该任务评估所需的参数后点击添加任务。其中绝对剂量-&gt;绝对体积、绝对剂量-&gt;相对体积、绝对体积-&gt;绝对剂量、相对体积-&gt;绝对剂量这四个指标的数据获取需要设置参考剂量或者参考体积，根据相应的任务参考数据的单位为Gy、%、cm</w:t>
      </w:r>
      <w:r>
        <w:rPr>
          <w:rFonts w:hint="eastAsia"/>
          <w:sz w:val="24"/>
          <w:vertAlign w:val="superscript"/>
          <w:lang w:val="en-US" w:eastAsia="zh-CN"/>
        </w:rPr>
        <w:t>3</w:t>
      </w:r>
      <w:r>
        <w:rPr>
          <w:rFonts w:hint="eastAsia"/>
          <w:sz w:val="24"/>
          <w:vertAlign w:val="baseline"/>
          <w:lang w:val="en-US" w:eastAsia="zh-CN"/>
        </w:rPr>
        <w:t>。HI指标计算获取需要参考比例A和参考比例B。CI和RTOG_CI指标计算需要设置参考剂量。GI和Gradient指标计算需要设置参考剂量、参考比例A和参考比例B。生成的任务表格行索引为任务行数，列索引分别为结构名称、统计类型、参考剂量、参考体积、参考比例A、参考比例B。在完成任务表后，点击确认按钮将锁定表格，禁止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eastAsia"/>
          <w:sz w:val="18"/>
          <w:szCs w:val="18"/>
          <w:lang w:val="en-US" w:eastAsia="zh-CN"/>
        </w:rPr>
      </w:pPr>
      <w:r>
        <w:drawing>
          <wp:anchor distT="0" distB="0" distL="114300" distR="114300" simplePos="0" relativeHeight="251664384" behindDoc="0" locked="0" layoutInCell="1" allowOverlap="1">
            <wp:simplePos x="0" y="0"/>
            <wp:positionH relativeFrom="column">
              <wp:posOffset>-8255</wp:posOffset>
            </wp:positionH>
            <wp:positionV relativeFrom="paragraph">
              <wp:posOffset>74295</wp:posOffset>
            </wp:positionV>
            <wp:extent cx="5264150" cy="2693035"/>
            <wp:effectExtent l="0" t="0" r="12700" b="12065"/>
            <wp:wrapTopAndBottom/>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5264150" cy="2693035"/>
                    </a:xfrm>
                    <a:prstGeom prst="rect">
                      <a:avLst/>
                    </a:prstGeom>
                    <a:noFill/>
                    <a:ln>
                      <a:noFill/>
                    </a:ln>
                  </pic:spPr>
                </pic:pic>
              </a:graphicData>
            </a:graphic>
          </wp:anchor>
        </w:drawing>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ab/>
      </w:r>
      <w:r>
        <w:rPr>
          <w:rFonts w:hint="eastAsia"/>
          <w:sz w:val="18"/>
          <w:szCs w:val="18"/>
          <w:lang w:val="en-US" w:eastAsia="zh-CN"/>
        </w:rPr>
        <w:t>图  任务模板设置流程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3060" w:firstLineChars="1700"/>
        <w:jc w:val="both"/>
        <w:textAlignment w:val="auto"/>
        <w:rPr>
          <w:rFonts w:hint="default"/>
          <w:sz w:val="18"/>
          <w:szCs w:val="18"/>
          <w:lang w:val="en-US" w:eastAsia="zh-CN"/>
        </w:rPr>
      </w:pPr>
      <w:r>
        <w:rPr>
          <w:rFonts w:hint="eastAsia"/>
          <w:sz w:val="18"/>
          <w:szCs w:val="18"/>
          <w:lang w:val="en-US" w:eastAsia="zh-CN"/>
        </w:rPr>
        <w:t>表1  任务类型列表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b/>
                <w:bCs/>
                <w:sz w:val="24"/>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计划基本信息</w:t>
            </w:r>
          </w:p>
        </w:tc>
        <w:tc>
          <w:tcPr>
            <w:tcW w:w="4261" w:type="dxa"/>
            <w:noWrap w:val="0"/>
            <w:vAlign w:val="bottom"/>
          </w:tcPr>
          <w:p>
            <w:pPr>
              <w:keepNext w:val="0"/>
              <w:keepLines w:val="0"/>
              <w:widowControl/>
              <w:suppressLineNumbers w:val="0"/>
              <w:jc w:val="left"/>
              <w:textAlignment w:val="bottom"/>
              <w:rPr>
                <w:rFonts w:hint="default"/>
                <w:b/>
                <w:bCs/>
                <w:sz w:val="24"/>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计划评估指标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TPS品牌</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结构体积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计划名称</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结构边界坐标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患者姓名</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结构最小剂量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患者性别</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结构最大剂量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患者ID</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结构平均剂量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患者生日</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绝对剂量-&gt;绝对体积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计划时间</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绝对剂量-&gt;相对体积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治疗机型</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绝对体积-&gt;绝对剂量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计划类型</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相对体积-&gt;绝对剂量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分割次数</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射野数目</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射野名称</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RTOG_CI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射野控制点数</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GI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0" w:hRule="atLeast"/>
        </w:trPr>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射野跳数</w:t>
            </w:r>
          </w:p>
        </w:tc>
        <w:tc>
          <w:tcPr>
            <w:tcW w:w="4261" w:type="dxa"/>
            <w:noWrap w:val="0"/>
            <w:vAlign w:val="bottom"/>
          </w:tcPr>
          <w:p>
            <w:pPr>
              <w:keepNext w:val="0"/>
              <w:keepLines w:val="0"/>
              <w:widowControl/>
              <w:suppressLineNumbers w:val="0"/>
              <w:jc w:val="left"/>
              <w:textAlignment w:val="bottom"/>
              <w:rPr>
                <w:rFonts w:hint="default"/>
                <w:sz w:val="24"/>
                <w:vertAlign w:val="baseline"/>
                <w:lang w:val="en-US" w:eastAsia="zh-CN"/>
              </w:rPr>
            </w:pPr>
            <w:r>
              <w:rPr>
                <w:rFonts w:hint="eastAsia" w:ascii="宋体" w:hAnsi="宋体" w:eastAsia="宋体" w:cs="宋体"/>
                <w:i w:val="0"/>
                <w:iCs w:val="0"/>
                <w:color w:val="000000"/>
                <w:kern w:val="0"/>
                <w:sz w:val="22"/>
                <w:szCs w:val="22"/>
                <w:u w:val="none"/>
                <w:lang w:val="en-US" w:eastAsia="zh-CN" w:bidi="ar"/>
              </w:rPr>
              <w:t>Gradient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lang w:val="en-US" w:eastAsia="zh-CN"/>
        </w:rPr>
      </w:pPr>
      <w:bookmarkStart w:id="12" w:name="_Toc244"/>
      <w:r>
        <w:rPr>
          <w:rFonts w:hint="eastAsia"/>
          <w:sz w:val="24"/>
          <w:lang w:val="en-US" w:eastAsia="zh-CN"/>
        </w:rPr>
        <w:t>2.6数据批量计算和抓取流程</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sz w:val="24"/>
          <w:lang w:val="en-US" w:eastAsia="zh-CN"/>
        </w:rPr>
      </w:pPr>
      <w:r>
        <w:rPr>
          <w:rFonts w:hint="eastAsia"/>
          <w:sz w:val="24"/>
          <w:lang w:val="en-US" w:eastAsia="zh-CN"/>
        </w:rPr>
        <w:t>在完成任务设置后，进入放疗计划剂量学数据批量计算和抓取流程。支持批量抽取的结果和DVH导出。其中DVH包括每个计划的绝对体积、相对体积、微分、累积四种模式，同时标准化映射的DVH支持导出项目所有计划的平均DV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520" w:firstLineChars="1400"/>
        <w:jc w:val="both"/>
        <w:textAlignment w:val="auto"/>
        <w:rPr>
          <w:rFonts w:hint="eastAsia"/>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520" w:firstLineChars="1400"/>
        <w:jc w:val="both"/>
        <w:textAlignment w:val="auto"/>
        <w:rPr>
          <w:rFonts w:hint="eastAsia"/>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940" w:firstLineChars="1400"/>
        <w:jc w:val="both"/>
        <w:textAlignment w:val="auto"/>
        <w:rPr>
          <w:rFonts w:hint="eastAsia"/>
          <w:sz w:val="18"/>
          <w:szCs w:val="18"/>
          <w:lang w:val="en-US" w:eastAsia="zh-CN"/>
        </w:rPr>
      </w:pPr>
      <w:r>
        <w:drawing>
          <wp:anchor distT="0" distB="0" distL="114300" distR="114300" simplePos="0" relativeHeight="251665408" behindDoc="0" locked="0" layoutInCell="1" allowOverlap="1">
            <wp:simplePos x="0" y="0"/>
            <wp:positionH relativeFrom="column">
              <wp:posOffset>-10795</wp:posOffset>
            </wp:positionH>
            <wp:positionV relativeFrom="paragraph">
              <wp:posOffset>47625</wp:posOffset>
            </wp:positionV>
            <wp:extent cx="5269230" cy="2687320"/>
            <wp:effectExtent l="0" t="0" r="7620" b="17780"/>
            <wp:wrapTopAndBottom/>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0"/>
                    <a:stretch>
                      <a:fillRect/>
                    </a:stretch>
                  </pic:blipFill>
                  <pic:spPr>
                    <a:xfrm>
                      <a:off x="0" y="0"/>
                      <a:ext cx="5269230" cy="2687320"/>
                    </a:xfrm>
                    <a:prstGeom prst="rect">
                      <a:avLst/>
                    </a:prstGeom>
                    <a:noFill/>
                    <a:ln>
                      <a:noFill/>
                    </a:ln>
                  </pic:spPr>
                </pic:pic>
              </a:graphicData>
            </a:graphic>
          </wp:anchor>
        </w:drawing>
      </w:r>
      <w:r>
        <w:rPr>
          <w:rFonts w:hint="eastAsia"/>
          <w:sz w:val="18"/>
          <w:szCs w:val="18"/>
          <w:lang w:val="en-US" w:eastAsia="zh-CN"/>
        </w:rPr>
        <w:t>图  评估指标批量计算和采集流程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rPr>
          <w:rFonts w:hint="eastAsia"/>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rPr>
      </w:pPr>
      <w:bookmarkStart w:id="13" w:name="_Toc17000"/>
      <w:r>
        <w:rPr>
          <w:rFonts w:hint="eastAsia"/>
          <w:sz w:val="24"/>
          <w:lang w:val="en-US" w:eastAsia="zh-CN"/>
        </w:rPr>
        <w:t>2.7模板功能</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lang w:val="en-US"/>
        </w:rPr>
      </w:pPr>
      <w:r>
        <w:rPr>
          <w:rFonts w:hint="eastAsia"/>
          <w:sz w:val="24"/>
          <w:lang w:val="en-US" w:eastAsia="zh-CN"/>
        </w:rPr>
        <w:t>本程序使用过程中涉及到模板的导出及加载的环节有：结构名称标准化、结构名称映射、任务模板。借助程序的模板功能，在相似任务类型的采集项目中，有助于快速完成采集之前的程序准备工作。同时建议在当前项目完成后，导出模板存档，便于后续追加数据采集的需求。</w:t>
      </w:r>
    </w:p>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eastAsia"/>
          <w:sz w:val="24"/>
          <w:lang w:val="en-US" w:eastAsia="zh-CN"/>
        </w:rPr>
      </w:pPr>
      <w:bookmarkStart w:id="14" w:name="_Toc34"/>
      <w:r>
        <w:rPr>
          <w:rFonts w:hint="eastAsia"/>
          <w:sz w:val="24"/>
          <w:lang w:val="en-US" w:eastAsia="zh-CN"/>
        </w:rPr>
        <w:t>2.8 单个病例展示-2D/3D显示</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lang w:val="en-US" w:eastAsia="zh-CN"/>
        </w:rPr>
      </w:pPr>
      <w:r>
        <w:rPr>
          <w:rFonts w:hint="eastAsia"/>
          <w:sz w:val="24"/>
          <w:lang w:val="en-US" w:eastAsia="zh-CN"/>
        </w:rPr>
        <w:t>点击病例选择按钮，选择单个计划文件夹。要求同时包含CT、Rtplan、Rtdose、Rtstructure。在勾选待显示结构、剂量，并设置颜色、尺寸和透明度后，点击横断位显示按钮和3D显示按钮即可。其中剂量显示的透明度如果设置为0，在2D显示时剂量将被填充显示。Dpi用于设置2D显示的分辨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r>
        <w:drawing>
          <wp:anchor distT="0" distB="0" distL="114300" distR="114300" simplePos="0" relativeHeight="251666432" behindDoc="0" locked="0" layoutInCell="1" allowOverlap="1">
            <wp:simplePos x="0" y="0"/>
            <wp:positionH relativeFrom="column">
              <wp:posOffset>45720</wp:posOffset>
            </wp:positionH>
            <wp:positionV relativeFrom="paragraph">
              <wp:posOffset>129540</wp:posOffset>
            </wp:positionV>
            <wp:extent cx="5264150" cy="2688590"/>
            <wp:effectExtent l="0" t="0" r="12700" b="16510"/>
            <wp:wrapTopAndBottom/>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5264150" cy="268859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textAlignment w:val="auto"/>
        <w:outlineLvl w:val="2"/>
        <w:rPr>
          <w:rFonts w:hint="default"/>
          <w:sz w:val="24"/>
          <w:lang w:val="en-US" w:eastAsia="zh-CN"/>
        </w:rPr>
      </w:pPr>
      <w:bookmarkStart w:id="15" w:name="_Toc19041"/>
      <w:r>
        <w:rPr>
          <w:rFonts w:hint="eastAsia"/>
          <w:sz w:val="24"/>
          <w:lang w:val="en-US" w:eastAsia="zh-CN"/>
        </w:rPr>
        <w:t>2.9 单个病例展示-DVH显示和DCM显示</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lang w:val="en-US" w:eastAsia="zh-CN"/>
        </w:rPr>
      </w:pPr>
      <w:r>
        <w:rPr>
          <w:rFonts w:hint="eastAsia"/>
          <w:sz w:val="24"/>
          <w:lang w:val="en-US" w:eastAsia="zh-CN"/>
        </w:rPr>
        <w:t>在勾选待显示结构后，点击DVH显示按钮。其中如果该计划DICOM导出时未包含DVH或者未按照要求导出，可以点击DVH重计算（python第三方库重新计算DVH）。同时支持对单个结构的体积-剂量查询。在DCM分页中选择DICOM文件，可以显示文件详细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840" w:firstLineChars="400"/>
        <w:textAlignment w:val="auto"/>
        <w:rPr>
          <w:rFonts w:hint="eastAsia"/>
          <w:sz w:val="24"/>
          <w:lang w:val="en-US" w:eastAsia="zh-CN"/>
        </w:rPr>
      </w:pPr>
      <w:r>
        <w:drawing>
          <wp:anchor distT="0" distB="0" distL="114300" distR="114300" simplePos="0" relativeHeight="251668480" behindDoc="0" locked="0" layoutInCell="1" allowOverlap="1">
            <wp:simplePos x="0" y="0"/>
            <wp:positionH relativeFrom="column">
              <wp:posOffset>2668905</wp:posOffset>
            </wp:positionH>
            <wp:positionV relativeFrom="paragraph">
              <wp:posOffset>121285</wp:posOffset>
            </wp:positionV>
            <wp:extent cx="2501900" cy="1306830"/>
            <wp:effectExtent l="0" t="0" r="12700" b="7620"/>
            <wp:wrapTopAndBottom/>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2"/>
                    <a:stretch>
                      <a:fillRect/>
                    </a:stretch>
                  </pic:blipFill>
                  <pic:spPr>
                    <a:xfrm>
                      <a:off x="0" y="0"/>
                      <a:ext cx="2501900" cy="1306830"/>
                    </a:xfrm>
                    <a:prstGeom prst="rect">
                      <a:avLst/>
                    </a:prstGeom>
                    <a:noFill/>
                    <a:ln>
                      <a:noFill/>
                    </a:ln>
                  </pic:spPr>
                </pic:pic>
              </a:graphicData>
            </a:graphic>
          </wp:anchor>
        </w:drawing>
      </w:r>
      <w:r>
        <w:drawing>
          <wp:anchor distT="0" distB="0" distL="114300" distR="114300" simplePos="0" relativeHeight="251667456" behindDoc="0" locked="0" layoutInCell="1" allowOverlap="1">
            <wp:simplePos x="0" y="0"/>
            <wp:positionH relativeFrom="column">
              <wp:posOffset>209550</wp:posOffset>
            </wp:positionH>
            <wp:positionV relativeFrom="paragraph">
              <wp:posOffset>73660</wp:posOffset>
            </wp:positionV>
            <wp:extent cx="2419985" cy="1300480"/>
            <wp:effectExtent l="0" t="0" r="18415" b="13970"/>
            <wp:wrapTopAndBottom/>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2419985" cy="130048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2"/>
        <w:rPr>
          <w:rFonts w:hint="eastAsia"/>
          <w:sz w:val="24"/>
          <w:lang w:val="en-US" w:eastAsia="zh-CN"/>
        </w:rPr>
      </w:pPr>
      <w:bookmarkStart w:id="16" w:name="_Toc1103"/>
      <w:r>
        <w:rPr>
          <w:rFonts w:hint="eastAsia"/>
          <w:sz w:val="24"/>
          <w:lang w:val="en-US" w:eastAsia="zh-CN"/>
        </w:rPr>
        <w:t>2.10  文件整理功能</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sz w:val="24"/>
          <w:lang w:val="en-US" w:eastAsia="zh-CN"/>
        </w:rPr>
      </w:pPr>
      <w:r>
        <w:rPr>
          <w:rFonts w:hint="eastAsia"/>
          <w:sz w:val="24"/>
          <w:lang w:val="en-US" w:eastAsia="zh-CN"/>
        </w:rPr>
        <w:t>在工具-1.文件整理，支持将文件夹内（包括子文件夹）所有DICOM文件进行整理，按照计划ID-计划名称分类保存为单个文件夹。但是要求该TPS导出的CT、Rtplan、Rtdose、Rtstructure中存在相互依赖的UID字段。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240" w:leftChars="0" w:firstLine="418" w:firstLineChars="0"/>
        <w:textAlignment w:val="auto"/>
        <w:rPr>
          <w:rFonts w:hint="default"/>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1"/>
        <w:rPr>
          <w:rFonts w:hint="default"/>
          <w:sz w:val="24"/>
          <w:lang w:val="en-US" w:eastAsia="zh-CN"/>
        </w:rPr>
      </w:pPr>
      <w:r>
        <w:rPr>
          <w:rFonts w:hint="eastAsia"/>
          <w:sz w:val="24"/>
          <w:lang w:val="en-US" w:eastAsia="zh-CN"/>
        </w:rPr>
        <w:t>开发与测试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1"/>
        <w:rPr>
          <w:rFonts w:hint="default"/>
          <w:sz w:val="24"/>
          <w:lang w:val="en-US" w:eastAsia="zh-CN"/>
        </w:rPr>
      </w:pPr>
      <w:r>
        <w:rPr>
          <w:rFonts w:hint="default"/>
          <w:sz w:val="24"/>
          <w:lang w:val="en-US" w:eastAsia="zh-CN"/>
        </w:rPr>
        <w:t>软件使用python语言开发，DICOM数据读取和处理的工具包为pydicom和dicompylercore。开发数据涉及的TPS包括：Monaco(5.11)、Eclipse(13.6)、Pinnacle(9.2)、TOMO(5.1.1.6)、联影(UIH R1510.2)、雷泰（TiGRT 639）和Raystation（4.7.5）。使用Monaco和Eclipse导出的鼻咽癌计划进行24个结构（160个指标）的自动采集和手动采集对比测试，结果显示在个别的小剂量Dmin(D&lt;0.5Gy)，小结构体积(V&lt;0.5cc)和小体积Dmax(V&lt;0.1cc)等方面差异超过2%,其余指标差异均能控制在1%以内。详细测试结果和测试数据请参考软件示例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1"/>
        <w:rPr>
          <w:rFonts w:hint="default"/>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1"/>
        <w:rPr>
          <w:rFonts w:hint="default"/>
          <w:sz w:val="24"/>
          <w:lang w:val="en-US" w:eastAsia="zh-CN"/>
        </w:rPr>
      </w:pPr>
      <w:r>
        <w:rPr>
          <w:rFonts w:hint="eastAsia"/>
          <w:sz w:val="24"/>
          <w:lang w:val="en-US" w:eastAsia="zh-CN"/>
        </w:rPr>
        <w:t>申明</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1"/>
        <w:rPr>
          <w:rFonts w:hint="default"/>
          <w:color w:val="FF0000"/>
          <w:sz w:val="24"/>
          <w:lang w:val="en-US" w:eastAsia="zh-CN"/>
        </w:rPr>
      </w:pPr>
      <w:r>
        <w:rPr>
          <w:rFonts w:hint="eastAsia"/>
          <w:color w:val="FF0000"/>
          <w:sz w:val="24"/>
          <w:lang w:val="en-US" w:eastAsia="zh-CN"/>
        </w:rPr>
        <w:t>为保障数据安全，请在个人电脑上杀毒确认后使用，切勿安装在TPS电脑。</w:t>
      </w:r>
      <w:bookmarkStart w:id="17" w:name="_GoBack"/>
      <w:bookmarkEnd w:id="17"/>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DAF0F"/>
    <w:multiLevelType w:val="singleLevel"/>
    <w:tmpl w:val="CA7DAF0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wYmZhNDdmYjc2ODU0ZDMyYmQ3ZDNjZjliNmQ2MjgifQ=="/>
  </w:docVars>
  <w:rsids>
    <w:rsidRoot w:val="00000000"/>
    <w:rsid w:val="007C4780"/>
    <w:rsid w:val="02BB0230"/>
    <w:rsid w:val="03795BF7"/>
    <w:rsid w:val="038D51FF"/>
    <w:rsid w:val="049B3F32"/>
    <w:rsid w:val="051B2092"/>
    <w:rsid w:val="05852631"/>
    <w:rsid w:val="09154416"/>
    <w:rsid w:val="092E1232"/>
    <w:rsid w:val="095657B2"/>
    <w:rsid w:val="09F84184"/>
    <w:rsid w:val="0C087B18"/>
    <w:rsid w:val="0E2C535C"/>
    <w:rsid w:val="0E456E02"/>
    <w:rsid w:val="10B57848"/>
    <w:rsid w:val="13D36C5E"/>
    <w:rsid w:val="15C076B6"/>
    <w:rsid w:val="17872239"/>
    <w:rsid w:val="17BC3DDA"/>
    <w:rsid w:val="1842185E"/>
    <w:rsid w:val="198527A8"/>
    <w:rsid w:val="20E406FC"/>
    <w:rsid w:val="22B2255A"/>
    <w:rsid w:val="234436D4"/>
    <w:rsid w:val="24892E9F"/>
    <w:rsid w:val="261A071C"/>
    <w:rsid w:val="281C7D9B"/>
    <w:rsid w:val="2B8A6344"/>
    <w:rsid w:val="2CDB62CC"/>
    <w:rsid w:val="2F977B89"/>
    <w:rsid w:val="2F9F3165"/>
    <w:rsid w:val="2FE63DAE"/>
    <w:rsid w:val="2FED0C50"/>
    <w:rsid w:val="32282F48"/>
    <w:rsid w:val="34EA1FFB"/>
    <w:rsid w:val="3532729D"/>
    <w:rsid w:val="369F7FED"/>
    <w:rsid w:val="393D68F9"/>
    <w:rsid w:val="3E2241BA"/>
    <w:rsid w:val="3FB15372"/>
    <w:rsid w:val="3FE82DEA"/>
    <w:rsid w:val="41F801F1"/>
    <w:rsid w:val="42FA4307"/>
    <w:rsid w:val="43770B04"/>
    <w:rsid w:val="43DB5537"/>
    <w:rsid w:val="450C3D73"/>
    <w:rsid w:val="45997458"/>
    <w:rsid w:val="46CB4F26"/>
    <w:rsid w:val="46E14C12"/>
    <w:rsid w:val="473867FC"/>
    <w:rsid w:val="47D62346"/>
    <w:rsid w:val="47D66741"/>
    <w:rsid w:val="4832149E"/>
    <w:rsid w:val="49DD6AC7"/>
    <w:rsid w:val="4B560061"/>
    <w:rsid w:val="4D292E6F"/>
    <w:rsid w:val="4DE946C7"/>
    <w:rsid w:val="522B1438"/>
    <w:rsid w:val="534A1D91"/>
    <w:rsid w:val="56AD2D63"/>
    <w:rsid w:val="5794182D"/>
    <w:rsid w:val="58006EC2"/>
    <w:rsid w:val="592B61C1"/>
    <w:rsid w:val="59BD5A68"/>
    <w:rsid w:val="5B3D211E"/>
    <w:rsid w:val="5B706967"/>
    <w:rsid w:val="5CCF336E"/>
    <w:rsid w:val="5D211DB5"/>
    <w:rsid w:val="61796F1C"/>
    <w:rsid w:val="61A42FB4"/>
    <w:rsid w:val="67E10ABE"/>
    <w:rsid w:val="68024591"/>
    <w:rsid w:val="6C9C4FB4"/>
    <w:rsid w:val="6DA700B4"/>
    <w:rsid w:val="6FD40F09"/>
    <w:rsid w:val="7058784A"/>
    <w:rsid w:val="70E61366"/>
    <w:rsid w:val="73243F55"/>
    <w:rsid w:val="736E5BBB"/>
    <w:rsid w:val="741C69DA"/>
    <w:rsid w:val="76432ABE"/>
    <w:rsid w:val="77176F12"/>
    <w:rsid w:val="776028B6"/>
    <w:rsid w:val="77D31AA6"/>
    <w:rsid w:val="79D12015"/>
    <w:rsid w:val="7A2D36EF"/>
    <w:rsid w:val="7D3C74B9"/>
    <w:rsid w:val="7DAE4B47"/>
    <w:rsid w:val="7EA34788"/>
    <w:rsid w:val="7EC34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autoRedefine/>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3"/>
    <w:basedOn w:val="1"/>
    <w:next w:val="1"/>
    <w:uiPriority w:val="0"/>
    <w:pPr>
      <w:ind w:left="840" w:leftChars="400"/>
    </w:pPr>
  </w:style>
  <w:style w:type="paragraph" w:styleId="4">
    <w:name w:val="toc 1"/>
    <w:basedOn w:val="1"/>
    <w:next w:val="1"/>
    <w:autoRedefine/>
    <w:qFormat/>
    <w:uiPriority w:val="0"/>
  </w:style>
  <w:style w:type="paragraph" w:styleId="5">
    <w:name w:val="toc 2"/>
    <w:basedOn w:val="1"/>
    <w:next w:val="1"/>
    <w:autoRedefine/>
    <w:uiPriority w:val="0"/>
    <w:pPr>
      <w:ind w:left="420" w:leftChars="200"/>
    </w:pPr>
  </w:style>
  <w:style w:type="table" w:styleId="7">
    <w:name w:val="Table Grid"/>
    <w:basedOn w:val="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4284</Words>
  <Characters>5598</Characters>
  <Lines>0</Lines>
  <Paragraphs>0</Paragraphs>
  <TotalTime>51</TotalTime>
  <ScaleCrop>false</ScaleCrop>
  <LinksUpToDate>false</LinksUpToDate>
  <CharactersWithSpaces>5774</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2023-02-15T07:32:00Z</dcterms:created>
  <dc:creator>HSX</dc:creator>
  <cp:lastModifiedBy>企鹅</cp:lastModifiedBy>
  <dcterms:modified xsi:type="dcterms:W3CDTF">2024-04-30T03:03:01Z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EBD6904FAFE2491F9678980275277A0E</vt:lpwstr>
  </property>
</Properties>
</file>