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售后质检培训（服务评分标准）</w:t>
      </w:r>
    </w:p>
    <w:p>
      <w:pPr>
        <w:pStyle w:val="Heading1"/>
      </w:pPr>
      <w:r>
        <w:t>质检范围</w:t>
      </w:r>
    </w:p>
    <w:p>
      <w:r>
        <w:t>对售后工单按响应时效、解决率、话术规范进行抽样质检。</w:t>
      </w:r>
    </w:p>
    <w:p>
      <w:pPr>
        <w:pStyle w:val="Heading1"/>
      </w:pPr>
      <w:r>
        <w:t>评分维度</w:t>
      </w:r>
    </w:p>
    <w:p>
      <w:r>
        <w:t>响应及时性、信息准确（引用规则正确）、流程合规（建单/升级/关闭规范）、用户满意度。</w:t>
      </w:r>
    </w:p>
    <w:p>
      <w:pPr>
        <w:pStyle w:val="Heading1"/>
      </w:pPr>
      <w:r>
        <w:t>培训要求</w:t>
      </w:r>
    </w:p>
    <w:p>
      <w:r>
        <w:t>质检不达标项进入培训；规则引用错误（如错引退货窗口）为严重项，需专项纠正。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