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客服话术手册（退货/物流/售后）</w:t>
      </w:r>
    </w:p>
    <w:p>
      <w:pPr>
        <w:pStyle w:val="Heading1"/>
      </w:pPr>
      <w:r>
        <w:t>开场与身份核实</w:t>
      </w:r>
    </w:p>
    <w:p>
      <w:r>
        <w:t>客服自我介绍并核实用户身份；涉及订单操作时确认 store 权限范围。</w:t>
      </w:r>
    </w:p>
    <w:p>
      <w:pPr>
        <w:pStyle w:val="Heading1"/>
      </w:pPr>
      <w:r>
        <w:t>退货咨询话术</w:t>
      </w:r>
    </w:p>
    <w:p>
      <w:r>
        <w:t>用户询问能否退货时，引用资格判定结论（可退类目/窗口/完好），不承诺窗口外的退货。</w:t>
      </w:r>
    </w:p>
    <w:p>
      <w:pPr>
        <w:pStyle w:val="Heading1"/>
      </w:pPr>
      <w:r>
        <w:t>物流咨询话术</w:t>
      </w:r>
    </w:p>
    <w:p>
      <w:r>
        <w:t>用户询问物流时，以订单承诺时效与轨迹为准回复；异常时按 KD-LG-04 安抚并跟进。</w:t>
      </w:r>
    </w:p>
    <w:p>
      <w:pPr>
        <w:pStyle w:val="Heading1"/>
      </w:pPr>
      <w:r>
        <w:t>退款咨询话术</w:t>
      </w:r>
    </w:p>
    <w:p>
      <w:r>
        <w:t>退款时效遵循 KD-AS-01 法定 7 日；到账路径以实际支付方式为准，不做额外承诺。</w:t>
      </w:r>
    </w:p>
    <w:p>
      <w:pPr>
        <w:pStyle w:val="Heading1"/>
      </w:pPr>
      <w:r>
        <w:t>争议升级</w:t>
      </w:r>
    </w:p>
    <w:p>
      <w:r>
        <w:t>超出话术范围或涉及金额争议时，转工单升级人工复核，禁止客服口头承诺赔偿。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