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工单操作手册</w:t>
      </w:r>
    </w:p>
    <w:p>
      <w:pPr>
        <w:pStyle w:val="Heading1"/>
      </w:pPr>
      <w:r>
        <w:t>工单创建</w:t>
      </w:r>
    </w:p>
    <w:p>
      <w:r>
        <w:t>售后诉求均先建工单：登记用户、订单、诉求类型（退货/物流/退款/其他）。</w:t>
      </w:r>
    </w:p>
    <w:p>
      <w:pPr>
        <w:pStyle w:val="Heading1"/>
      </w:pPr>
      <w:r>
        <w:t>工单流转</w:t>
      </w:r>
    </w:p>
    <w:p>
      <w:r>
        <w:t>按类型流转：退货走 KD-AS-06 流程、物流异常走 KD-LG-04、退款走 KD-AS-07。</w:t>
      </w:r>
    </w:p>
    <w:p>
      <w:pPr>
        <w:pStyle w:val="Heading1"/>
      </w:pPr>
      <w:r>
        <w:t>工单升级</w:t>
      </w:r>
    </w:p>
    <w:p>
      <w:r>
        <w:t>争议、重复诉求、金额超限等升级人工复核；升级后原工单保持可跟踪。</w:t>
      </w:r>
    </w:p>
    <w:p>
      <w:pPr>
        <w:pStyle w:val="Heading1"/>
      </w:pPr>
      <w:r>
        <w:t>工单关闭</w:t>
      </w:r>
    </w:p>
    <w:p>
      <w:r>
        <w:t>处理完成并回访后关闭；未解决工单禁止静默关闭。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