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360" w:lineRule="exact" w:line="480"/>
        <w:jc w:val="center"/>
      </w:pPr>
      <w:r>
        <w:rPr>
          <w:rFonts w:ascii="Times New Roman" w:hAnsi="Times New Roman"/>
          <w:b w:val="0"/>
          <w:color w:val="000000"/>
          <w:sz w:val="36"/>
          <w:rFonts w:ascii="Times New Roman" w:hAnsi="Times New Roman" w:eastAsia="標楷體"/>
        </w:rPr>
        <w:t>附錄：初評及複評之評審建議與意見</w:t>
      </w:r>
    </w:p>
    <w:p>
      <w:pPr>
        <w:pStyle w:val="Heading1"/>
        <w:keepNext/>
        <w:spacing w:before="360" w:after="360" w:lineRule="exact" w:line="480"/>
        <w:jc w:val="left"/>
      </w:pPr>
      <w:r>
        <w:rPr>
          <w:rFonts w:ascii="Times New Roman" w:hAnsi="Times New Roman"/>
          <w:b w:val="0"/>
          <w:color w:val="000000"/>
          <w:sz w:val="36"/>
          <w:rFonts w:ascii="Times New Roman" w:hAnsi="Times New Roman" w:eastAsia="標楷體"/>
        </w:rPr>
        <w:t>附錄一 初評評審建議事項與具體優化對策</w:t>
      </w:r>
    </w:p>
    <w:p>
      <w:pPr>
        <w:spacing w:before="0" w:after="0" w:line="360" w:lineRule="exact"/>
        <w:ind w:firstLine="560"/>
      </w:pPr>
      <w:r>
        <w:rPr>
          <w:rFonts w:ascii="Times New Roman" w:hAnsi="Times New Roman"/>
          <w:b w:val="0"/>
          <w:color w:val="000000"/>
          <w:sz w:val="28"/>
          <w:rFonts w:ascii="Times New Roman" w:hAnsi="Times New Roman" w:eastAsia="標楷體"/>
        </w:rPr>
        <w:t>本專題團隊於初審評審階段，誠摯感謝評審委員所給予之寶貴審查意見與專業指導。針對委員所提出之兩項關鍵改善建議，團隊已召開多次專案會議進行深度檢討，並全面納入系統架構重構、前端介面優化以及系統手冊之修訂中。以下彙整初審評審委員建議事項，並逐項提出具體之架構優化成果與展示說明。</w:t>
      </w:r>
    </w:p>
    <w:p>
      <w:pPr>
        <w:pStyle w:val="Caption"/>
        <w:keepNext/>
        <w:spacing w:before="40" w:after="80" w:lineRule="exact" w:line="360"/>
        <w:jc w:val="center"/>
      </w:pPr>
      <w:r>
        <w:rPr>
          <w:rFonts w:ascii="Times New Roman" w:hAnsi="Times New Roman"/>
          <w:b w:val="0"/>
          <w:color w:val="000000"/>
          <w:sz w:val="28"/>
          <w:rFonts w:ascii="Times New Roman" w:hAnsi="Times New Roman" w:eastAsia="標楷體"/>
        </w:rPr>
        <w:t>表 附-1 初審評審委員審查意見彙整表</w:t>
      </w:r>
    </w:p>
    <w:tbl>
      <w:tblPr>
        <w:tblW w:type="auto" w:w="0"/>
        <w:jc w:val="center"/>
        <w:tblLook w:firstColumn="1" w:firstRow="1" w:lastColumn="0" w:lastRow="0" w:noHBand="0" w:noVBand="1" w:val="04A0"/>
      </w:tblPr>
      <w:tblGrid>
        <w:gridCol w:w="2117"/>
        <w:gridCol w:w="1058"/>
        <w:gridCol w:w="5825"/>
      </w:tblGrid>
      <w:tr>
        <w:trPr>
          <w:cantSplit/>
          <w:tblHeader/>
        </w:trPr>
        <w:tc>
          <w:tcPr>
            <w:vAlign w:val="center"/>
            <w:shd w:val="clear" w:color="auto" w:fill="C9C9C9"/>
            <w:tcBorders>
              <w:top w:val="single" w:sz="8" w:space="0" w:color="000000"/>
              <w:left w:val="single" w:sz="8" w:space="0" w:color="000000"/>
              <w:bottom w:val="single" w:sz="8" w:space="0" w:color="000000"/>
              <w:right w:val="single" w:sz="8" w:space="0" w:color="000000"/>
            </w:tcBorders>
            <w:tcW w:w="2117" w:type="dxa"/>
          </w:tcPr>
          <w:p>
            <w:pPr>
              <w:spacing w:before="80" w:after="80"/>
              <w:jc w:val="center"/>
            </w:pPr>
            <w:r>
              <w:rPr>
                <w:rFonts w:ascii="Times New Roman" w:hAnsi="Times New Roman"/>
                <w:b w:val="0"/>
                <w:color w:val="000000"/>
                <w:sz w:val="28"/>
                <w:rFonts w:ascii="Times New Roman" w:hAnsi="Times New Roman" w:eastAsia="標楷體"/>
              </w:rPr>
              <w:t>組別</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1058" w:type="dxa"/>
          </w:tcPr>
          <w:p>
            <w:pPr>
              <w:spacing w:before="80" w:after="80"/>
              <w:jc w:val="center"/>
            </w:pPr>
            <w:r>
              <w:rPr>
                <w:rFonts w:ascii="Times New Roman" w:hAnsi="Times New Roman"/>
                <w:b w:val="0"/>
                <w:color w:val="000000"/>
                <w:sz w:val="28"/>
                <w:rFonts w:ascii="Times New Roman" w:hAnsi="Times New Roman" w:eastAsia="標楷體"/>
              </w:rPr>
              <w:t>題目</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5825" w:type="dxa"/>
          </w:tcPr>
          <w:p>
            <w:pPr>
              <w:spacing w:before="80" w:after="80"/>
              <w:jc w:val="center"/>
            </w:pPr>
            <w:r>
              <w:rPr>
                <w:rFonts w:ascii="Times New Roman" w:hAnsi="Times New Roman"/>
                <w:b w:val="0"/>
                <w:color w:val="000000"/>
                <w:sz w:val="28"/>
                <w:rFonts w:ascii="Times New Roman" w:hAnsi="Times New Roman" w:eastAsia="標楷體"/>
              </w:rPr>
              <w:t>評審建議事項與審查意見</w:t>
            </w:r>
          </w:p>
        </w:tc>
      </w:tr>
      <w:tr>
        <w:trPr>
          <w:cantSplit/>
        </w:trPr>
        <w:tc>
          <w:tcPr>
            <w:vAlign w:val="center"/>
            <w:tcBorders>
              <w:top w:val="single" w:sz="8" w:space="0" w:color="000000"/>
              <w:left w:val="single" w:sz="8" w:space="0" w:color="000000"/>
              <w:bottom w:val="single" w:sz="8" w:space="0" w:color="000000"/>
              <w:right w:val="single" w:sz="8" w:space="0" w:color="000000"/>
            </w:tcBorders>
            <w:tcW w:w="2117" w:type="dxa"/>
          </w:tcPr>
          <w:p>
            <w:pPr>
              <w:spacing w:before="80" w:after="80" w:line="300" w:lineRule="auto"/>
              <w:jc w:val="center"/>
            </w:pPr>
            <w:r>
              <w:rPr>
                <w:rFonts w:ascii="Times New Roman" w:hAnsi="Times New Roman"/>
                <w:b w:val="0"/>
                <w:color w:val="000000"/>
                <w:sz w:val="28"/>
                <w:rFonts w:ascii="Times New Roman" w:hAnsi="Times New Roman" w:eastAsia="標楷體"/>
              </w:rPr>
              <w:t>115207</w:t>
            </w:r>
          </w:p>
        </w:tc>
        <w:tc>
          <w:tcPr>
            <w:vAlign w:val="center"/>
            <w:tcBorders>
              <w:top w:val="single" w:sz="8" w:space="0" w:color="000000"/>
              <w:left w:val="single" w:sz="8" w:space="0" w:color="000000"/>
              <w:bottom w:val="single" w:sz="8" w:space="0" w:color="000000"/>
              <w:right w:val="single" w:sz="8" w:space="0" w:color="000000"/>
            </w:tcBorders>
            <w:tcW w:w="1058" w:type="dxa"/>
          </w:tcPr>
          <w:p>
            <w:pPr>
              <w:spacing w:before="80" w:after="80" w:line="300" w:lineRule="auto"/>
              <w:jc w:val="center"/>
            </w:pPr>
            <w:r>
              <w:rPr>
                <w:rFonts w:ascii="Times New Roman" w:hAnsi="Times New Roman"/>
                <w:b w:val="0"/>
                <w:color w:val="000000"/>
                <w:sz w:val="28"/>
                <w:rFonts w:ascii="Times New Roman" w:hAnsi="Times New Roman" w:eastAsia="標楷體"/>
              </w:rPr>
              <w:t>Uban</w:t>
            </w:r>
          </w:p>
        </w:tc>
        <w:tc>
          <w:tcPr>
            <w:vAlign w:val="center"/>
            <w:tcBorders>
              <w:top w:val="single" w:sz="8" w:space="0" w:color="000000"/>
              <w:left w:val="single" w:sz="8" w:space="0" w:color="000000"/>
              <w:bottom w:val="single" w:sz="8" w:space="0" w:color="000000"/>
              <w:right w:val="single" w:sz="8" w:space="0" w:color="000000"/>
            </w:tcBorders>
            <w:tcW w:w="5825" w:type="dxa"/>
          </w:tcPr>
          <w:p>
            <w:pPr>
              <w:spacing w:before="80" w:after="80" w:line="300" w:lineRule="auto"/>
              <w:jc w:val="left"/>
            </w:pPr>
            <w:r>
              <w:rPr>
                <w:rFonts w:ascii="Times New Roman" w:hAnsi="Times New Roman"/>
                <w:b w:val="0"/>
                <w:color w:val="000000"/>
                <w:sz w:val="28"/>
                <w:rFonts w:ascii="Times New Roman" w:hAnsi="Times New Roman" w:eastAsia="標楷體"/>
              </w:rPr>
              <w:t>1. 該組具備相當技術能力，但在長輩能力的了解可再補強，並納入系統優化中。</w:t>
              <w:br/>
              <w:t>2. 未展示家屬相關功能</w:t>
            </w:r>
          </w:p>
        </w:tc>
      </w:tr>
    </w:tbl>
    <w:p>
      <w:pPr>
        <w:pStyle w:val="Heading1"/>
        <w:keepNext/>
        <w:spacing w:before="360" w:after="360" w:lineRule="exact" w:line="480"/>
        <w:jc w:val="left"/>
      </w:pPr>
      <w:r>
        <w:rPr>
          <w:rFonts w:ascii="Times New Roman" w:hAnsi="Times New Roman"/>
          <w:b w:val="0"/>
          <w:color w:val="000000"/>
          <w:sz w:val="36"/>
          <w:rFonts w:ascii="Times New Roman" w:hAnsi="Times New Roman" w:eastAsia="標楷體"/>
        </w:rPr>
        <w:t>附錄二 評審意見一具體優化對策：深入長輩能力之無障礙系統優化</w:t>
      </w:r>
    </w:p>
    <w:p>
      <w:pPr>
        <w:spacing w:before="0" w:after="0" w:lineRule="exact" w:line="360"/>
        <w:ind w:firstLine="560"/>
      </w:pPr>
      <w:r>
        <w:rPr>
          <w:rFonts w:ascii="Times New Roman" w:hAnsi="Times New Roman"/>
          <w:b w:val="0"/>
          <w:color w:val="000000"/>
          <w:sz w:val="28"/>
          <w:rFonts w:ascii="Times New Roman" w:hAnsi="Times New Roman" w:eastAsia="標楷體"/>
        </w:rPr>
        <w:t>一、 高齡者生理與認知特徵深入調研</w:t>
      </w:r>
    </w:p>
    <w:p>
      <w:pPr>
        <w:spacing w:before="0" w:after="0" w:line="360" w:lineRule="exact"/>
        <w:ind w:firstLine="560"/>
      </w:pPr>
      <w:r>
        <w:rPr>
          <w:rFonts w:ascii="Times New Roman" w:hAnsi="Times New Roman"/>
          <w:b w:val="0"/>
          <w:color w:val="000000"/>
          <w:sz w:val="28"/>
          <w:rFonts w:ascii="Times New Roman" w:hAnsi="Times New Roman" w:eastAsia="標楷體"/>
        </w:rPr>
        <w:t>針對初審委員指出『對長輩能力的了解可再補強』之寶貴意見，團隊重新研讀國內外高齡人機互動（HCI for Older Adults）文獻與實務研究，深入歸納長輩於生理機能衰退時之核心痛點：</w:t>
        <w:br/>
        <w:t>1. 視覺機能退化：伴隨老花眼、白內障與對比敏感度下降，長輩對細小字體、淺灰色字階及密集排版極易產生閱讀障礙與視覺疲勞。</w:t>
        <w:br/>
        <w:t>2. 手部精細動作與觸控退化：伴隨關節退化與手部輕微震顫（Tremor），長輩難以精確點擊小於 44x44 pt 的按鈕，且極易發生連點、滑移與誤觸。</w:t>
        <w:br/>
        <w:t>3. 認知負荷與記憶力減退：過多層級的導覽列、抽象圖示或複雜的樹狀選單，會造成嚴重的『操作焦慮』與『數位剝奪感』。</w:t>
        <w:br/>
        <w:t>4. 聽覺感知衰退：對於高頻聲音敏銳度降低，且在語音對話中需要更長的時間消化語意並組織回答。</w:t>
      </w:r>
    </w:p>
    <w:p>
      <w:pPr>
        <w:spacing w:before="0" w:after="0" w:lineRule="exact" w:line="360"/>
        <w:ind w:firstLine="560"/>
      </w:pPr>
      <w:r>
        <w:rPr>
          <w:rFonts w:ascii="Times New Roman" w:hAnsi="Times New Roman"/>
          <w:b w:val="0"/>
          <w:color w:val="000000"/>
          <w:sz w:val="28"/>
          <w:rFonts w:ascii="Times New Roman" w:hAnsi="Times New Roman" w:eastAsia="標楷體"/>
        </w:rPr>
        <w:t>二、 系統針對長輩能力之全面優化措施落實</w:t>
      </w:r>
    </w:p>
    <w:p>
      <w:pPr>
        <w:spacing w:before="0" w:after="0" w:line="360" w:lineRule="exact"/>
        <w:ind w:firstLine="560"/>
      </w:pPr>
      <w:r>
        <w:rPr>
          <w:rFonts w:ascii="Times New Roman" w:hAnsi="Times New Roman"/>
          <w:b w:val="0"/>
          <w:color w:val="000000"/>
          <w:sz w:val="28"/>
          <w:rFonts w:ascii="Times New Roman" w:hAnsi="Times New Roman" w:eastAsia="標楷體"/>
        </w:rPr>
        <w:t>基於上述生理與認知調研，Uban 系統於本次複審版本中全面落實以下專門針對長者能力的無障礙優化工程：</w:t>
        <w:br/>
        <w:t>1. 零文字輸入與全語音極簡引導：長者端介面全面廢除軟體鍵盤輸入，長輩日常閒聊、設定提醒、撥打通話皆可直接透過『按住說話』或『喚醒詞自然對話』達成，降低認知門檻。</w:t>
        <w:br/>
        <w:t>2. 大按鈕與防誤觸消抖機制（Debounce）：全系統按鈕高度皆拉高至 72 pt 以上，並在底層加入 300ms 防手震消抖過濾演算法，徹底消除手部震顫導致的重複點擊錯誤。</w:t>
        <w:br/>
        <w:t>3. 延長語音對話容錯等待時間：一般語音助理等待長者回答之靜音逾時（Silence Timeout）通常僅 2~3 秒，本系統將長輩端容錯時間延長至 8 秒，並具備溫和語音提示，消除急迫感。</w:t>
        <w:br/>
        <w:t>4. 高對比色彩規範與大字級字型：嚴格遵循 WCAG 2.1 AAA 級最高無障礙標準，文字對比度高達 7:1 以上，主畫面字體放大至 24~32 pt，確保閱讀清晰不吃力。</w:t>
        <w:br/>
        <w:t>5. 實體按鍵與語音雙軌 SOS 求救：考量極端緊急情況下長者可能無力看螢幕，系統支援實體電源/音量鍵連續按壓 3 秒或直接大喊『救命』即可觸發最高優先級求救推播，無障礙守護長輩安全。</w:t>
      </w:r>
    </w:p>
    <w:p>
      <w:pPr>
        <w:pStyle w:val="Heading1"/>
        <w:keepNext/>
        <w:spacing w:before="360" w:after="360" w:lineRule="exact" w:line="480"/>
        <w:jc w:val="left"/>
      </w:pPr>
      <w:r>
        <w:rPr>
          <w:rFonts w:ascii="Times New Roman" w:hAnsi="Times New Roman"/>
          <w:b w:val="0"/>
          <w:color w:val="000000"/>
          <w:sz w:val="36"/>
          <w:rFonts w:ascii="Times New Roman" w:hAnsi="Times New Roman" w:eastAsia="標楷體"/>
        </w:rPr>
        <w:t>附錄三 評審意見二具體優化對策：家屬端四大守護功能之完整展示</w:t>
      </w:r>
    </w:p>
    <w:p>
      <w:pPr>
        <w:spacing w:before="0" w:after="0" w:lineRule="exact" w:line="360"/>
        <w:ind w:firstLine="560"/>
      </w:pPr>
      <w:r>
        <w:rPr>
          <w:rFonts w:ascii="Times New Roman" w:hAnsi="Times New Roman"/>
          <w:b w:val="0"/>
          <w:color w:val="000000"/>
          <w:sz w:val="28"/>
          <w:rFonts w:ascii="Times New Roman" w:hAnsi="Times New Roman" w:eastAsia="標楷體"/>
        </w:rPr>
        <w:t>一、 家屬端在整體架構中之核心定位與初審缺漏檢討</w:t>
      </w:r>
    </w:p>
    <w:p>
      <w:pPr>
        <w:spacing w:before="0" w:after="0" w:line="360" w:lineRule="exact"/>
        <w:ind w:firstLine="560"/>
      </w:pPr>
      <w:r>
        <w:rPr>
          <w:rFonts w:ascii="Times New Roman" w:hAnsi="Times New Roman"/>
          <w:b w:val="0"/>
          <w:color w:val="000000"/>
          <w:sz w:val="28"/>
          <w:rFonts w:ascii="Times New Roman" w:hAnsi="Times New Roman" w:eastAsia="標楷體"/>
        </w:rPr>
        <w:t>初審展示時由於現場時間受限，展示焦點過度集中於長者端之語音 AI 互動與介面展示，導致評審委員未能充分審閱家屬端功能，產生『未展示家屬相關功能』之憾。團隊深切反思後，於本手冊與複審系統中將家屬端完整功能提升至與長輩端同等重要之戰略層級，並於需求模型、活動圖（F01~F10）、循序圖（SQ07~SQ10）及資料庫規格表中完整呈現。</w:t>
      </w:r>
    </w:p>
    <w:p>
      <w:pPr>
        <w:spacing w:before="0" w:after="0" w:lineRule="exact" w:line="360"/>
        <w:ind w:firstLine="560"/>
      </w:pPr>
      <w:r>
        <w:rPr>
          <w:rFonts w:ascii="Times New Roman" w:hAnsi="Times New Roman"/>
          <w:b w:val="0"/>
          <w:color w:val="000000"/>
          <w:sz w:val="28"/>
          <w:rFonts w:ascii="Times New Roman" w:hAnsi="Times New Roman" w:eastAsia="標楷體"/>
        </w:rPr>
        <w:t>二、 家屬端四大核心守護模組具體功能與設計成果</w:t>
      </w:r>
    </w:p>
    <w:p>
      <w:pPr>
        <w:spacing w:before="0" w:after="0" w:line="360" w:lineRule="exact"/>
        <w:ind w:firstLine="560"/>
      </w:pPr>
      <w:r>
        <w:rPr>
          <w:rFonts w:ascii="Times New Roman" w:hAnsi="Times New Roman"/>
          <w:b w:val="0"/>
          <w:color w:val="000000"/>
          <w:sz w:val="28"/>
          <w:rFonts w:ascii="Times New Roman" w:hAnsi="Times New Roman" w:eastAsia="標楷體"/>
        </w:rPr>
        <w:t>1. 遠端帳號綁定與雙向權限管理模組（F01、SQ07）：家屬可透過 4 碼動態配對碼或掃描 QR Code 與長輩機進行安全綁定；系統支援『主要照顧者』與『次要家族成員』之分級權限控制，兼顧照護隱私與家庭協作。</w:t>
        <w:br/>
        <w:t>2. 智慧照護排程與用藥回診推播模組（F02、SQ08）：家屬可在自己手機上彈性設定長輩之『定時吃藥』、『定期回診』、『量測血壓』等行事曆。排程時間一到，系統自動推播至長輩端進行大字體與語音提醒，長輩確認後即時回報家屬手機，徹底解決長輩遺忘用藥之長照痛點。</w:t>
        <w:br/>
        <w:t>3. 即時狀態日誌監控與異常警報模組（F03、SQ09、F05）：家屬端可即時查閱長者今日活動次數、AI 對話心情指數以及作息規律性；當長輩觸發 SOS 求救或系統偵測到長者長時間未有互動時，即刻透過 Firebase Cloud Messaging（FCM）高優先級通道推播警報至所有綁定之家屬機。</w:t>
        <w:br/>
        <w:t>4. 極低延遲影音通話與遠端守護視訊模組（F04、SQ10）：整合 WebRTC 點對點串流技術，家屬可一鍵向長者發起高清晰雙向影音通話；長者端支援『自動接聽或超大按鈕接聽』，讓長輩完全免去手忙腳亂找按鈕的恐慌，重新拉近跨世代家庭之情感連結。</w:t>
      </w:r>
    </w:p>
    <w:p>
      <w:pPr>
        <w:spacing w:before="0" w:after="0" w:lineRule="exact" w:line="360"/>
        <w:ind w:firstLine="560"/>
      </w:pPr>
      <w:r>
        <w:rPr>
          <w:rFonts w:ascii="Times New Roman" w:hAnsi="Times New Roman"/>
          <w:b w:val="0"/>
          <w:color w:val="000000"/>
          <w:sz w:val="28"/>
          <w:rFonts w:ascii="Times New Roman" w:hAnsi="Times New Roman" w:eastAsia="標楷體"/>
        </w:rPr>
        <w:t>三、 對應章節與測試驗證指引</w:t>
      </w:r>
    </w:p>
    <w:p>
      <w:pPr>
        <w:spacing w:before="0" w:after="0" w:line="360" w:lineRule="exact"/>
        <w:ind w:firstLine="560"/>
      </w:pPr>
      <w:r>
        <w:rPr>
          <w:rFonts w:ascii="Times New Roman" w:hAnsi="Times New Roman"/>
          <w:b w:val="0"/>
          <w:color w:val="000000"/>
          <w:sz w:val="28"/>
          <w:rFonts w:ascii="Times New Roman" w:hAnsi="Times New Roman" w:eastAsia="標楷體"/>
        </w:rPr>
        <w:t>家屬端全部 10 大活動圖已詳列於第五章第 5-3 節（圖 5-3-13 F01 至 圖 5-3-22 F10）；核心循序圖已詳列於第六章第 6-1 節（圖 6-1-7 SQ07 至 圖 6-1-10 SQ10）；且於第十章測試模型中，編列了對應之測試個案（表 10-2-13 至 表 10-2-22），全數通過端對端實機驗證，確保家屬端功能高度成熟穩定。</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