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360" w:after="360" w:line="480" w:lineRule="exact"/>
        <w:jc w:val="left"/>
      </w:pPr>
      <w:r>
        <w:rPr>
          <w:b w:val="0"/>
          <w:color w:val="000000"/>
          <w:sz w:val="36"/>
          <w:rFonts w:ascii="Times New Roman" w:hAnsi="Times New Roman" w:eastAsia="標楷體"/>
        </w:rPr>
        <w:t>第十一章 操作手冊</w:t>
      </w:r>
    </w:p>
    <w:p>
      <w:pPr>
        <w:spacing w:before="0" w:after="0" w:line="360" w:lineRule="exact"/>
        <w:jc w:val="left"/>
      </w:pPr>
      <w:r>
        <w:rPr>
          <w:b w:val="0"/>
          <w:color w:val="000000"/>
          <w:sz w:val="28"/>
          <w:rFonts w:ascii="Times New Roman" w:hAnsi="Times New Roman" w:eastAsia="標楷體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（本章內容持續規劃更新中，目前保留章節結構）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圖標題">
    <w:name w:val="圖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  <w:style w:type="paragraph" w:customStyle="1" w:styleId="表標題">
    <w:name w:val="表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