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before="0" w:after="560" w:line="560" w:lineRule="exact" w:afterLines="100"/>
        <w:jc w:val="center"/>
      </w:pPr>
      <w:r>
        <w:rPr>
          <w:b w:val="0"/>
          <w:color w:val="000000"/>
          <w:sz w:val="36"/>
          <w:rFonts w:ascii="Times New Roman" w:hAnsi="Times New Roman" w:eastAsia="標楷體" w:cs="Times New Roman"/>
        </w:rPr>
        <w:t>第十一章 操作手冊</w:t>
      </w:r>
    </w:p>
    <w:p>
      <w:pPr>
        <w:spacing w:before="0" w:after="0" w:line="440" w:lineRule="exact" w:afterLines="0" w:beforeLines="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（本章內容持續規劃更新中，目前保留章節結構）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