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 w:eastAsiaTheme="minorEastAsia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Summary and interpretation</w:t>
      </w:r>
      <w:bookmarkStart w:id="1" w:name="_GoBack"/>
      <w:bookmarkEnd w:id="1"/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When I compare the sequence between SOD2_human and SOD2_mouse, t</w:t>
      </w:r>
      <w:bookmarkStart w:id="0" w:name="OLE_LINK1"/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he 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percentage of identical amino acids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reaches 89.64%. And the score ca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l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culated with 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BLOSUM62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reaches 1091, which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verifies the percentage of identical amino acids is high again.</w:t>
      </w:r>
    </w:p>
    <w:bookmarkEnd w:id="0"/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4419600" cy="1195705"/>
            <wp:effectExtent l="0" t="0" r="0" b="4445"/>
            <wp:docPr id="1" name="图片 1" descr="1618989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9898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( subsequent sequences are not shown here)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Both human and mouse are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"C:/Program%20Files%20(x86)/Youdao/Dict/8.9.6.0/resultui/html/index.html" \l "/javascript:;" </w:instrTex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mammal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and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genetically related. Therefore, 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the percentage of their identical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ambria" w:cs="Calibri"/>
          <w:color w:val="auto"/>
          <w:kern w:val="0"/>
          <w:sz w:val="24"/>
          <w:szCs w:val="24"/>
          <w:lang w:val="en-US" w:eastAsia="zh-CN" w:bidi="ar"/>
        </w:rPr>
        <w:t xml:space="preserve">amino acid sequences are </w:t>
      </w:r>
      <w:r>
        <w:rPr>
          <w:rFonts w:hint="eastAsia" w:ascii="Calibri" w:hAnsi="Calibri" w:eastAsia="Cambria" w:cs="Calibri"/>
          <w:color w:val="auto"/>
          <w:kern w:val="0"/>
          <w:sz w:val="24"/>
          <w:szCs w:val="24"/>
          <w:lang w:val="en-US" w:eastAsia="zh-CN" w:bidi="ar"/>
        </w:rPr>
        <w:t xml:space="preserve">relatively high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compared to other results shown below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. Their gene sequences are close to each other.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However, when I compare the human sequence and random sequence, t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he percentage of identical amino acids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is only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5.4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%. And the score ca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l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culated with 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BLOSUM62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is -250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, which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verifies the percentage of identical amino acids is low again.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4352925" cy="1205230"/>
            <wp:effectExtent l="0" t="0" r="0" b="4445"/>
            <wp:docPr id="2" name="图片 2" descr="16189901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899017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( subsequent sequences are not shown here)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This can act as a control to prove b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oth human and mouse are genetically related.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Similarly, when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 I compare the mouse sequence and random sequence, t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he percentage of identical amino acids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is only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5.9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%. And the score ca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l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culated with 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BLOSUM62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is -250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, which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verifies the percentage of identical amino acids is low again.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4396105" cy="1214755"/>
            <wp:effectExtent l="0" t="0" r="4445" b="4445"/>
            <wp:docPr id="3" name="图片 3" descr="16189903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899031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This can also act as a control to prove b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oth human and mouse are genetically related.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E1F90"/>
    <w:rsid w:val="15C60F17"/>
    <w:rsid w:val="47501F0C"/>
    <w:rsid w:val="6A9C5559"/>
    <w:rsid w:val="744A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2021-04-21T07:13:12Z</dcterms:created>
  <dc:creator>lenovo</dc:creator>
  <cp:lastModifiedBy>prank</cp:lastModifiedBy>
  <dcterms:modified xsi:type="dcterms:W3CDTF">2021-04-21T07:39:30Z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