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D33002">
      <w:pPr>
        <w:keepNext w:val="0"/>
        <w:keepLines w:val="0"/>
        <w:widowControl/>
        <w:suppressLineNumbers w:val="0"/>
        <w:jc w:val="center"/>
        <w:rPr>
          <w:rFonts w:ascii="PingFangSC-Semibold" w:hAnsi="PingFangSC-Semibold" w:eastAsia="PingFangSC-Semibold" w:cs="PingFangSC-Semibold"/>
          <w:b/>
          <w:bCs/>
          <w:color w:val="000000"/>
          <w:kern w:val="0"/>
          <w:sz w:val="40"/>
          <w:szCs w:val="40"/>
          <w:lang w:val="en-US" w:eastAsia="zh-CN" w:bidi="ar"/>
        </w:rPr>
      </w:pPr>
      <w:r>
        <w:rPr>
          <w:rFonts w:ascii="PingFangSC-Semibold" w:hAnsi="PingFangSC-Semibold" w:eastAsia="PingFangSC-Semibold" w:cs="PingFangSC-Semibold"/>
          <w:b/>
          <w:bCs/>
          <w:color w:val="000000"/>
          <w:kern w:val="0"/>
          <w:sz w:val="40"/>
          <w:szCs w:val="40"/>
          <w:lang w:val="en-US" w:eastAsia="zh-CN" w:bidi="ar"/>
        </w:rPr>
        <w:t>深圳科创学院采购验收单（团队自采）</w:t>
      </w:r>
    </w:p>
    <w:p w14:paraId="47C5E48D">
      <w:pPr>
        <w:keepNext w:val="0"/>
        <w:keepLines w:val="0"/>
        <w:widowControl/>
        <w:suppressLineNumbers w:val="0"/>
        <w:jc w:val="center"/>
        <w:rPr>
          <w:rFonts w:ascii="PingFangSC-Semibold" w:hAnsi="PingFangSC-Semibold" w:eastAsia="PingFangSC-Semibold" w:cs="PingFangSC-Semibold"/>
          <w:b/>
          <w:bCs/>
          <w:color w:val="000000"/>
          <w:kern w:val="0"/>
          <w:sz w:val="40"/>
          <w:szCs w:val="40"/>
          <w:lang w:val="en-US" w:eastAsia="zh-CN" w:bidi="ar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53"/>
        <w:gridCol w:w="1758"/>
        <w:gridCol w:w="1200"/>
        <w:gridCol w:w="1200"/>
        <w:gridCol w:w="1074"/>
        <w:gridCol w:w="1311"/>
        <w:gridCol w:w="1123"/>
      </w:tblGrid>
      <w:tr w14:paraId="7B770298">
        <w:tc>
          <w:tcPr>
            <w:tcW w:w="853" w:type="dxa"/>
          </w:tcPr>
          <w:p w14:paraId="1BFA5BA2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  <w:vertAlign w:val="baseline"/>
              </w:rPr>
            </w:pPr>
            <w:r>
              <w:rPr>
                <w:rFonts w:ascii="PingFangSC-Semibold" w:hAnsi="PingFangSC-Semibold" w:eastAsia="PingFangSC-Semibold" w:cs="PingFangSC-Semibold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序号</w:t>
            </w:r>
          </w:p>
        </w:tc>
        <w:tc>
          <w:tcPr>
            <w:tcW w:w="1758" w:type="dxa"/>
          </w:tcPr>
          <w:p w14:paraId="47D3F4D2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  <w:vertAlign w:val="baseline"/>
              </w:rPr>
            </w:pPr>
            <w:r>
              <w:rPr>
                <w:rFonts w:ascii="PingFangSC-Semibold" w:hAnsi="PingFangSC-Semibold" w:eastAsia="PingFangSC-Semibold" w:cs="PingFangSC-Semibold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货物</w:t>
            </w:r>
            <w:r>
              <w:rPr>
                <w:rFonts w:ascii="Courier Bold" w:hAnsi="Courier Bold" w:eastAsia="Courier Bold" w:cs="Courier Bold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/</w:t>
            </w:r>
            <w:r>
              <w:rPr>
                <w:rFonts w:hint="default" w:ascii="PingFangSC-Semibold" w:hAnsi="PingFangSC-Semibold" w:eastAsia="PingFangSC-Semibold" w:cs="PingFangSC-Semibold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服务名称</w:t>
            </w:r>
          </w:p>
        </w:tc>
        <w:tc>
          <w:tcPr>
            <w:tcW w:w="1200" w:type="dxa"/>
          </w:tcPr>
          <w:p w14:paraId="6578BAC8">
            <w:pPr>
              <w:jc w:val="both"/>
              <w:rPr>
                <w:sz w:val="18"/>
                <w:szCs w:val="18"/>
                <w:vertAlign w:val="baseline"/>
              </w:rPr>
            </w:pPr>
            <w:r>
              <w:rPr>
                <w:rFonts w:hint="default" w:ascii="PingFangSC-Semibold" w:hAnsi="PingFangSC-Semibold" w:eastAsia="PingFangSC-Semibold" w:cs="PingFangSC-Semibold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型号参数</w:t>
            </w:r>
          </w:p>
        </w:tc>
        <w:tc>
          <w:tcPr>
            <w:tcW w:w="1200" w:type="dxa"/>
          </w:tcPr>
          <w:p w14:paraId="6E21C227">
            <w:pPr>
              <w:jc w:val="both"/>
              <w:rPr>
                <w:sz w:val="18"/>
                <w:szCs w:val="18"/>
                <w:vertAlign w:val="baseline"/>
              </w:rPr>
            </w:pPr>
            <w:r>
              <w:rPr>
                <w:rFonts w:hint="default" w:ascii="PingFangSC-Semibold" w:hAnsi="PingFangSC-Semibold" w:eastAsia="PingFangSC-Semibold" w:cs="PingFangSC-Semibold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送达数量</w:t>
            </w:r>
          </w:p>
        </w:tc>
        <w:tc>
          <w:tcPr>
            <w:tcW w:w="1074" w:type="dxa"/>
          </w:tcPr>
          <w:p w14:paraId="316FE4AA">
            <w:pPr>
              <w:jc w:val="both"/>
              <w:rPr>
                <w:sz w:val="18"/>
                <w:szCs w:val="18"/>
                <w:vertAlign w:val="baseline"/>
              </w:rPr>
            </w:pPr>
            <w:r>
              <w:rPr>
                <w:rFonts w:hint="default" w:ascii="PingFangSC-Semibold" w:hAnsi="PingFangSC-Semibold" w:eastAsia="PingFangSC-Semibold" w:cs="PingFangSC-Semibold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单价</w:t>
            </w:r>
          </w:p>
        </w:tc>
        <w:tc>
          <w:tcPr>
            <w:tcW w:w="1311" w:type="dxa"/>
          </w:tcPr>
          <w:p w14:paraId="7F54AF5E">
            <w:pPr>
              <w:jc w:val="both"/>
              <w:rPr>
                <w:sz w:val="18"/>
                <w:szCs w:val="18"/>
                <w:vertAlign w:val="baseline"/>
              </w:rPr>
            </w:pPr>
            <w:r>
              <w:rPr>
                <w:rFonts w:hint="default" w:ascii="PingFangSC-Semibold" w:hAnsi="PingFangSC-Semibold" w:eastAsia="PingFangSC-Semibold" w:cs="PingFangSC-Semibold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金额小计</w:t>
            </w:r>
          </w:p>
        </w:tc>
        <w:tc>
          <w:tcPr>
            <w:tcW w:w="1123" w:type="dxa"/>
          </w:tcPr>
          <w:p w14:paraId="27900A04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hint="default" w:ascii="PingFangSC-Semibold" w:hAnsi="PingFangSC-Semibold" w:eastAsia="PingFangSC-Semibold" w:cs="PingFangSC-Semibold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  <w:t>其他</w:t>
            </w:r>
          </w:p>
          <w:p w14:paraId="26A86F37">
            <w:pPr>
              <w:jc w:val="both"/>
              <w:rPr>
                <w:rFonts w:hint="default" w:ascii="PingFangSC-Semibold" w:hAnsi="PingFangSC-Semibold" w:eastAsia="PingFangSC-Semibold" w:cs="PingFangSC-Semibold"/>
                <w:b/>
                <w:bCs/>
                <w:color w:val="000000"/>
                <w:kern w:val="0"/>
                <w:sz w:val="24"/>
                <w:szCs w:val="24"/>
                <w:lang w:val="en-US" w:eastAsia="zh-CN" w:bidi="ar"/>
              </w:rPr>
            </w:pPr>
          </w:p>
        </w:tc>
      </w:tr>
      <w:tr w14:paraId="7D5A89EC">
        <w:trPr>
          <w:trHeight w:val="485" w:hRule="atLeast"/>
        </w:trPr>
        <w:tc>
          <w:tcPr>
            <w:tcW w:w="853" w:type="dxa"/>
          </w:tcPr>
          <w:p w14:paraId="60AE9B49">
            <w:pPr>
              <w:jc w:val="both"/>
              <w:rPr>
                <w:vertAlign w:val="baseline"/>
              </w:rPr>
            </w:pPr>
          </w:p>
        </w:tc>
        <w:tc>
          <w:tcPr>
            <w:tcW w:w="1758" w:type="dxa"/>
          </w:tcPr>
          <w:p w14:paraId="61A63A6E">
            <w:pPr>
              <w:jc w:val="both"/>
              <w:rPr>
                <w:vertAlign w:val="baseline"/>
              </w:rPr>
            </w:pPr>
          </w:p>
        </w:tc>
        <w:tc>
          <w:tcPr>
            <w:tcW w:w="1200" w:type="dxa"/>
          </w:tcPr>
          <w:p w14:paraId="45BD963F">
            <w:pPr>
              <w:jc w:val="both"/>
              <w:rPr>
                <w:vertAlign w:val="baseline"/>
              </w:rPr>
            </w:pPr>
          </w:p>
        </w:tc>
        <w:tc>
          <w:tcPr>
            <w:tcW w:w="1200" w:type="dxa"/>
          </w:tcPr>
          <w:p w14:paraId="5A4054CB">
            <w:pPr>
              <w:jc w:val="both"/>
              <w:rPr>
                <w:vertAlign w:val="baseline"/>
              </w:rPr>
            </w:pPr>
          </w:p>
        </w:tc>
        <w:tc>
          <w:tcPr>
            <w:tcW w:w="1074" w:type="dxa"/>
          </w:tcPr>
          <w:p w14:paraId="62CB6BF8">
            <w:pPr>
              <w:jc w:val="both"/>
              <w:rPr>
                <w:vertAlign w:val="baseline"/>
              </w:rPr>
            </w:pPr>
          </w:p>
        </w:tc>
        <w:tc>
          <w:tcPr>
            <w:tcW w:w="1311" w:type="dxa"/>
          </w:tcPr>
          <w:p w14:paraId="112080C6">
            <w:pPr>
              <w:jc w:val="both"/>
              <w:rPr>
                <w:vertAlign w:val="baseline"/>
              </w:rPr>
            </w:pPr>
          </w:p>
        </w:tc>
        <w:tc>
          <w:tcPr>
            <w:tcW w:w="1123" w:type="dxa"/>
          </w:tcPr>
          <w:p w14:paraId="35F494FB">
            <w:pPr>
              <w:jc w:val="both"/>
              <w:rPr>
                <w:vertAlign w:val="baseline"/>
              </w:rPr>
            </w:pPr>
          </w:p>
        </w:tc>
      </w:tr>
      <w:tr w14:paraId="228C0D97">
        <w:trPr>
          <w:trHeight w:val="461" w:hRule="atLeast"/>
        </w:trPr>
        <w:tc>
          <w:tcPr>
            <w:tcW w:w="853" w:type="dxa"/>
          </w:tcPr>
          <w:p w14:paraId="26204063">
            <w:pPr>
              <w:jc w:val="both"/>
              <w:rPr>
                <w:vertAlign w:val="baseline"/>
              </w:rPr>
            </w:pPr>
          </w:p>
        </w:tc>
        <w:tc>
          <w:tcPr>
            <w:tcW w:w="1758" w:type="dxa"/>
          </w:tcPr>
          <w:p w14:paraId="46296CCB">
            <w:pPr>
              <w:jc w:val="both"/>
              <w:rPr>
                <w:vertAlign w:val="baseline"/>
              </w:rPr>
            </w:pPr>
          </w:p>
        </w:tc>
        <w:tc>
          <w:tcPr>
            <w:tcW w:w="1200" w:type="dxa"/>
          </w:tcPr>
          <w:p w14:paraId="497EDB65">
            <w:pPr>
              <w:jc w:val="both"/>
              <w:rPr>
                <w:vertAlign w:val="baseline"/>
              </w:rPr>
            </w:pPr>
          </w:p>
        </w:tc>
        <w:tc>
          <w:tcPr>
            <w:tcW w:w="1200" w:type="dxa"/>
          </w:tcPr>
          <w:p w14:paraId="4C3FDDB6">
            <w:pPr>
              <w:jc w:val="both"/>
              <w:rPr>
                <w:vertAlign w:val="baseline"/>
              </w:rPr>
            </w:pPr>
          </w:p>
        </w:tc>
        <w:tc>
          <w:tcPr>
            <w:tcW w:w="1074" w:type="dxa"/>
          </w:tcPr>
          <w:p w14:paraId="74F779D8">
            <w:pPr>
              <w:jc w:val="both"/>
              <w:rPr>
                <w:vertAlign w:val="baseline"/>
              </w:rPr>
            </w:pPr>
          </w:p>
        </w:tc>
        <w:tc>
          <w:tcPr>
            <w:tcW w:w="1311" w:type="dxa"/>
          </w:tcPr>
          <w:p w14:paraId="1D019290">
            <w:pPr>
              <w:jc w:val="both"/>
              <w:rPr>
                <w:vertAlign w:val="baseline"/>
              </w:rPr>
            </w:pPr>
          </w:p>
        </w:tc>
        <w:tc>
          <w:tcPr>
            <w:tcW w:w="1123" w:type="dxa"/>
          </w:tcPr>
          <w:p w14:paraId="0892CECC">
            <w:pPr>
              <w:jc w:val="both"/>
              <w:rPr>
                <w:vertAlign w:val="baseline"/>
              </w:rPr>
            </w:pPr>
          </w:p>
        </w:tc>
      </w:tr>
      <w:tr w14:paraId="0AEC4650">
        <w:trPr>
          <w:trHeight w:val="461" w:hRule="atLeast"/>
        </w:trPr>
        <w:tc>
          <w:tcPr>
            <w:tcW w:w="853" w:type="dxa"/>
          </w:tcPr>
          <w:p w14:paraId="72791687">
            <w:pPr>
              <w:jc w:val="both"/>
              <w:rPr>
                <w:vertAlign w:val="baseline"/>
              </w:rPr>
            </w:pPr>
          </w:p>
        </w:tc>
        <w:tc>
          <w:tcPr>
            <w:tcW w:w="1758" w:type="dxa"/>
          </w:tcPr>
          <w:p w14:paraId="410DAB2C">
            <w:pPr>
              <w:jc w:val="both"/>
              <w:rPr>
                <w:vertAlign w:val="baseline"/>
              </w:rPr>
            </w:pPr>
          </w:p>
        </w:tc>
        <w:tc>
          <w:tcPr>
            <w:tcW w:w="1200" w:type="dxa"/>
          </w:tcPr>
          <w:p w14:paraId="441E7994">
            <w:pPr>
              <w:jc w:val="both"/>
              <w:rPr>
                <w:vertAlign w:val="baseline"/>
              </w:rPr>
            </w:pPr>
          </w:p>
        </w:tc>
        <w:tc>
          <w:tcPr>
            <w:tcW w:w="1200" w:type="dxa"/>
          </w:tcPr>
          <w:p w14:paraId="77653873">
            <w:pPr>
              <w:jc w:val="both"/>
              <w:rPr>
                <w:vertAlign w:val="baseline"/>
              </w:rPr>
            </w:pPr>
          </w:p>
        </w:tc>
        <w:tc>
          <w:tcPr>
            <w:tcW w:w="1074" w:type="dxa"/>
          </w:tcPr>
          <w:p w14:paraId="044DF9CE">
            <w:pPr>
              <w:jc w:val="both"/>
              <w:rPr>
                <w:vertAlign w:val="baseline"/>
              </w:rPr>
            </w:pPr>
          </w:p>
        </w:tc>
        <w:tc>
          <w:tcPr>
            <w:tcW w:w="1311" w:type="dxa"/>
          </w:tcPr>
          <w:p w14:paraId="79413A4D">
            <w:pPr>
              <w:jc w:val="both"/>
              <w:rPr>
                <w:vertAlign w:val="baseline"/>
              </w:rPr>
            </w:pPr>
          </w:p>
        </w:tc>
        <w:tc>
          <w:tcPr>
            <w:tcW w:w="1123" w:type="dxa"/>
          </w:tcPr>
          <w:p w14:paraId="74D2CDFF">
            <w:pPr>
              <w:jc w:val="both"/>
              <w:rPr>
                <w:vertAlign w:val="baseline"/>
              </w:rPr>
            </w:pPr>
          </w:p>
        </w:tc>
      </w:tr>
      <w:tr w14:paraId="77B4545A">
        <w:tc>
          <w:tcPr>
            <w:tcW w:w="2611" w:type="dxa"/>
            <w:gridSpan w:val="2"/>
          </w:tcPr>
          <w:p w14:paraId="24F9F113">
            <w:pPr>
              <w:keepNext w:val="0"/>
              <w:keepLines w:val="0"/>
              <w:widowControl/>
              <w:suppressLineNumbers w:val="0"/>
              <w:jc w:val="left"/>
              <w:rPr>
                <w:sz w:val="18"/>
                <w:szCs w:val="18"/>
              </w:rPr>
            </w:pPr>
            <w:r>
              <w:rPr>
                <w:rFonts w:ascii="PingFangSC-Regular" w:hAnsi="PingFangSC-Regular" w:eastAsia="PingFangSC-Regular" w:cs="PingFangSC-Regular"/>
                <w:color w:val="000000"/>
                <w:kern w:val="0"/>
                <w:sz w:val="24"/>
                <w:szCs w:val="24"/>
                <w:lang w:val="en-US" w:eastAsia="zh-CN" w:bidi="ar"/>
              </w:rPr>
              <w:t>金额合计</w:t>
            </w:r>
          </w:p>
          <w:p w14:paraId="51A5347B">
            <w:pPr>
              <w:jc w:val="right"/>
              <w:rPr>
                <w:vertAlign w:val="baseline"/>
              </w:rPr>
            </w:pPr>
          </w:p>
        </w:tc>
        <w:tc>
          <w:tcPr>
            <w:tcW w:w="5908" w:type="dxa"/>
            <w:gridSpan w:val="5"/>
          </w:tcPr>
          <w:p w14:paraId="00B7CA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PingFangSC-Regular" w:hAnsi="PingFangSC-Regular" w:eastAsia="PingFangSC-Regular" w:cs="PingFangSC-Regular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PingFangSC-Regular" w:hAnsi="PingFangSC-Regular" w:eastAsia="PingFangSC-Regular" w:cs="PingFangSC-Regular"/>
                <w:color w:val="000000"/>
                <w:kern w:val="0"/>
                <w:sz w:val="24"/>
                <w:szCs w:val="24"/>
                <w:lang w:val="en-US" w:eastAsia="zh-CN" w:bidi="ar"/>
              </w:rPr>
              <w:t xml:space="preserve">RMB </w:t>
            </w:r>
            <w:r>
              <w:rPr>
                <w:rFonts w:hint="eastAsia" w:ascii="PingFangSC-Regular" w:hAnsi="PingFangSC-Regular" w:eastAsia="PingFangSC-Regular" w:cs="PingFangSC-Regular"/>
                <w:color w:val="000000"/>
                <w:kern w:val="0"/>
                <w:sz w:val="24"/>
                <w:szCs w:val="24"/>
                <w:lang w:val="en-US" w:eastAsia="zh-CN" w:bidi="ar"/>
              </w:rPr>
              <w:t>XXX</w:t>
            </w:r>
          </w:p>
          <w:p w14:paraId="216FA3CE">
            <w:pPr>
              <w:jc w:val="both"/>
              <w:rPr>
                <w:vertAlign w:val="baseline"/>
              </w:rPr>
            </w:pPr>
          </w:p>
        </w:tc>
      </w:tr>
      <w:tr w14:paraId="14B82942">
        <w:tc>
          <w:tcPr>
            <w:tcW w:w="8519" w:type="dxa"/>
            <w:gridSpan w:val="7"/>
          </w:tcPr>
          <w:p w14:paraId="10F80832">
            <w:pPr>
              <w:keepNext w:val="0"/>
              <w:keepLines w:val="0"/>
              <w:widowControl/>
              <w:suppressLineNumbers w:val="0"/>
              <w:jc w:val="left"/>
              <w:rPr>
                <w:rFonts w:ascii="PingFangSC-Regular" w:hAnsi="PingFangSC-Regular" w:eastAsia="PingFangSC-Regular" w:cs="PingFangSC-Regular"/>
                <w:color w:val="000000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PingFangSC-Regular" w:hAnsi="PingFangSC-Regular" w:eastAsia="PingFangSC-Regular" w:cs="PingFangSC-Regular"/>
                <w:color w:val="000000"/>
                <w:kern w:val="0"/>
                <w:sz w:val="24"/>
                <w:szCs w:val="24"/>
                <w:lang w:val="en-US" w:eastAsia="zh-CN" w:bidi="ar"/>
              </w:rPr>
              <w:t>验收照片</w:t>
            </w:r>
          </w:p>
          <w:p w14:paraId="73405861">
            <w:pPr>
              <w:jc w:val="center"/>
              <w:rPr>
                <w:vertAlign w:val="baseline"/>
              </w:rPr>
            </w:pPr>
          </w:p>
        </w:tc>
      </w:tr>
      <w:tr w14:paraId="209F6212">
        <w:trPr>
          <w:trHeight w:val="728" w:hRule="atLeast"/>
        </w:trPr>
        <w:tc>
          <w:tcPr>
            <w:tcW w:w="2611" w:type="dxa"/>
            <w:gridSpan w:val="2"/>
          </w:tcPr>
          <w:p w14:paraId="16EC3414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ascii="PingFangSC-Semibold" w:hAnsi="PingFangSC-Semibold" w:eastAsia="PingFangSC-Semibold" w:cs="PingFangSC-Semibold"/>
                <w:b/>
                <w:bCs/>
                <w:color w:val="000000"/>
                <w:kern w:val="0"/>
                <w:sz w:val="28"/>
                <w:szCs w:val="28"/>
                <w:lang w:val="en-US" w:eastAsia="zh-CN" w:bidi="ar"/>
              </w:rPr>
              <w:t>验收内容</w:t>
            </w:r>
          </w:p>
          <w:p w14:paraId="24C50A8B">
            <w:pPr>
              <w:jc w:val="center"/>
              <w:rPr>
                <w:vertAlign w:val="baseline"/>
              </w:rPr>
            </w:pPr>
          </w:p>
        </w:tc>
        <w:tc>
          <w:tcPr>
            <w:tcW w:w="5908" w:type="dxa"/>
            <w:gridSpan w:val="5"/>
          </w:tcPr>
          <w:p w14:paraId="491BC262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hint="eastAsia" w:ascii="Apple Symbols" w:hAnsi="Apple Symbols" w:eastAsia="Apple Symbols" w:cs="Apple Symbols"/>
                <w:color w:val="000000"/>
                <w:kern w:val="0"/>
                <w:sz w:val="28"/>
                <w:szCs w:val="28"/>
                <w:lang w:val="en-US" w:eastAsia="zh-CN" w:bidi="ar"/>
              </w:rPr>
              <w:t>□</w:t>
            </w:r>
            <w:r>
              <w:rPr>
                <w:rFonts w:hint="default" w:ascii="PingFangSC-Semibold" w:hAnsi="PingFangSC-Semibold" w:eastAsia="PingFangSC-Semibold" w:cs="PingFangSC-Semibold"/>
                <w:b/>
                <w:bCs/>
                <w:color w:val="000000"/>
                <w:kern w:val="0"/>
                <w:sz w:val="28"/>
                <w:szCs w:val="28"/>
                <w:lang w:val="en-US" w:eastAsia="zh-CN" w:bidi="ar"/>
              </w:rPr>
              <w:t>合格</w:t>
            </w:r>
            <w:r>
              <w:rPr>
                <w:rFonts w:hint="eastAsia" w:ascii="Apple Symbols" w:hAnsi="Apple Symbols" w:eastAsia="Apple Symbols" w:cs="Apple Symbols"/>
                <w:color w:val="000000"/>
                <w:kern w:val="0"/>
                <w:sz w:val="28"/>
                <w:szCs w:val="28"/>
                <w:lang w:val="en-US" w:eastAsia="zh-CN" w:bidi="ar"/>
              </w:rPr>
              <w:t>□</w:t>
            </w:r>
            <w:r>
              <w:rPr>
                <w:rFonts w:hint="default" w:ascii="PingFangSC-Semibold" w:hAnsi="PingFangSC-Semibold" w:eastAsia="PingFangSC-Semibold" w:cs="PingFangSC-Semibold"/>
                <w:b/>
                <w:bCs/>
                <w:color w:val="000000"/>
                <w:kern w:val="0"/>
                <w:sz w:val="28"/>
                <w:szCs w:val="28"/>
                <w:lang w:val="en-US" w:eastAsia="zh-CN" w:bidi="ar"/>
              </w:rPr>
              <w:t>不合格</w:t>
            </w:r>
          </w:p>
          <w:p w14:paraId="3CC699C4">
            <w:pPr>
              <w:jc w:val="center"/>
              <w:rPr>
                <w:vertAlign w:val="baseline"/>
              </w:rPr>
            </w:pPr>
          </w:p>
        </w:tc>
      </w:tr>
      <w:tr w14:paraId="1C0B7D33">
        <w:trPr>
          <w:trHeight w:val="928" w:hRule="atLeast"/>
        </w:trPr>
        <w:tc>
          <w:tcPr>
            <w:tcW w:w="2611" w:type="dxa"/>
            <w:gridSpan w:val="2"/>
          </w:tcPr>
          <w:p w14:paraId="0C713A32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hint="default" w:ascii="PingFangSC-Semibold" w:hAnsi="PingFangSC-Semibold" w:eastAsia="PingFangSC-Semibold" w:cs="PingFangSC-Semibold"/>
                <w:b/>
                <w:bCs/>
                <w:color w:val="000000"/>
                <w:kern w:val="0"/>
                <w:sz w:val="28"/>
                <w:szCs w:val="28"/>
                <w:lang w:val="en-US" w:eastAsia="zh-CN" w:bidi="ar"/>
              </w:rPr>
              <w:t>验收时间</w:t>
            </w:r>
          </w:p>
          <w:p w14:paraId="406B2CD3">
            <w:pPr>
              <w:jc w:val="center"/>
              <w:rPr>
                <w:vertAlign w:val="baseline"/>
              </w:rPr>
            </w:pPr>
          </w:p>
        </w:tc>
        <w:tc>
          <w:tcPr>
            <w:tcW w:w="5908" w:type="dxa"/>
            <w:gridSpan w:val="5"/>
          </w:tcPr>
          <w:p w14:paraId="4F324C46">
            <w:pPr>
              <w:keepNext w:val="0"/>
              <w:keepLines w:val="0"/>
              <w:widowControl/>
              <w:suppressLineNumbers w:val="0"/>
              <w:jc w:val="center"/>
            </w:pPr>
            <w:r>
              <w:rPr>
                <w:rFonts w:hint="default" w:ascii="Courier Bold" w:hAnsi="Courier Bold" w:eastAsia="Courier Bold" w:cs="Courier Bold"/>
                <w:b/>
                <w:bCs/>
                <w:color w:val="000000"/>
                <w:kern w:val="0"/>
                <w:sz w:val="28"/>
                <w:szCs w:val="28"/>
                <w:lang w:val="en-US" w:eastAsia="zh-CN" w:bidi="ar"/>
              </w:rPr>
              <w:t>2026</w:t>
            </w:r>
            <w:r>
              <w:rPr>
                <w:rFonts w:ascii="PingFangSC-Regular" w:hAnsi="PingFangSC-Regular" w:eastAsia="PingFangSC-Regular" w:cs="PingFangSC-Regular"/>
                <w:color w:val="000000"/>
                <w:kern w:val="0"/>
                <w:sz w:val="28"/>
                <w:szCs w:val="28"/>
                <w:lang w:val="en-US" w:eastAsia="zh-CN" w:bidi="ar"/>
              </w:rPr>
              <w:t>年</w:t>
            </w:r>
            <w:r>
              <w:rPr>
                <w:rFonts w:ascii="Courier" w:hAnsi="Courier" w:eastAsia="宋体" w:cs="Courier"/>
                <w:color w:val="000000"/>
                <w:kern w:val="0"/>
                <w:sz w:val="28"/>
                <w:szCs w:val="28"/>
                <w:lang w:val="en-US" w:eastAsia="zh-CN" w:bidi="ar"/>
              </w:rPr>
              <w:t>4</w:t>
            </w:r>
            <w:r>
              <w:rPr>
                <w:rFonts w:hint="default" w:ascii="PingFangSC-Regular" w:hAnsi="PingFangSC-Regular" w:eastAsia="PingFangSC-Regular" w:cs="PingFangSC-Regular"/>
                <w:color w:val="000000"/>
                <w:kern w:val="0"/>
                <w:sz w:val="28"/>
                <w:szCs w:val="28"/>
                <w:lang w:val="en-US" w:eastAsia="zh-CN" w:bidi="ar"/>
              </w:rPr>
              <w:t>月</w:t>
            </w:r>
            <w:r>
              <w:rPr>
                <w:rFonts w:hint="default" w:ascii="Courier" w:hAnsi="Courier" w:eastAsia="宋体" w:cs="Courier"/>
                <w:color w:val="000000"/>
                <w:kern w:val="0"/>
                <w:sz w:val="28"/>
                <w:szCs w:val="28"/>
                <w:lang w:val="en-US" w:eastAsia="zh-CN" w:bidi="ar"/>
              </w:rPr>
              <w:t xml:space="preserve">28 </w:t>
            </w:r>
            <w:r>
              <w:rPr>
                <w:rFonts w:hint="default" w:ascii="PingFangSC-Regular" w:hAnsi="PingFangSC-Regular" w:eastAsia="PingFangSC-Regular" w:cs="PingFangSC-Regular"/>
                <w:color w:val="000000"/>
                <w:kern w:val="0"/>
                <w:sz w:val="28"/>
                <w:szCs w:val="28"/>
                <w:lang w:val="en-US" w:eastAsia="zh-CN" w:bidi="ar"/>
              </w:rPr>
              <w:t>日</w:t>
            </w:r>
          </w:p>
          <w:p w14:paraId="1C1FF819">
            <w:pPr>
              <w:jc w:val="center"/>
              <w:rPr>
                <w:rFonts w:hint="eastAsia" w:eastAsiaTheme="minorEastAsia"/>
                <w:vertAlign w:val="baseline"/>
                <w:lang w:eastAsia="zh-CN"/>
              </w:rPr>
            </w:pPr>
            <w:r>
              <w:rPr>
                <w:rFonts w:hint="eastAsia"/>
                <w:vertAlign w:val="baseline"/>
                <w:lang w:eastAsia="zh-CN"/>
              </w:rPr>
              <w:t>（</w:t>
            </w:r>
            <w:r>
              <w:rPr>
                <w:rFonts w:hint="eastAsia"/>
                <w:vertAlign w:val="baseline"/>
                <w:lang w:val="en-US" w:eastAsia="zh-CN"/>
              </w:rPr>
              <w:t>写当天的日期</w:t>
            </w:r>
            <w:r>
              <w:rPr>
                <w:rFonts w:hint="eastAsia"/>
                <w:vertAlign w:val="baseline"/>
                <w:lang w:eastAsia="zh-CN"/>
              </w:rPr>
              <w:t>）</w:t>
            </w:r>
          </w:p>
        </w:tc>
      </w:tr>
      <w:tr w14:paraId="07CC840A">
        <w:trPr>
          <w:trHeight w:val="885" w:hRule="atLeast"/>
        </w:trPr>
        <w:tc>
          <w:tcPr>
            <w:tcW w:w="2611" w:type="dxa"/>
            <w:gridSpan w:val="2"/>
          </w:tcPr>
          <w:p w14:paraId="1F7144F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PingFangSC-Semibold" w:hAnsi="PingFangSC-Semibold" w:eastAsia="PingFangSC-Semibold" w:cs="PingFangSC-Semibold"/>
                <w:b/>
                <w:bCs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PingFangSC-Semibold" w:hAnsi="PingFangSC-Semibold" w:eastAsia="PingFangSC-Semibold" w:cs="PingFangSC-Semibold"/>
                <w:b/>
                <w:bCs/>
                <w:color w:val="000000"/>
                <w:kern w:val="0"/>
                <w:sz w:val="28"/>
                <w:szCs w:val="28"/>
                <w:lang w:val="en-US" w:eastAsia="zh-CN" w:bidi="ar"/>
              </w:rPr>
              <w:t>团队经办人</w:t>
            </w:r>
          </w:p>
          <w:p w14:paraId="1071CD34">
            <w:pPr>
              <w:keepNext w:val="0"/>
              <w:keepLines w:val="0"/>
              <w:widowControl/>
              <w:suppressLineNumbers w:val="0"/>
              <w:jc w:val="center"/>
              <w:rPr>
                <w:vertAlign w:val="baseline"/>
              </w:rPr>
            </w:pPr>
            <w:r>
              <w:rPr>
                <w:rFonts w:hint="default" w:ascii="PingFangSC-Semibold" w:hAnsi="PingFangSC-Semibold" w:eastAsia="PingFangSC-Semibold" w:cs="PingFangSC-Semibold"/>
                <w:b/>
                <w:bCs/>
                <w:color w:val="000000"/>
                <w:kern w:val="0"/>
                <w:sz w:val="28"/>
                <w:szCs w:val="28"/>
                <w:lang w:val="en-US" w:eastAsia="zh-CN" w:bidi="ar"/>
              </w:rPr>
              <w:t>签字确认</w:t>
            </w:r>
          </w:p>
        </w:tc>
        <w:tc>
          <w:tcPr>
            <w:tcW w:w="5908" w:type="dxa"/>
            <w:gridSpan w:val="5"/>
          </w:tcPr>
          <w:p w14:paraId="72F1A9F2">
            <w:pPr>
              <w:jc w:val="center"/>
              <w:rPr>
                <w:vertAlign w:val="baseline"/>
              </w:rPr>
            </w:pPr>
          </w:p>
        </w:tc>
      </w:tr>
      <w:tr w14:paraId="487205E1">
        <w:trPr>
          <w:trHeight w:val="852" w:hRule="atLeast"/>
        </w:trPr>
        <w:tc>
          <w:tcPr>
            <w:tcW w:w="2611" w:type="dxa"/>
            <w:gridSpan w:val="2"/>
          </w:tcPr>
          <w:p w14:paraId="2CCBF4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PingFangSC-Semibold" w:hAnsi="PingFangSC-Semibold" w:eastAsia="PingFangSC-Semibold" w:cs="PingFangSC-Semibold"/>
                <w:b/>
                <w:bCs/>
                <w:color w:val="000000"/>
                <w:kern w:val="0"/>
                <w:sz w:val="28"/>
                <w:szCs w:val="28"/>
                <w:lang w:val="en-US" w:eastAsia="zh-CN" w:bidi="ar"/>
              </w:rPr>
            </w:pPr>
            <w:r>
              <w:rPr>
                <w:rFonts w:hint="default" w:ascii="PingFangSC-Semibold" w:hAnsi="PingFangSC-Semibold" w:eastAsia="PingFangSC-Semibold" w:cs="PingFangSC-Semibold"/>
                <w:b/>
                <w:bCs/>
                <w:color w:val="000000"/>
                <w:kern w:val="0"/>
                <w:sz w:val="28"/>
                <w:szCs w:val="28"/>
                <w:lang w:val="en-US" w:eastAsia="zh-CN" w:bidi="ar"/>
              </w:rPr>
              <w:t>辅导老师</w:t>
            </w:r>
          </w:p>
          <w:p w14:paraId="5764985E">
            <w:pPr>
              <w:keepNext w:val="0"/>
              <w:keepLines w:val="0"/>
              <w:widowControl/>
              <w:suppressLineNumbers w:val="0"/>
              <w:jc w:val="center"/>
              <w:rPr>
                <w:vertAlign w:val="baseline"/>
              </w:rPr>
            </w:pPr>
            <w:r>
              <w:rPr>
                <w:rFonts w:hint="default" w:ascii="PingFangSC-Semibold" w:hAnsi="PingFangSC-Semibold" w:eastAsia="PingFangSC-Semibold" w:cs="PingFangSC-Semibold"/>
                <w:b/>
                <w:bCs/>
                <w:color w:val="000000"/>
                <w:kern w:val="0"/>
                <w:sz w:val="28"/>
                <w:szCs w:val="28"/>
                <w:lang w:val="en-US" w:eastAsia="zh-CN" w:bidi="ar"/>
              </w:rPr>
              <w:t>签字确认</w:t>
            </w:r>
          </w:p>
        </w:tc>
        <w:tc>
          <w:tcPr>
            <w:tcW w:w="5908" w:type="dxa"/>
            <w:gridSpan w:val="5"/>
          </w:tcPr>
          <w:p w14:paraId="10C8B5E9">
            <w:pPr>
              <w:jc w:val="center"/>
              <w:rPr>
                <w:vertAlign w:val="baseline"/>
              </w:rPr>
            </w:pPr>
          </w:p>
        </w:tc>
      </w:tr>
    </w:tbl>
    <w:p w14:paraId="7AFEBC03">
      <w:pPr>
        <w:jc w:val="both"/>
      </w:pPr>
      <w:bookmarkStart w:id="0" w:name="_GoBack"/>
      <w:bookmarkEnd w:id="0"/>
    </w:p>
    <w:sectPr>
      <w:footerReference r:id="rId3" w:type="default"/>
      <w:pgSz w:w="11906" w:h="16838"/>
      <w:pgMar w:top="1440" w:right="1800" w:bottom="1440" w:left="1800" w:header="720" w:footer="720" w:gutter="0"/>
      <w:pgNumType w:fmt="decimal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SC-Semibold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ourier Bold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SC-Regular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ple Symbols">
    <w:panose1 w:val="02000000000000000000"/>
    <w:charset w:val="00"/>
    <w:family w:val="auto"/>
    <w:pitch w:val="default"/>
    <w:sig w:usb0="800000A3" w:usb1="08007BEB" w:usb2="01840034" w:usb3="0000A268" w:csb0="200001FB" w:csb1="DD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C1006E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6DCBDC7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6DCBDC7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7BCB695"/>
    <w:rsid w:val="27BCB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6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10</TotalTime>
  <ScaleCrop>false</ScaleCrop>
  <LinksUpToDate>false</LinksUpToDate>
  <CharactersWithSpaces>0</CharactersWithSpaces>
  <Application>WPS Office_6.14.0.8924_F1E327BC-269C-435d-A152-05C5408002CA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2026-05-07T23:49:00Z</dcterms:created>
  <dc:creator>黄泽霖</dc:creator>
  <cp:lastModifiedBy>黄泽霖</cp:lastModifiedBy>
  <dcterms:modified xsi:type="dcterms:W3CDTF">2026-05-08T00:01:25Z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1033-6.14.0.8924</vt:lpwstr>
  </property>
  <property fmtid="{D5CDD505-2E9C-101B-9397-08002B2CF9AE}" pid="3" name="ICV">
    <vt:lpwstr>04E61147FCC5A6319CB4FC690E0FDD5C_41</vt:lpwstr>
  </property>
</Properties>
</file>