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 w:cs="Calibri"/>
          <w:b/>
          <w:i w:val="0"/>
          <w:color w:val="2E74B5"/>
          <w:sz w:val="20"/>
        </w:rPr>
        <w:t>效果类项目素材资料</w:t>
      </w:r>
    </w:p>
    <w:p>
      <w:pPr>
        <w:keepNext/>
        <w:spacing w:after="80"/>
      </w:pPr>
      <w:r>
        <w:rPr>
          <w:rFonts w:ascii="Calibri" w:hAnsi="Calibri" w:eastAsia="Calibri" w:cs="Calibri"/>
          <w:b/>
          <w:i w:val="0"/>
          <w:color w:val="17233B"/>
          <w:sz w:val="48"/>
        </w:rPr>
        <w:t>广式三七瘦腊肠产品素材制作信息表</w:t>
      </w:r>
    </w:p>
    <w:p>
      <w:pPr>
        <w:spacing w:after="280"/>
      </w:pPr>
      <w:r>
        <w:t>本资料包只填写产品基础、卖点、用户与场景信息；时长、画幅、分辨率、投放渠道、禁用元素和视觉风格均在资料导入节点配置，本表不重复填写。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900"/>
        <w:gridCol w:w="5960"/>
      </w:tblGrid>
      <w:tr>
        <w:trPr>
          <w:tblHeader w:val="true"/>
          <w:cantSplit w:val="true"/>
        </w:trPr>
        <w:tc>
          <w:tcPr>
            <w:tcW w:type="dxa" w:w="1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F4D78"/>
                <w:sz w:val="20"/>
              </w:rPr>
              <w:t>信息层</w:t>
            </w:r>
          </w:p>
        </w:tc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F4D78"/>
                <w:sz w:val="20"/>
              </w:rPr>
              <w:t>字段</w:t>
            </w:r>
          </w:p>
        </w:tc>
        <w:tc>
          <w:tcPr>
            <w:tcW w:type="dxa" w:w="59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F4D78"/>
                <w:sz w:val="20"/>
              </w:rPr>
              <w:t>用户填写内容</w:t>
            </w:r>
          </w:p>
        </w:tc>
      </w:tr>
      <w:tr>
        <w:trPr>
          <w:cantSplit w:val="true"/>
        </w:trPr>
        <w:tc>
          <w:tcPr>
            <w:tcW w:type="dxa" w:w="1500"/>
            <w:vMerge w:val="restart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1F4D78"/>
                <w:sz w:val="20"/>
              </w:rPr>
              <w:t>产品基础层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产品品类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腊味肉制品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产品名称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广式三七瘦腊肠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核心规格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500g 真空袋装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价格信息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20 元/袋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视觉特征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腊肠呈红白相间的肥瘦纹理，完整长条与斜切片形态清晰，表面油润透亮。</w:t>
            </w:r>
          </w:p>
        </w:tc>
      </w:tr>
      <w:tr>
        <w:trPr>
          <w:cantSplit w:val="true"/>
        </w:trPr>
        <w:tc>
          <w:tcPr>
            <w:tcW w:type="dxa" w:w="1500"/>
            <w:vMerge w:val="restart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1F4D78"/>
                <w:sz w:val="20"/>
              </w:rPr>
              <w:t>卖点层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核心卖点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三七肥瘦黄金配比；广府糖酒腌制工艺；咸甜酒香回甘。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次要卖点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纯猪肉无淀粉；真空锁鲜；适配煲仔饭、蒸、炒多种烹饪方式；切片均匀、形态规整。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辅助信任背书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暂无。</w:t>
            </w:r>
          </w:p>
        </w:tc>
      </w:tr>
      <w:tr>
        <w:trPr>
          <w:cantSplit w:val="true"/>
        </w:trPr>
        <w:tc>
          <w:tcPr>
            <w:tcW w:type="dxa" w:w="1500"/>
            <w:vMerge w:val="restart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1F4D78"/>
                <w:sz w:val="20"/>
              </w:rPr>
              <w:t>用户层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目标受众画像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25-45 岁家庭厨房决策者；美食爱好者；年货送礼人群；喜欢粤式风味的消费者。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核心痛点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日常佐餐缺少方便又有风味的肉食搭配；年节送礼需要兼顾实用性与节庆氛围；担心腊肠口感和品质不稳定。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决策动因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关注肥瘦比例与口感；重视传统广式风味；看重真空包装的储存便利；需要适配多种家常烹饪方式。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营销目标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突出广式风味、油润肉质和多种烹饪方式，提升短视频内容的购买转化。</w:t>
            </w:r>
          </w:p>
        </w:tc>
      </w:tr>
      <w:tr>
        <w:trPr>
          <w:cantSplit w:val="true"/>
        </w:trPr>
        <w:tc>
          <w:tcPr>
            <w:tcW w:type="dxa" w:w="1500"/>
            <w:vMerge w:val="restart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1F4D78"/>
                <w:sz w:val="20"/>
              </w:rPr>
              <w:t>场景层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核心使用场景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煲仔饭烹饪；蒸制切片；炒菜搭配；家庭日常佐餐。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购买场景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家庭日常采购；年货采购；春节送礼。</w:t>
            </w:r>
          </w:p>
        </w:tc>
      </w:tr>
      <w:tr>
        <w:trPr>
          <w:cantSplit w:val="true"/>
        </w:trPr>
        <w:tc>
          <w:tcPr>
            <w:tcW w:type="dxa" w:w="3120"/>
            <w:vMerge/>
            <w:shd w:fill="F4F6F9"/>
          </w:tcPr>
          <w:p/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/>
                <w:i w:val="0"/>
                <w:color w:val="17233B"/>
                <w:sz w:val="20"/>
              </w:rPr>
              <w:t>情绪共鸣场景</w:t>
            </w:r>
          </w:p>
        </w:tc>
        <w:tc>
          <w:tcPr>
            <w:tcW w:type="dxa" w:w="5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17233B"/>
                <w:sz w:val="20"/>
              </w:rPr>
              <w:t>家常烟火气；家人围餐分享；春节团圆与送礼心意。</w:t>
            </w:r>
          </w:p>
        </w:tc>
      </w:tr>
    </w:tbl>
    <w:p>
      <w:pPr>
        <w:spacing w:before="200" w:after="0"/>
        <w:jc w:val="left"/>
      </w:pPr>
      <w:r>
        <w:rPr>
          <w:rFonts w:ascii="Calibri" w:hAnsi="Calibri" w:eastAsia="Calibri" w:cs="Calibri"/>
          <w:b/>
          <w:i w:val="0"/>
          <w:color w:val="1F4D78"/>
          <w:sz w:val="21"/>
        </w:rPr>
        <w:t>填写确认：</w:t>
      </w:r>
      <w:r>
        <w:rPr>
          <w:rFonts w:ascii="Calibri" w:hAnsi="Calibri" w:eastAsia="Calibri" w:cs="Calibri"/>
          <w:b w:val="0"/>
          <w:i w:val="0"/>
          <w:color w:val="17233B"/>
          <w:sz w:val="21"/>
        </w:rPr>
        <w:t>以上内容由资料提供方确认，作为本次效果类项目的信息提炼依据。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 w:cs="Calibri"/>
        <w:b w:val="0"/>
        <w:i w:val="0"/>
        <w:color w:val="667085"/>
        <w:sz w:val="18"/>
      </w:rPr>
      <w:t xml:space="preserve">第 </w:t>
    </w:r>
    <w:fldSimple w:instr="PAGE"/>
    <w:r>
      <w:rPr>
        <w:rFonts w:ascii="Calibri" w:hAnsi="Calibri" w:eastAsia="Calibri" w:cs="Calibri"/>
        <w:b w:val="0"/>
        <w:i w:val="0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 w:cs="Calibri"/>
        <w:b w:val="0"/>
        <w:i w:val="0"/>
        <w:color w:val="667085"/>
        <w:sz w:val="18"/>
      </w:rPr>
      <w:t>广式三七瘦腊肠 · 产品资料包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color w:val="1723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