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广式三七瘦腊肠产品资料包</w:t>
      </w:r>
    </w:p>
    <w:p>
      <w:pPr>
        <w:pStyle w:val="DocumentSubtitle"/>
      </w:pPr>
      <w:r>
        <w:t>效果类项目素材资料</w:t>
      </w:r>
    </w:p>
    <w:p>
      <w:pPr>
        <w:spacing w:after="180"/>
      </w:pPr>
      <w:r>
        <w:t>本资料包只记录已确认的产品基础信息和可直接用于素材创意的卖点事实。Prompt 数量、片段时长、视觉风格、投放渠道和禁用元素在 Prompt 节点配置；画幅、分辨率和生成模型能力在视频渲染节点配置。</w:t>
      </w:r>
    </w:p>
    <w:p>
      <w:pPr>
        <w:pStyle w:val="Heading1"/>
      </w:pPr>
      <w:r>
        <w:t>产品基础信息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产品品类</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腊味肉制品</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产品名称</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广式三七瘦腊肠</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核心规格</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500g 真空袋装</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价格带</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20 元/袋</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核心外观特征</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腊肠呈红白相间的肥瘦纹理，完整长条与斜切片形态清晰，表面油润透亮。</w:t>
            </w:r>
          </w:p>
        </w:tc>
      </w:tr>
    </w:tbl>
    <w:p>
      <w:pPr>
        <w:pStyle w:val="Heading1"/>
      </w:pPr>
      <w:r>
        <w:t>卖点</w:t>
      </w:r>
    </w:p>
    <w:p>
      <w:pPr>
        <w:pStyle w:val="ListNumber"/>
        <w:spacing w:after="80"/>
        <w:ind w:left="408" w:hanging="255"/>
      </w:pPr>
      <w:r>
        <w:rPr>
          <w:rFonts w:ascii="Microsoft YaHei" w:hAnsi="Microsoft YaHei" w:eastAsia="Microsoft YaHei"/>
          <w:b w:val="0"/>
          <w:color w:val="000000"/>
          <w:sz w:val="21"/>
        </w:rPr>
        <w:t>腊肠采用三七肥瘦配比。</w:t>
      </w:r>
    </w:p>
    <w:p>
      <w:pPr>
        <w:pStyle w:val="ListNumber"/>
        <w:spacing w:after="80"/>
        <w:ind w:left="408" w:hanging="255"/>
      </w:pPr>
      <w:r>
        <w:rPr>
          <w:rFonts w:ascii="Microsoft YaHei" w:hAnsi="Microsoft YaHei" w:eastAsia="Microsoft YaHei"/>
          <w:b w:val="0"/>
          <w:color w:val="000000"/>
          <w:sz w:val="21"/>
        </w:rPr>
        <w:t>采用广府糖酒腌制工艺。</w:t>
      </w:r>
    </w:p>
    <w:p>
      <w:pPr>
        <w:pStyle w:val="ListNumber"/>
        <w:spacing w:after="80"/>
        <w:ind w:left="408" w:hanging="255"/>
      </w:pPr>
      <w:r>
        <w:rPr>
          <w:rFonts w:ascii="Microsoft YaHei" w:hAnsi="Microsoft YaHei" w:eastAsia="Microsoft YaHei"/>
          <w:b w:val="0"/>
          <w:color w:val="000000"/>
          <w:sz w:val="21"/>
        </w:rPr>
        <w:t>入口呈现咸甜与酒香回甘的广式风味。</w:t>
      </w:r>
    </w:p>
    <w:p>
      <w:pPr>
        <w:pStyle w:val="ListNumber"/>
        <w:spacing w:after="80"/>
        <w:ind w:left="408" w:hanging="255"/>
      </w:pPr>
      <w:r>
        <w:rPr>
          <w:rFonts w:ascii="Microsoft YaHei" w:hAnsi="Microsoft YaHei" w:eastAsia="Microsoft YaHei"/>
          <w:b w:val="0"/>
          <w:color w:val="000000"/>
          <w:sz w:val="21"/>
        </w:rPr>
        <w:t>配料使用纯猪肉，不添加淀粉。</w:t>
      </w:r>
    </w:p>
    <w:p>
      <w:pPr>
        <w:pStyle w:val="ListNumber"/>
        <w:spacing w:after="80"/>
        <w:ind w:left="408" w:hanging="255"/>
      </w:pPr>
      <w:r>
        <w:rPr>
          <w:rFonts w:ascii="Microsoft YaHei" w:hAnsi="Microsoft YaHei" w:eastAsia="Microsoft YaHei"/>
          <w:b w:val="0"/>
          <w:color w:val="000000"/>
          <w:sz w:val="21"/>
        </w:rPr>
        <w:t>真空袋装便于家庭储存。</w:t>
      </w:r>
    </w:p>
    <w:p>
      <w:pPr>
        <w:pStyle w:val="ListNumber"/>
        <w:spacing w:after="80"/>
        <w:ind w:left="408" w:hanging="255"/>
      </w:pPr>
      <w:r>
        <w:rPr>
          <w:rFonts w:ascii="Microsoft YaHei" w:hAnsi="Microsoft YaHei" w:eastAsia="Microsoft YaHei"/>
          <w:b w:val="0"/>
          <w:color w:val="000000"/>
          <w:sz w:val="21"/>
        </w:rPr>
        <w:t>完整腊肠呈红白相间的肥瘦纹理。</w:t>
      </w:r>
    </w:p>
    <w:p>
      <w:pPr>
        <w:pStyle w:val="ListNumber"/>
        <w:spacing w:after="80"/>
        <w:ind w:left="408" w:hanging="255"/>
      </w:pPr>
      <w:r>
        <w:rPr>
          <w:rFonts w:ascii="Microsoft YaHei" w:hAnsi="Microsoft YaHei" w:eastAsia="Microsoft YaHei"/>
          <w:b w:val="0"/>
          <w:color w:val="000000"/>
          <w:sz w:val="21"/>
        </w:rPr>
        <w:t>蒸制后表面呈现油润透亮的质感。</w:t>
      </w:r>
    </w:p>
    <w:p>
      <w:pPr>
        <w:pStyle w:val="ListNumber"/>
        <w:spacing w:after="80"/>
        <w:ind w:left="408" w:hanging="255"/>
      </w:pPr>
      <w:r>
        <w:rPr>
          <w:rFonts w:ascii="Microsoft YaHei" w:hAnsi="Microsoft YaHei" w:eastAsia="Microsoft YaHei"/>
          <w:b w:val="0"/>
          <w:color w:val="000000"/>
          <w:sz w:val="21"/>
        </w:rPr>
        <w:t>斜切片可清晰展示腊肠内部的肉粒与肥瘦分布。</w:t>
      </w:r>
    </w:p>
    <w:p>
      <w:pPr>
        <w:pStyle w:val="ListNumber"/>
        <w:spacing w:after="80"/>
        <w:ind w:left="408" w:hanging="255"/>
      </w:pPr>
      <w:r>
        <w:rPr>
          <w:rFonts w:ascii="Microsoft YaHei" w:hAnsi="Microsoft YaHei" w:eastAsia="Microsoft YaHei"/>
          <w:b w:val="0"/>
          <w:color w:val="000000"/>
          <w:sz w:val="21"/>
        </w:rPr>
        <w:t>可与米饭同蒸，让油润腊味融入主食。</w:t>
      </w:r>
    </w:p>
    <w:p>
      <w:pPr>
        <w:pStyle w:val="ListNumber"/>
        <w:spacing w:after="80"/>
        <w:ind w:left="408" w:hanging="255"/>
      </w:pPr>
      <w:r>
        <w:rPr>
          <w:rFonts w:ascii="Microsoft YaHei" w:hAnsi="Microsoft YaHei" w:eastAsia="Microsoft YaHei"/>
          <w:b w:val="0"/>
          <w:color w:val="000000"/>
          <w:sz w:val="21"/>
        </w:rPr>
        <w:t>适合用于煎炒，通过翻动和受热展示切片状态。</w:t>
      </w:r>
    </w:p>
    <w:p>
      <w:pPr>
        <w:pStyle w:val="ListNumber"/>
        <w:spacing w:after="80"/>
        <w:ind w:left="408" w:hanging="255"/>
      </w:pPr>
      <w:r>
        <w:rPr>
          <w:rFonts w:ascii="Microsoft YaHei" w:hAnsi="Microsoft YaHei" w:eastAsia="Microsoft YaHei"/>
          <w:b w:val="0"/>
          <w:color w:val="000000"/>
          <w:sz w:val="21"/>
        </w:rPr>
        <w:t>可铺在煲仔饭表面与米饭、青菜组成完整餐盘。</w:t>
      </w:r>
    </w:p>
    <w:p>
      <w:pPr>
        <w:pStyle w:val="ListNumber"/>
        <w:spacing w:after="80"/>
        <w:ind w:left="408" w:hanging="255"/>
      </w:pPr>
      <w:r>
        <w:rPr>
          <w:rFonts w:ascii="Microsoft YaHei" w:hAnsi="Microsoft YaHei" w:eastAsia="Microsoft YaHei"/>
          <w:b w:val="0"/>
          <w:color w:val="000000"/>
          <w:sz w:val="21"/>
        </w:rPr>
        <w:t>蒸熟后切片即可作为家庭日常佐餐。</w:t>
      </w:r>
    </w:p>
    <w:p>
      <w:pPr>
        <w:pStyle w:val="ListNumber"/>
        <w:spacing w:after="80"/>
        <w:ind w:left="408" w:hanging="255"/>
      </w:pPr>
      <w:r>
        <w:rPr>
          <w:rFonts w:ascii="Microsoft YaHei" w:hAnsi="Microsoft YaHei" w:eastAsia="Microsoft YaHei"/>
          <w:b w:val="0"/>
          <w:color w:val="000000"/>
          <w:sz w:val="21"/>
        </w:rPr>
        <w:t>完整长条、斜切片和切丁可形成不同的备菜形态。</w:t>
      </w:r>
    </w:p>
    <w:p>
      <w:pPr>
        <w:pStyle w:val="ListNumber"/>
        <w:spacing w:after="80"/>
        <w:ind w:left="408" w:hanging="255"/>
      </w:pPr>
      <w:r>
        <w:rPr>
          <w:rFonts w:ascii="Microsoft YaHei" w:hAnsi="Microsoft YaHei" w:eastAsia="Microsoft YaHei"/>
          <w:b w:val="0"/>
          <w:color w:val="000000"/>
          <w:sz w:val="21"/>
        </w:rPr>
        <w:t>500g 袋装适合家庭日常备菜或年节餐桌使用。</w:t>
      </w:r>
    </w:p>
    <w:p>
      <w:pPr>
        <w:pStyle w:val="ListNumber"/>
        <w:spacing w:after="80"/>
        <w:ind w:left="408" w:hanging="255"/>
      </w:pPr>
      <w:r>
        <w:rPr>
          <w:rFonts w:ascii="Microsoft YaHei" w:hAnsi="Microsoft YaHei" w:eastAsia="Microsoft YaHei"/>
          <w:b w:val="0"/>
          <w:color w:val="000000"/>
          <w:sz w:val="21"/>
        </w:rPr>
        <w:t>广式咸甜风味适合偏好粤式腊味的消费者。</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Microsoft YaHei" w:hAnsi="Microsoft YaHei" w:eastAsia="Microsoft YaHei"/>
      <w:color w:val="59637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广式三七瘦腊肠产品资料包</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