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潮汕手打牛肉丸产品资料包</w:t>
      </w:r>
    </w:p>
    <w:p>
      <w:pPr>
        <w:pStyle w:val="DocumentSubtitle"/>
      </w:pPr>
      <w:r>
        <w:t>效果类项目素材资料</w:t>
      </w:r>
    </w:p>
    <w:p>
      <w:pPr>
        <w:spacing w:after="180"/>
      </w:pPr>
      <w:r>
        <w:t>本资料包只记录已确认的产品基础信息和可直接用于素材创意的卖点事实。Prompt 数量、片段时长、视觉风格、投放渠道和禁用元素在 Prompt 节点配置；画幅、分辨率和生成模型能力在视频渲染节点配置。</w:t>
      </w:r>
    </w:p>
    <w:p>
      <w:pPr>
        <w:pStyle w:val="Heading1"/>
      </w:pPr>
      <w:r>
        <w:t>产品基础信息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62"/>
        <w:gridCol w:w="4762"/>
      </w:tblGrid>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产品品类</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速冻肉制品</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产品名称</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潮汕手打牛肉丸</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核心规格</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500g 冷冻袋装</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价格带</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39 元/袋</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核心外观特征</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牛肉丸呈浅棕色圆球形，丸形完整，切面肉质细密，表面煮制后自然油润。</w:t>
            </w:r>
          </w:p>
        </w:tc>
      </w:tr>
    </w:tbl>
    <w:p>
      <w:pPr>
        <w:pStyle w:val="Heading1"/>
      </w:pPr>
      <w:r>
        <w:t>卖点</w:t>
      </w:r>
    </w:p>
    <w:p>
      <w:pPr>
        <w:pStyle w:val="ListNumber"/>
        <w:spacing w:after="80"/>
        <w:ind w:left="408" w:hanging="255"/>
      </w:pPr>
      <w:r>
        <w:rPr>
          <w:rFonts w:ascii="Microsoft YaHei" w:hAnsi="Microsoft YaHei" w:eastAsia="Microsoft YaHei"/>
          <w:b w:val="0"/>
          <w:color w:val="000000"/>
          <w:sz w:val="21"/>
        </w:rPr>
        <w:t>选用牛后腿肉打浆成丸。</w:t>
      </w:r>
    </w:p>
    <w:p>
      <w:pPr>
        <w:pStyle w:val="ListNumber"/>
        <w:spacing w:after="80"/>
        <w:ind w:left="408" w:hanging="255"/>
      </w:pPr>
      <w:r>
        <w:rPr>
          <w:rFonts w:ascii="Microsoft YaHei" w:hAnsi="Microsoft YaHei" w:eastAsia="Microsoft YaHei"/>
          <w:b w:val="0"/>
          <w:color w:val="000000"/>
          <w:sz w:val="21"/>
        </w:rPr>
        <w:t>手打工艺形成弹韧紧实的口感。</w:t>
      </w:r>
    </w:p>
    <w:p>
      <w:pPr>
        <w:pStyle w:val="ListNumber"/>
        <w:spacing w:after="80"/>
        <w:ind w:left="408" w:hanging="255"/>
      </w:pPr>
      <w:r>
        <w:rPr>
          <w:rFonts w:ascii="Microsoft YaHei" w:hAnsi="Microsoft YaHei" w:eastAsia="Microsoft YaHei"/>
          <w:b w:val="0"/>
          <w:color w:val="000000"/>
          <w:sz w:val="21"/>
        </w:rPr>
        <w:t>清汤煮制可直接呈现牛肉香气和肉丸本身状态。</w:t>
      </w:r>
    </w:p>
    <w:p>
      <w:pPr>
        <w:pStyle w:val="ListNumber"/>
        <w:spacing w:after="80"/>
        <w:ind w:left="408" w:hanging="255"/>
      </w:pPr>
      <w:r>
        <w:rPr>
          <w:rFonts w:ascii="Microsoft YaHei" w:hAnsi="Microsoft YaHei" w:eastAsia="Microsoft YaHei"/>
          <w:b w:val="0"/>
          <w:color w:val="000000"/>
          <w:sz w:val="21"/>
        </w:rPr>
        <w:t>牛肉丸外形圆润完整且大小均匀。</w:t>
      </w:r>
    </w:p>
    <w:p>
      <w:pPr>
        <w:pStyle w:val="ListNumber"/>
        <w:spacing w:after="80"/>
        <w:ind w:left="408" w:hanging="255"/>
      </w:pPr>
      <w:r>
        <w:rPr>
          <w:rFonts w:ascii="Microsoft YaHei" w:hAnsi="Microsoft YaHei" w:eastAsia="Microsoft YaHei"/>
          <w:b w:val="0"/>
          <w:color w:val="000000"/>
          <w:sz w:val="21"/>
        </w:rPr>
        <w:t>切开后可观察内部细密紧实的肉质断面。</w:t>
      </w:r>
    </w:p>
    <w:p>
      <w:pPr>
        <w:pStyle w:val="ListNumber"/>
        <w:spacing w:after="80"/>
        <w:ind w:left="408" w:hanging="255"/>
      </w:pPr>
      <w:r>
        <w:rPr>
          <w:rFonts w:ascii="Microsoft YaHei" w:hAnsi="Microsoft YaHei" w:eastAsia="Microsoft YaHei"/>
          <w:b w:val="0"/>
          <w:color w:val="000000"/>
          <w:sz w:val="21"/>
        </w:rPr>
        <w:t>煮熟后表面呈现自然油润光泽。</w:t>
      </w:r>
    </w:p>
    <w:p>
      <w:pPr>
        <w:pStyle w:val="ListNumber"/>
        <w:spacing w:after="80"/>
        <w:ind w:left="408" w:hanging="255"/>
      </w:pPr>
      <w:r>
        <w:rPr>
          <w:rFonts w:ascii="Microsoft YaHei" w:hAnsi="Microsoft YaHei" w:eastAsia="Microsoft YaHei"/>
          <w:b w:val="0"/>
          <w:color w:val="000000"/>
          <w:sz w:val="21"/>
        </w:rPr>
        <w:t>冷冻袋装便于按每次备餐量分次取用。</w:t>
      </w:r>
    </w:p>
    <w:p>
      <w:pPr>
        <w:pStyle w:val="ListNumber"/>
        <w:spacing w:after="80"/>
        <w:ind w:left="408" w:hanging="255"/>
      </w:pPr>
      <w:r>
        <w:rPr>
          <w:rFonts w:ascii="Microsoft YaHei" w:hAnsi="Microsoft YaHei" w:eastAsia="Microsoft YaHei"/>
          <w:b w:val="0"/>
          <w:color w:val="000000"/>
          <w:sz w:val="21"/>
        </w:rPr>
        <w:t>500g 规格适合家庭日常囤货和多人餐食。</w:t>
      </w:r>
    </w:p>
    <w:p>
      <w:pPr>
        <w:pStyle w:val="ListNumber"/>
        <w:spacing w:after="80"/>
        <w:ind w:left="408" w:hanging="255"/>
      </w:pPr>
      <w:r>
        <w:rPr>
          <w:rFonts w:ascii="Microsoft YaHei" w:hAnsi="Microsoft YaHei" w:eastAsia="Microsoft YaHei"/>
          <w:b w:val="0"/>
          <w:color w:val="000000"/>
          <w:sz w:val="21"/>
        </w:rPr>
        <w:t>适合放入清汤中煮制，与青菜组成快捷汤菜。</w:t>
      </w:r>
    </w:p>
    <w:p>
      <w:pPr>
        <w:pStyle w:val="ListNumber"/>
        <w:spacing w:after="80"/>
        <w:ind w:left="408" w:hanging="255"/>
      </w:pPr>
      <w:r>
        <w:rPr>
          <w:rFonts w:ascii="Microsoft YaHei" w:hAnsi="Microsoft YaHei" w:eastAsia="Microsoft YaHei"/>
          <w:b w:val="0"/>
          <w:color w:val="000000"/>
          <w:sz w:val="21"/>
        </w:rPr>
        <w:t>适合家庭火锅涮煮，展示丸子下锅到浮起的连续状态。</w:t>
      </w:r>
    </w:p>
    <w:p>
      <w:pPr>
        <w:pStyle w:val="ListNumber"/>
        <w:spacing w:after="80"/>
        <w:ind w:left="408" w:hanging="255"/>
      </w:pPr>
      <w:r>
        <w:rPr>
          <w:rFonts w:ascii="Microsoft YaHei" w:hAnsi="Microsoft YaHei" w:eastAsia="Microsoft YaHei"/>
          <w:b w:val="0"/>
          <w:color w:val="000000"/>
          <w:sz w:val="21"/>
        </w:rPr>
        <w:t>适合与潮汕风味粉面搭配，作为碗中的主要肉食配料。</w:t>
      </w:r>
    </w:p>
    <w:p>
      <w:pPr>
        <w:pStyle w:val="ListNumber"/>
        <w:spacing w:after="80"/>
        <w:ind w:left="408" w:hanging="255"/>
      </w:pPr>
      <w:r>
        <w:rPr>
          <w:rFonts w:ascii="Microsoft YaHei" w:hAnsi="Microsoft YaHei" w:eastAsia="Microsoft YaHei"/>
          <w:b w:val="0"/>
          <w:color w:val="000000"/>
          <w:sz w:val="21"/>
        </w:rPr>
        <w:t>工作日晚餐可直接从冷冻状态取用并下锅煮制。</w:t>
      </w:r>
    </w:p>
    <w:p>
      <w:pPr>
        <w:pStyle w:val="ListNumber"/>
        <w:spacing w:after="80"/>
        <w:ind w:left="408" w:hanging="255"/>
      </w:pPr>
      <w:r>
        <w:rPr>
          <w:rFonts w:ascii="Microsoft YaHei" w:hAnsi="Microsoft YaHei" w:eastAsia="Microsoft YaHei"/>
          <w:b w:val="0"/>
          <w:color w:val="000000"/>
          <w:sz w:val="21"/>
        </w:rPr>
        <w:t>浅棕色丸体、白色清汤和绿色蔬菜可形成清晰的餐食层次。</w:t>
      </w:r>
    </w:p>
    <w:p>
      <w:pPr>
        <w:pStyle w:val="ListNumber"/>
        <w:spacing w:after="80"/>
        <w:ind w:left="408" w:hanging="255"/>
      </w:pPr>
      <w:r>
        <w:rPr>
          <w:rFonts w:ascii="Microsoft YaHei" w:hAnsi="Microsoft YaHei" w:eastAsia="Microsoft YaHei"/>
          <w:b w:val="0"/>
          <w:color w:val="000000"/>
          <w:sz w:val="21"/>
        </w:rPr>
        <w:t>潮汕地方风味适合喜欢火锅、粉面和传统丸类的消费者。</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160"/>
    </w:pPr>
    <w:rPr>
      <w:rFonts w:ascii="Microsoft YaHei" w:hAnsi="Microsoft YaHei" w:eastAsia="Microsoft YaHei"/>
      <w:color w:val="59637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潮汕手打牛肉丸产品资料包</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