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潮汕手打牛肉丸产品资料包</w:t>
      </w:r>
    </w:p>
    <w:p>
      <w:pPr>
        <w:pStyle w:val="DocumentSubtitle"/>
      </w:pPr>
      <w:r>
        <w:t>效果类项目素材资料</w:t>
      </w:r>
    </w:p>
    <w:p>
      <w:pPr>
        <w:spacing w:after="180"/>
      </w:pPr>
      <w:r>
        <w:t>本资料包只记录已确认的产品基础信息和可直接用于素材创意的卖点事实。Prompt 数量、片段时长、视觉风格、投放渠道和禁用元素在 Prompt 节点配置；画幅、分辨率和生成模型能力在视频渲染节点配置。</w:t>
      </w:r>
    </w:p>
    <w:p>
      <w:pPr>
        <w:pStyle w:val="Heading1"/>
      </w:pPr>
      <w:r>
        <w:t>产品基础信息</w:t>
      </w:r>
    </w:p>
    <w:tbl>
      <w:tblPr>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762"/>
        <w:gridCol w:w="4762"/>
      </w:tblGrid>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产品品类</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速冻肉制品</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产品名称</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潮汕手打牛肉丸</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核心规格</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500g 冷冻袋装</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价格带</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39 元/袋</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核心外观特征</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牛肉丸呈浅棕色圆球形，丸形完整，切面肉质细密，表面煮制后自然油润。</w:t>
            </w:r>
          </w:p>
        </w:tc>
      </w:tr>
    </w:tbl>
    <w:p>
      <w:pPr>
        <w:pStyle w:val="Heading1"/>
      </w:pPr>
      <w:r>
        <w:t>卖点</w:t>
      </w:r>
    </w:p>
    <w:p>
      <w:pPr>
        <w:pStyle w:val="ListNumber"/>
        <w:keepNext w:val="0"/>
        <w:keepLines w:val="0"/>
        <w:widowControl/>
      </w:pPr>
      <w:r>
        <w:t>产品选用牛后腿肉打浆成丸</w:t>
      </w:r>
    </w:p>
    <w:p>
      <w:pPr>
        <w:pStyle w:val="ListNumber"/>
        <w:keepNext w:val="0"/>
        <w:keepLines w:val="0"/>
        <w:widowControl/>
      </w:pPr>
      <w:r>
        <w:t>手打工艺形成弹韧紧实的肉丸口感</w:t>
      </w:r>
    </w:p>
    <w:p>
      <w:pPr>
        <w:pStyle w:val="ListNumber"/>
        <w:keepNext w:val="0"/>
        <w:keepLines w:val="0"/>
        <w:widowControl/>
      </w:pPr>
      <w:r>
        <w:t>牛肉丸呈浅棕色圆球形</w:t>
      </w:r>
    </w:p>
    <w:p>
      <w:pPr>
        <w:pStyle w:val="ListNumber"/>
        <w:keepNext w:val="0"/>
        <w:keepLines w:val="0"/>
        <w:widowControl/>
      </w:pPr>
      <w:r>
        <w:t>每颗牛肉丸外形圆润完整且大小接近</w:t>
      </w:r>
    </w:p>
    <w:p>
      <w:pPr>
        <w:pStyle w:val="ListNumber"/>
        <w:keepNext w:val="0"/>
        <w:keepLines w:val="0"/>
        <w:widowControl/>
      </w:pPr>
      <w:r>
        <w:t>切开后可看到内部细密紧实的肉质断面</w:t>
      </w:r>
    </w:p>
    <w:p>
      <w:pPr>
        <w:pStyle w:val="ListNumber"/>
        <w:keepNext w:val="0"/>
        <w:keepLines w:val="0"/>
        <w:widowControl/>
      </w:pPr>
      <w:r>
        <w:t>煮熟后表面呈现自然油润光泽</w:t>
      </w:r>
    </w:p>
    <w:p>
      <w:pPr>
        <w:pStyle w:val="ListNumber"/>
        <w:keepNext w:val="0"/>
        <w:keepLines w:val="0"/>
        <w:widowControl/>
      </w:pPr>
      <w:r>
        <w:t>500g 冷冻袋装便于家庭按餐次取用</w:t>
      </w:r>
    </w:p>
    <w:p>
      <w:pPr>
        <w:pStyle w:val="ListNumber"/>
        <w:keepNext w:val="0"/>
        <w:keepLines w:val="0"/>
        <w:widowControl/>
      </w:pPr>
      <w:r>
        <w:t>从冷冻包装中可直接取出完整牛肉丸</w:t>
      </w:r>
    </w:p>
    <w:p>
      <w:pPr>
        <w:pStyle w:val="ListNumber"/>
        <w:keepNext w:val="0"/>
        <w:keepLines w:val="0"/>
        <w:widowControl/>
      </w:pPr>
      <w:r>
        <w:t>多颗牛肉丸平铺时可展示统一的圆球形态</w:t>
      </w:r>
    </w:p>
    <w:p>
      <w:pPr>
        <w:pStyle w:val="ListNumber"/>
        <w:keepNext w:val="0"/>
        <w:keepLines w:val="0"/>
        <w:widowControl/>
      </w:pPr>
      <w:r>
        <w:t>牛肉打浆状态可用于呈现成丸前的细腻肉糜</w:t>
      </w:r>
    </w:p>
    <w:p>
      <w:pPr>
        <w:pStyle w:val="ListNumber"/>
        <w:keepNext w:val="0"/>
        <w:keepLines w:val="0"/>
        <w:widowControl/>
      </w:pPr>
      <w:r>
        <w:t>肉糜经手部挤压可形成圆润丸形</w:t>
      </w:r>
    </w:p>
    <w:p>
      <w:pPr>
        <w:pStyle w:val="ListNumber"/>
        <w:keepNext w:val="0"/>
        <w:keepLines w:val="0"/>
        <w:widowControl/>
      </w:pPr>
      <w:r>
        <w:t>成形后的牛肉丸可逐颗落入冷水中定型</w:t>
      </w:r>
    </w:p>
    <w:p>
      <w:pPr>
        <w:pStyle w:val="ListNumber"/>
        <w:keepNext w:val="0"/>
        <w:keepLines w:val="0"/>
        <w:widowControl/>
      </w:pPr>
      <w:r>
        <w:t>冷冻牛肉丸下锅时可清楚看到从袋装到烹煮的衔接</w:t>
      </w:r>
    </w:p>
    <w:p>
      <w:pPr>
        <w:pStyle w:val="ListNumber"/>
        <w:keepNext w:val="0"/>
        <w:keepLines w:val="0"/>
        <w:widowControl/>
      </w:pPr>
      <w:r>
        <w:t>牛肉丸进入热汤后会随沸水逐渐翻动</w:t>
      </w:r>
    </w:p>
    <w:p>
      <w:pPr>
        <w:pStyle w:val="ListNumber"/>
        <w:keepNext w:val="0"/>
        <w:keepLines w:val="0"/>
        <w:widowControl/>
      </w:pPr>
      <w:r>
        <w:t>煮熟的牛肉丸可从锅底逐渐浮向汤面</w:t>
      </w:r>
    </w:p>
    <w:p>
      <w:pPr>
        <w:pStyle w:val="ListNumber"/>
        <w:keepNext w:val="0"/>
        <w:keepLines w:val="0"/>
        <w:widowControl/>
      </w:pPr>
      <w:r>
        <w:t>清汤煮制可直接呈现肉丸本身的外形和色泽</w:t>
      </w:r>
    </w:p>
    <w:p>
      <w:pPr>
        <w:pStyle w:val="ListNumber"/>
        <w:keepNext w:val="0"/>
        <w:keepLines w:val="0"/>
        <w:widowControl/>
      </w:pPr>
      <w:r>
        <w:t>白色清汤、浅棕丸体和绿色蔬菜形成清晰餐食层次</w:t>
      </w:r>
    </w:p>
    <w:p>
      <w:pPr>
        <w:pStyle w:val="ListNumber"/>
        <w:keepNext w:val="0"/>
        <w:keepLines w:val="0"/>
        <w:widowControl/>
      </w:pPr>
      <w:r>
        <w:t>漏勺捞起牛肉丸时可展示完整丸形与汤汁滴落</w:t>
      </w:r>
    </w:p>
    <w:p>
      <w:pPr>
        <w:pStyle w:val="ListNumber"/>
        <w:keepNext w:val="0"/>
        <w:keepLines w:val="0"/>
        <w:widowControl/>
      </w:pPr>
      <w:r>
        <w:t>筷子夹起牛肉丸可突出丸体大小与表面光泽</w:t>
      </w:r>
    </w:p>
    <w:p>
      <w:pPr>
        <w:pStyle w:val="ListNumber"/>
        <w:keepNext w:val="0"/>
        <w:keepLines w:val="0"/>
        <w:widowControl/>
      </w:pPr>
      <w:r>
        <w:t>汤勺盛起牛肉丸可同时呈现清汤和丸体</w:t>
      </w:r>
    </w:p>
    <w:p>
      <w:pPr>
        <w:pStyle w:val="ListNumber"/>
        <w:keepNext w:val="0"/>
        <w:keepLines w:val="0"/>
        <w:widowControl/>
      </w:pPr>
      <w:r>
        <w:t>刀具对半切开可展示丸体从完整到断面的变化</w:t>
      </w:r>
    </w:p>
    <w:p>
      <w:pPr>
        <w:pStyle w:val="ListNumber"/>
        <w:keepNext w:val="0"/>
        <w:keepLines w:val="0"/>
        <w:widowControl/>
      </w:pPr>
      <w:r>
        <w:t>切面微距可观察内部肉质组织的紧实程度</w:t>
      </w:r>
    </w:p>
    <w:p>
      <w:pPr>
        <w:pStyle w:val="ListNumber"/>
        <w:keepNext w:val="0"/>
        <w:keepLines w:val="0"/>
        <w:widowControl/>
      </w:pPr>
      <w:r>
        <w:t>轻压切开的丸体可展示具有回弹感的肉质状态</w:t>
      </w:r>
    </w:p>
    <w:p>
      <w:pPr>
        <w:pStyle w:val="ListNumber"/>
        <w:keepNext w:val="0"/>
        <w:keepLines w:val="0"/>
        <w:widowControl/>
      </w:pPr>
      <w:r>
        <w:t>牛肉丸可与青菜同煮组成快捷清汤菜</w:t>
      </w:r>
    </w:p>
    <w:p>
      <w:pPr>
        <w:pStyle w:val="ListNumber"/>
        <w:keepNext w:val="0"/>
        <w:keepLines w:val="0"/>
        <w:widowControl/>
      </w:pPr>
      <w:r>
        <w:t>牛肉丸可放入家庭火锅中完成涮煮</w:t>
      </w:r>
    </w:p>
    <w:p>
      <w:pPr>
        <w:pStyle w:val="ListNumber"/>
        <w:keepNext w:val="0"/>
        <w:keepLines w:val="0"/>
        <w:widowControl/>
      </w:pPr>
      <w:r>
        <w:t>火锅中丸子从下锅到浮起可形成连续烹煮动作</w:t>
      </w:r>
    </w:p>
    <w:p>
      <w:pPr>
        <w:pStyle w:val="ListNumber"/>
        <w:keepNext w:val="0"/>
        <w:keepLines w:val="0"/>
        <w:widowControl/>
      </w:pPr>
      <w:r>
        <w:t>牛肉丸可加入潮汕汤粉作为主要肉食配料</w:t>
      </w:r>
    </w:p>
    <w:p>
      <w:pPr>
        <w:pStyle w:val="ListNumber"/>
        <w:keepNext w:val="0"/>
        <w:keepLines w:val="0"/>
        <w:widowControl/>
      </w:pPr>
      <w:r>
        <w:t>牛肉丸可加入面汤与面条、青菜共同装碗</w:t>
      </w:r>
    </w:p>
    <w:p>
      <w:pPr>
        <w:pStyle w:val="ListNumber"/>
        <w:keepNext w:val="0"/>
        <w:keepLines w:val="0"/>
        <w:widowControl/>
      </w:pPr>
      <w:r>
        <w:t>牛肉丸可切片后加入粥中丰富口感层次</w:t>
      </w:r>
    </w:p>
    <w:p>
      <w:pPr>
        <w:pStyle w:val="ListNumber"/>
        <w:keepNext w:val="0"/>
        <w:keepLines w:val="0"/>
        <w:widowControl/>
      </w:pPr>
      <w:r>
        <w:t>煮熟牛肉丸可串起蘸酱作为便于拿取的小食</w:t>
      </w:r>
    </w:p>
    <w:p>
      <w:pPr>
        <w:pStyle w:val="ListNumber"/>
        <w:keepNext w:val="0"/>
        <w:keepLines w:val="0"/>
        <w:widowControl/>
      </w:pPr>
      <w:r>
        <w:t>平底锅煎制可让牛肉丸表面形成局部焦香色泽</w:t>
      </w:r>
    </w:p>
    <w:p>
      <w:pPr>
        <w:pStyle w:val="ListNumber"/>
        <w:keepNext w:val="0"/>
        <w:keepLines w:val="0"/>
        <w:widowControl/>
      </w:pPr>
      <w:r>
        <w:t>一袋牛肉丸可按一餐所需数量分次取出</w:t>
      </w:r>
    </w:p>
    <w:p>
      <w:pPr>
        <w:pStyle w:val="ListNumber"/>
        <w:keepNext w:val="0"/>
        <w:keepLines w:val="0"/>
        <w:widowControl/>
      </w:pPr>
      <w:r>
        <w:t>工作日晚餐可从冷冻取丸到清汤出锅快速衔接</w:t>
      </w:r>
    </w:p>
    <w:p>
      <w:pPr>
        <w:pStyle w:val="ListNumber"/>
        <w:keepNext w:val="0"/>
        <w:keepLines w:val="0"/>
        <w:widowControl/>
      </w:pPr>
      <w:r>
        <w:t>多人火锅可一次下入多颗牛肉丸供全桌分享</w:t>
      </w:r>
    </w:p>
    <w:p>
      <w:pPr>
        <w:pStyle w:val="ListNumber"/>
        <w:keepNext w:val="0"/>
        <w:keepLines w:val="0"/>
        <w:widowControl/>
      </w:pPr>
      <w:r>
        <w:t>碗中三颗至五颗牛肉丸可形成清楚的主食材焦点</w:t>
      </w:r>
    </w:p>
    <w:p>
      <w:pPr>
        <w:pStyle w:val="ListNumber"/>
        <w:keepNext w:val="0"/>
        <w:keepLines w:val="0"/>
        <w:widowControl/>
      </w:pPr>
      <w:r>
        <w:t>浅色餐具可突出牛肉丸的自然浅棕色</w:t>
      </w:r>
    </w:p>
    <w:p>
      <w:pPr>
        <w:pStyle w:val="ListNumber"/>
        <w:keepNext w:val="0"/>
        <w:keepLines w:val="0"/>
        <w:widowControl/>
      </w:pPr>
      <w:r>
        <w:t>深色锅具可衬托牛肉丸在汤中翻滚的轮廓</w:t>
      </w:r>
    </w:p>
    <w:p>
      <w:pPr>
        <w:pStyle w:val="ListNumber"/>
        <w:keepNext w:val="0"/>
        <w:keepLines w:val="0"/>
        <w:widowControl/>
      </w:pPr>
      <w:r>
        <w:t>从冷冻丸体、下锅到煮熟油润可展示状态变化</w:t>
      </w:r>
    </w:p>
    <w:p>
      <w:pPr>
        <w:pStyle w:val="ListNumber"/>
        <w:keepNext w:val="0"/>
        <w:keepLines w:val="0"/>
        <w:widowControl/>
      </w:pPr>
      <w:r>
        <w:t>从完整丸体、对半切开到夹起入口可形成连续食用动作</w:t>
      </w:r>
    </w:p>
    <w:p>
      <w:pPr>
        <w:pStyle w:val="ListNumber"/>
        <w:keepNext w:val="0"/>
        <w:keepLines w:val="0"/>
        <w:widowControl/>
      </w:pPr>
      <w:r>
        <w:t>包装、冷冻丸体和成品汤碗可同时说明储存与食用形态</w:t>
      </w:r>
    </w:p>
    <w:sectPr w:rsidR="00FC693F" w:rsidRPr="0006063C" w:rsidSect="00034616">
      <w:pgSz w:w="11906" w:h="16838"/>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Microsoft YaHei" w:hAnsi="Microsoft YaHei" w:eastAsia="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Microsoft YaHei" w:hAnsi="Microsoft YaHei" w:eastAsia="Microsoft YaHe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Subtitle">
    <w:name w:val="Document Subtitle"/>
    <w:pPr>
      <w:spacing w:after="160"/>
    </w:pPr>
    <w:rPr>
      <w:rFonts w:ascii="Microsoft YaHei" w:hAnsi="Microsoft YaHei" w:eastAsia="Microsoft YaHei"/>
      <w:color w:val="59637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潮汕手打牛肉丸产品资料包</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