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jc w:val="left"/>
      </w:pPr>
      <w:r>
        <w:rPr>
          <w:rFonts w:ascii="Microsoft YaHei" w:hAnsi="Microsoft YaHei" w:eastAsia="Microsoft YaHei"/>
          <w:b/>
          <w:color w:val="253247"/>
          <w:sz w:val="42"/>
        </w:rPr>
        <w:t>广式三七瘦腊肠产品素材制作信息</w:t>
      </w:r>
    </w:p>
    <w:p>
      <w:pPr>
        <w:spacing w:after="240"/>
      </w:pPr>
      <w:r>
        <w:rPr>
          <w:rFonts w:ascii="Microsoft YaHei" w:hAnsi="Microsoft YaHei" w:eastAsia="Microsoft YaHei"/>
          <w:b/>
          <w:color w:val="C4552D"/>
          <w:sz w:val="20"/>
        </w:rPr>
        <w:t>效果类项目素材资料</w:t>
      </w:r>
    </w:p>
    <w:p>
      <w:pPr>
        <w:spacing w:before="40" w:after="240" w:line="324" w:lineRule="auto"/>
        <w:ind w:left="198" w:right="198"/>
        <w:shd w:val="clear" w:color="auto" w:fill="FFF5EF"/>
      </w:pPr>
      <w:r>
        <w:rPr>
          <w:rFonts w:ascii="Microsoft YaHei" w:hAnsi="Microsoft YaHei" w:eastAsia="Microsoft YaHei"/>
          <w:b w:val="0"/>
          <w:color w:val="667085"/>
          <w:sz w:val="19"/>
        </w:rPr>
        <w:t>说明：本资料包只填写产品基础、卖点、用户与场景信息。时长、画幅、分辨率、投放渠道、禁用元素和视觉风格均在资料导入节点配置，本资料包不重复填写。</w:t>
      </w:r>
    </w:p>
    <w:p>
      <w:pPr>
        <w:pStyle w:val="Heading1"/>
        <w:pBdr>
          <w:bottom w:val="single" w:sz="8" w:space="4" w:color="E6C8BA"/>
        </w:pBdr>
      </w:pPr>
      <w:r>
        <w:t>产品基础层</w:t>
      </w:r>
    </w:p>
    <w:p>
      <w:pPr>
        <w:pStyle w:val="Heading2"/>
      </w:pPr>
      <w:r>
        <w:t>品类</w:t>
      </w:r>
    </w:p>
    <w:p>
      <w:pPr>
        <w:pStyle w:val="FieldValue"/>
      </w:pPr>
      <w:r>
        <w:t>腊味肉制品</w:t>
      </w:r>
    </w:p>
    <w:p>
      <w:pPr>
        <w:pStyle w:val="Heading2"/>
      </w:pPr>
      <w:r>
        <w:t>产品名称</w:t>
      </w:r>
    </w:p>
    <w:p>
      <w:pPr>
        <w:pStyle w:val="FieldValue"/>
      </w:pPr>
      <w:r>
        <w:t>广式三七瘦腊肠</w:t>
      </w:r>
    </w:p>
    <w:p>
      <w:pPr>
        <w:pStyle w:val="Heading2"/>
      </w:pPr>
      <w:r>
        <w:t>核心规格</w:t>
      </w:r>
    </w:p>
    <w:p>
      <w:pPr>
        <w:pStyle w:val="FieldValue"/>
      </w:pPr>
      <w:r>
        <w:t>500g 真空袋装</w:t>
      </w:r>
    </w:p>
    <w:p>
      <w:pPr>
        <w:pStyle w:val="Heading2"/>
      </w:pPr>
      <w:r>
        <w:t>价格带</w:t>
      </w:r>
    </w:p>
    <w:p>
      <w:pPr>
        <w:pStyle w:val="FieldValue"/>
      </w:pPr>
      <w:r>
        <w:t>20 元/袋</w:t>
      </w:r>
    </w:p>
    <w:p>
      <w:pPr>
        <w:pStyle w:val="Heading2"/>
      </w:pPr>
      <w:r>
        <w:t>核心外观特征</w:t>
      </w:r>
    </w:p>
    <w:p>
      <w:pPr>
        <w:pStyle w:val="FieldValue"/>
      </w:pPr>
      <w:r>
        <w:t>腊肠呈红白相间的肥瘦纹理，完整长条与斜切片形态清晰，表面油润透亮。</w:t>
      </w:r>
    </w:p>
    <w:p>
      <w:pPr>
        <w:pStyle w:val="Heading1"/>
        <w:pBdr>
          <w:bottom w:val="single" w:sz="8" w:space="4" w:color="E6C8BA"/>
        </w:pBdr>
      </w:pPr>
      <w:r>
        <w:t>卖点分层</w:t>
      </w:r>
    </w:p>
    <w:p>
      <w:pPr>
        <w:pStyle w:val="Heading2"/>
      </w:pPr>
      <w:r>
        <w:t>核心卖点</w:t>
      </w:r>
    </w:p>
    <w:p>
      <w:pPr>
        <w:pStyle w:val="ListBullet"/>
      </w:pPr>
      <w:r>
        <w:t>三七肥瘦黄金配比</w:t>
      </w:r>
    </w:p>
    <w:p>
      <w:pPr>
        <w:pStyle w:val="ListBullet"/>
      </w:pPr>
      <w:r>
        <w:t>广府糖酒腌制工艺</w:t>
      </w:r>
    </w:p>
    <w:p>
      <w:pPr>
        <w:pStyle w:val="ListBullet"/>
      </w:pPr>
      <w:r>
        <w:t>咸甜酒香回甘</w:t>
      </w:r>
    </w:p>
    <w:p>
      <w:pPr>
        <w:pStyle w:val="Heading2"/>
      </w:pPr>
      <w:r>
        <w:t>次要卖点</w:t>
      </w:r>
    </w:p>
    <w:p>
      <w:pPr>
        <w:pStyle w:val="ListBullet"/>
      </w:pPr>
      <w:r>
        <w:t>纯猪肉无淀粉</w:t>
      </w:r>
    </w:p>
    <w:p>
      <w:pPr>
        <w:pStyle w:val="ListBullet"/>
      </w:pPr>
      <w:r>
        <w:t>真空锁鲜</w:t>
      </w:r>
    </w:p>
    <w:p>
      <w:pPr>
        <w:pStyle w:val="ListBullet"/>
      </w:pPr>
      <w:r>
        <w:t>适配煲仔饭、蒸、炒多种烹饪方式</w:t>
      </w:r>
    </w:p>
    <w:p>
      <w:pPr>
        <w:pStyle w:val="ListBullet"/>
      </w:pPr>
      <w:r>
        <w:t>切片均匀、形态规整</w:t>
      </w:r>
    </w:p>
    <w:p>
      <w:pPr>
        <w:pStyle w:val="Heading2"/>
      </w:pPr>
      <w:r>
        <w:t>辅助信任背书</w:t>
      </w:r>
    </w:p>
    <w:p>
      <w:pPr>
        <w:pStyle w:val="FieldValue"/>
      </w:pPr>
      <w:r>
        <w:t>暂无。</w:t>
      </w:r>
    </w:p>
    <w:p>
      <w:pPr>
        <w:pStyle w:val="Heading1"/>
        <w:pBdr>
          <w:bottom w:val="single" w:sz="8" w:space="4" w:color="E6C8BA"/>
        </w:pBdr>
      </w:pPr>
      <w:r>
        <w:t>用户层</w:t>
      </w:r>
    </w:p>
    <w:p>
      <w:pPr>
        <w:pStyle w:val="Heading2"/>
      </w:pPr>
      <w:r>
        <w:t>目标受众画像</w:t>
      </w:r>
    </w:p>
    <w:p>
      <w:pPr>
        <w:pStyle w:val="ListBullet"/>
      </w:pPr>
      <w:r>
        <w:t>25-45 岁家庭厨房决策者</w:t>
      </w:r>
    </w:p>
    <w:p>
      <w:pPr>
        <w:pStyle w:val="ListBullet"/>
      </w:pPr>
      <w:r>
        <w:t>美食爱好者</w:t>
      </w:r>
    </w:p>
    <w:p>
      <w:pPr>
        <w:pStyle w:val="ListBullet"/>
      </w:pPr>
      <w:r>
        <w:t>年货送礼人群</w:t>
      </w:r>
    </w:p>
    <w:p>
      <w:pPr>
        <w:pStyle w:val="ListBullet"/>
      </w:pPr>
      <w:r>
        <w:t>喜欢粤式风味的消费者</w:t>
      </w:r>
    </w:p>
    <w:p>
      <w:pPr>
        <w:pStyle w:val="Heading2"/>
      </w:pPr>
      <w:r>
        <w:t>核心痛点</w:t>
      </w:r>
    </w:p>
    <w:p>
      <w:pPr>
        <w:pStyle w:val="ListBullet"/>
      </w:pPr>
      <w:r>
        <w:t>日常佐餐缺少方便又有风味的肉食搭配</w:t>
      </w:r>
    </w:p>
    <w:p>
      <w:pPr>
        <w:pStyle w:val="ListBullet"/>
      </w:pPr>
      <w:r>
        <w:t>年节送礼需要兼顾实用性与节庆氛围</w:t>
      </w:r>
    </w:p>
    <w:p>
      <w:pPr>
        <w:pStyle w:val="ListBullet"/>
      </w:pPr>
      <w:r>
        <w:t>担心腊肠口感和品质不稳定</w:t>
      </w:r>
    </w:p>
    <w:p>
      <w:pPr>
        <w:pStyle w:val="Heading2"/>
      </w:pPr>
      <w:r>
        <w:t>决策动因</w:t>
      </w:r>
    </w:p>
    <w:p>
      <w:pPr>
        <w:pStyle w:val="ListBullet"/>
      </w:pPr>
      <w:r>
        <w:t>关注肥瘦比例与口感</w:t>
      </w:r>
    </w:p>
    <w:p>
      <w:pPr>
        <w:pStyle w:val="ListBullet"/>
      </w:pPr>
      <w:r>
        <w:t>重视传统广式风味</w:t>
      </w:r>
    </w:p>
    <w:p>
      <w:pPr>
        <w:pStyle w:val="ListBullet"/>
      </w:pPr>
      <w:r>
        <w:t>看重真空包装的储存便利</w:t>
      </w:r>
    </w:p>
    <w:p>
      <w:pPr>
        <w:pStyle w:val="ListBullet"/>
      </w:pPr>
      <w:r>
        <w:t>需要适配多种家常烹饪方式</w:t>
      </w:r>
    </w:p>
    <w:p>
      <w:pPr>
        <w:pStyle w:val="Heading2"/>
      </w:pPr>
      <w:r>
        <w:t>营销目标</w:t>
      </w:r>
    </w:p>
    <w:p>
      <w:pPr>
        <w:pStyle w:val="FieldValue"/>
      </w:pPr>
      <w:r>
        <w:t>突出广式风味、油润肉质和多种烹饪方式，提升短视频内容的购买转化。</w:t>
      </w:r>
    </w:p>
    <w:p>
      <w:pPr>
        <w:pStyle w:val="Heading1"/>
        <w:pBdr>
          <w:bottom w:val="single" w:sz="8" w:space="4" w:color="E6C8BA"/>
        </w:pBdr>
      </w:pPr>
      <w:r>
        <w:t>场景层</w:t>
      </w:r>
    </w:p>
    <w:p>
      <w:pPr>
        <w:pStyle w:val="Heading2"/>
      </w:pPr>
      <w:r>
        <w:t>核心使用场景</w:t>
      </w:r>
    </w:p>
    <w:p>
      <w:pPr>
        <w:pStyle w:val="ListBullet"/>
      </w:pPr>
      <w:r>
        <w:t>煲仔饭烹饪</w:t>
      </w:r>
    </w:p>
    <w:p>
      <w:pPr>
        <w:pStyle w:val="ListBullet"/>
      </w:pPr>
      <w:r>
        <w:t>蒸制切片</w:t>
      </w:r>
    </w:p>
    <w:p>
      <w:pPr>
        <w:pStyle w:val="ListBullet"/>
      </w:pPr>
      <w:r>
        <w:t>炒菜搭配</w:t>
      </w:r>
    </w:p>
    <w:p>
      <w:pPr>
        <w:pStyle w:val="ListBullet"/>
      </w:pPr>
      <w:r>
        <w:t>家庭日常佐餐</w:t>
      </w:r>
    </w:p>
    <w:p>
      <w:pPr>
        <w:pStyle w:val="Heading2"/>
      </w:pPr>
      <w:r>
        <w:t>购买场景</w:t>
      </w:r>
    </w:p>
    <w:p>
      <w:pPr>
        <w:pStyle w:val="ListBullet"/>
      </w:pPr>
      <w:r>
        <w:t>家庭日常采购</w:t>
      </w:r>
    </w:p>
    <w:p>
      <w:pPr>
        <w:pStyle w:val="ListBullet"/>
      </w:pPr>
      <w:r>
        <w:t>年货采购</w:t>
      </w:r>
    </w:p>
    <w:p>
      <w:pPr>
        <w:pStyle w:val="ListBullet"/>
      </w:pPr>
      <w:r>
        <w:t>春节送礼</w:t>
      </w:r>
    </w:p>
    <w:p>
      <w:pPr>
        <w:pStyle w:val="Heading2"/>
      </w:pPr>
      <w:r>
        <w:t>情绪共鸣场景</w:t>
      </w:r>
    </w:p>
    <w:p>
      <w:pPr>
        <w:pStyle w:val="ListBullet"/>
      </w:pPr>
      <w:r>
        <w:t>家常烟火气</w:t>
      </w:r>
    </w:p>
    <w:p>
      <w:pPr>
        <w:pStyle w:val="ListBullet"/>
      </w:pPr>
      <w:r>
        <w:t>家人围餐分享</w:t>
      </w:r>
    </w:p>
    <w:p>
      <w:pPr>
        <w:pStyle w:val="ListBullet"/>
      </w:pPr>
      <w:r>
        <w:t>春节团圆与送礼心意</w:t>
      </w:r>
    </w:p>
    <w:p>
      <w:pPr>
        <w:spacing w:before="320" w:after="0"/>
        <w:shd w:val="clear" w:color="auto" w:fill="F7F8FA"/>
      </w:pPr>
      <w:r>
        <w:rPr>
          <w:rFonts w:ascii="Microsoft YaHei" w:hAnsi="Microsoft YaHei" w:eastAsia="Microsoft YaHei"/>
          <w:b w:val="0"/>
          <w:color w:val="667085"/>
          <w:sz w:val="19"/>
        </w:rPr>
        <w:t>填写确认：以上内容由资料提供方确认，作为本次效果类项目的信息提炼依据。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98A2B3"/>
        <w:sz w:val="17"/>
      </w:rPr>
      <w:t>广式三七瘦腊肠 · 产品素材制作信息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48" w:lineRule="auto"/>
    </w:pPr>
    <w:rPr>
      <w:rFonts w:ascii="Microsoft YaHei" w:hAnsi="Microsoft YaHei" w:eastAsia="Microsoft YaHei"/>
      <w:color w:val="2532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A351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5324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ind w:left="510" w:hanging="198"/>
      <w:contextualSpacing/>
    </w:pPr>
    <w:rPr>
      <w:rFonts w:ascii="Microsoft YaHei" w:hAnsi="Microsoft YaHei" w:eastAsia="Microsoft YaHei"/>
      <w:color w:val="253247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eldValue">
    <w:name w:val="Field Value"/>
    <w:basedOn w:val="Normal"/>
    <w:pPr>
      <w:spacing w:after="120"/>
      <w:ind w:left="255"/>
    </w:pPr>
    <w:rPr>
      <w:rFonts w:ascii="Microsoft YaHei" w:hAnsi="Microsoft YaHei" w:eastAsia="Microsoft YaHei"/>
      <w:color w:val="25324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