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广式三七瘦腊肠产品资料包</w:t>
      </w:r>
    </w:p>
    <w:p>
      <w:pPr>
        <w:pStyle w:val="DocumentSubtitle"/>
      </w:pPr>
      <w:r>
        <w:t>效果类项目素材资料</w:t>
      </w:r>
    </w:p>
    <w:p>
      <w:pPr>
        <w:spacing w:after="180"/>
      </w:pPr>
      <w:r>
        <w:t>本资料包只记录已确认的产品基础信息和具有独立商业价值的卖点事实。每条卖点只表达一种产品价值、食用体验或消费场景，不把切片、摆盘、餐具、布光和运镜方式当作卖点。Prompt 数量、片段时长、视觉风格、投放渠道和禁用元素在 Prompt 节点配置；画幅、分辨率和生成模型能力在视频渲染节点配置。</w:t>
      </w:r>
    </w:p>
    <w:p>
      <w:pPr>
        <w:pStyle w:val="Heading1"/>
      </w:pPr>
      <w:r>
        <w:t>产品基础信息</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62"/>
        <w:gridCol w:w="4762"/>
      </w:tblGrid>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产品品类</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腊味肉制品</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产品名称</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广式三七瘦腊肠</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核心规格</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500g 真空袋装</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价格带</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20 元/袋</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核心外观特征</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腊肠呈红白相间的肥瘦纹理，完整长条与斜切片形态清晰，表面油润透亮。</w:t>
            </w:r>
          </w:p>
        </w:tc>
      </w:tr>
    </w:tbl>
    <w:p>
      <w:pPr>
        <w:pStyle w:val="Heading1"/>
      </w:pPr>
      <w:r>
        <w:t>卖点</w:t>
      </w:r>
    </w:p>
    <w:p>
      <w:pPr>
        <w:pStyle w:val="ListNumber"/>
      </w:pPr>
      <w:r>
        <w:t>腊肠采用三七肥瘦配比，在一根产品中同时保留瘦肉颗粒和脂肪颗粒。</w:t>
      </w:r>
    </w:p>
    <w:p>
      <w:pPr>
        <w:pStyle w:val="ListNumber"/>
      </w:pPr>
      <w:r>
        <w:t>采用广府糖酒腌制工艺，形成明确的广式腊味风格。</w:t>
      </w:r>
    </w:p>
    <w:p>
      <w:pPr>
        <w:pStyle w:val="ListNumber"/>
      </w:pPr>
      <w:r>
        <w:t>入口先呈现咸甜味，随后带出酒香回甘，风味层次清楚。</w:t>
      </w:r>
    </w:p>
    <w:p>
      <w:pPr>
        <w:pStyle w:val="ListNumber"/>
      </w:pPr>
      <w:r>
        <w:t>配料使用纯猪肉且不添加淀粉。</w:t>
      </w:r>
    </w:p>
    <w:p>
      <w:pPr>
        <w:pStyle w:val="ListNumber"/>
      </w:pPr>
      <w:r>
        <w:t>熟制后的切面仍能看到肉粒与肥瘦分布，呈现颗粒感肉质。</w:t>
      </w:r>
    </w:p>
    <w:p>
      <w:pPr>
        <w:pStyle w:val="ListNumber"/>
      </w:pPr>
      <w:r>
        <w:t>熟制后外皮、肉粒和油脂状态层次清楚，表面呈油润透亮状态。</w:t>
      </w:r>
    </w:p>
    <w:p>
      <w:pPr>
        <w:pStyle w:val="ListNumber"/>
      </w:pPr>
      <w:r>
        <w:t>500g 真空袋装，适合家庭按一餐用量安排备菜。</w:t>
      </w:r>
    </w:p>
    <w:p>
      <w:pPr>
        <w:pStyle w:val="ListNumber"/>
      </w:pPr>
      <w:r>
        <w:t>完整长条、斜切片和切丁三种备菜形态可适配不同菜式。</w:t>
      </w:r>
    </w:p>
    <w:p>
      <w:pPr>
        <w:pStyle w:val="ListNumber"/>
      </w:pPr>
      <w:r>
        <w:t>腊肠可与米饭同蒸，在一次加热中同时完成主食和腊肠。</w:t>
      </w:r>
    </w:p>
    <w:p>
      <w:pPr>
        <w:pStyle w:val="ListNumber"/>
      </w:pPr>
      <w:r>
        <w:t>腊肠可铺在煲仔饭表面，作为广式腊味主配料。</w:t>
      </w:r>
    </w:p>
    <w:p>
      <w:pPr>
        <w:pStyle w:val="ListNumber"/>
      </w:pPr>
      <w:r>
        <w:t>蒸熟后切片即可作为家庭日常佐餐小菜。</w:t>
      </w:r>
    </w:p>
    <w:p>
      <w:pPr>
        <w:pStyle w:val="ListNumber"/>
      </w:pPr>
      <w:r>
        <w:t>斜切片可直接煎制，受热后边缘呈现更深的焦香色泽。</w:t>
      </w:r>
    </w:p>
    <w:p>
      <w:pPr>
        <w:pStyle w:val="ListNumber"/>
      </w:pPr>
      <w:r>
        <w:t>切丁后可加入炒饭，与米粒均匀混合。</w:t>
      </w:r>
    </w:p>
    <w:p>
      <w:pPr>
        <w:pStyle w:val="ListNumber"/>
      </w:pPr>
      <w:r>
        <w:t>切片后可搭配蒜苗或芹菜快炒，形成蔬菜与腊味组合。</w:t>
      </w:r>
    </w:p>
    <w:p>
      <w:pPr>
        <w:pStyle w:val="ListNumber"/>
      </w:pPr>
      <w:r>
        <w:t>年节餐桌可将其作为传统广式腊味菜品。</w:t>
      </w:r>
    </w:p>
    <w:sectPr w:rsidR="00FC693F" w:rsidRPr="0006063C" w:rsidSect="00034616">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Microsoft YaHei" w:hAnsi="Microsoft YaHei"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160"/>
    </w:pPr>
    <w:rPr>
      <w:rFonts w:ascii="Microsoft YaHei" w:hAnsi="Microsoft YaHei" w:eastAsia="Microsoft YaHei"/>
      <w:color w:val="59637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广式三七瘦腊肠产品资料包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